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color w:val="1B3A5C"/>
          <w:sz w:val="32"/>
          <w:szCs w:val="32"/>
        </w:rPr>
        <w:t xml:space="preserve">Part VIII — Enterprise Development Standards</w:t>
      </w:r>
    </w:p>
    <w:p>
      <w:pPr>
        <w:spacing w:after="80"/>
      </w:pPr>
    </w:p>
    <w:p>
      <w:pPr>
        <w:pStyle w:val="Heading2"/>
        <w:spacing w:before="280" w:after="160"/>
      </w:pPr>
      <w:r>
        <w:rPr>
          <w:rFonts w:ascii="Arial" w:cs="Arial" w:eastAsia="Arial" w:hAnsi="Arial"/>
          <w:b/>
          <w:bCs/>
          <w:color w:val="2E75B6"/>
          <w:sz w:val="28"/>
          <w:szCs w:val="28"/>
        </w:rPr>
        <w:t xml:space="preserve">VIII.1 — Executive Overview and Strategic Context</w:t>
      </w:r>
    </w:p>
    <w:p>
      <w:pPr>
        <w:spacing w:after="120"/>
      </w:pPr>
      <w:r>
        <w:rPr>
          <w:rFonts w:ascii="Arial" w:cs="Arial" w:eastAsia="Arial" w:hAnsi="Arial"/>
          <w:sz w:val="22"/>
          <w:szCs w:val="22"/>
        </w:rPr>
        <w:t xml:space="preserve">Enterprise Development Standards establish the authoritative technical foundation governing all software creation, modification, and maintenance activities across the organization. These standards ensure consistency, quality, security, and maintainability throughout the complete software lifecycle, from initial code creation through production operation and eventual retirement. In an AI-augmented development environment, these standards serve dual purposes: guiding human developers and constraining AI-assisted code generation to produce outputs that meet enterprise quality thresholds.</w:t>
      </w:r>
    </w:p>
    <w:p>
      <w:pPr>
        <w:spacing w:after="120"/>
      </w:pPr>
      <w:r>
        <w:rPr>
          <w:rFonts w:ascii="Arial" w:cs="Arial" w:eastAsia="Arial" w:hAnsi="Arial"/>
          <w:sz w:val="22"/>
          <w:szCs w:val="22"/>
        </w:rPr>
        <w:t xml:space="preserve">The standards framework operates as a living governance instrument that adapts to evolving technology landscapes while maintaining baseline quality and compliance requirements. All development activities, whether performed by internal teams, contractors, third-party vendors, or AI agents, must conform to these standards. Compliance is enforced through automated tooling integrated into CI/CD pipelines, supplemented by human review for complex architectural decisions and risk-sensitive implementations.</w:t>
      </w:r>
    </w:p>
    <w:p>
      <w:pPr>
        <w:pStyle w:val="Heading3"/>
        <w:spacing w:before="200" w:after="120"/>
      </w:pPr>
      <w:r>
        <w:rPr>
          <w:rFonts w:ascii="Arial" w:cs="Arial" w:eastAsia="Arial" w:hAnsi="Arial"/>
          <w:b/>
          <w:bCs/>
          <w:color w:val="1B3A5C"/>
          <w:sz w:val="24"/>
          <w:szCs w:val="24"/>
        </w:rPr>
        <w:t xml:space="preserve">Framework Objectives</w:t>
      </w:r>
    </w:p>
    <w:p>
      <w:pPr>
        <w:pStyle w:val="ListParagraph"/>
        <w:numPr>
          <w:ilvl w:val="0"/>
          <w:numId w:val="2"/>
        </w:numPr>
        <w:spacing w:after="60"/>
      </w:pPr>
      <w:r>
        <w:rPr>
          <w:rFonts w:ascii="Arial" w:cs="Arial" w:eastAsia="Arial" w:hAnsi="Arial"/>
          <w:b/>
          <w:bCs/>
          <w:sz w:val="22"/>
          <w:szCs w:val="22"/>
        </w:rPr>
        <w:t xml:space="preserve">Code Quality Consistency: </w:t>
      </w:r>
      <w:r>
        <w:rPr>
          <w:rFonts w:ascii="Arial" w:cs="Arial" w:eastAsia="Arial" w:hAnsi="Arial"/>
          <w:sz w:val="22"/>
          <w:szCs w:val="22"/>
        </w:rPr>
        <w:t xml:space="preserve">Establish uniform quality thresholds across all application tiers, technology stacks, and delivery teams to ensure predictable maintainability and defect rates.</w:t>
      </w:r>
    </w:p>
    <w:p>
      <w:pPr>
        <w:pStyle w:val="ListParagraph"/>
        <w:numPr>
          <w:ilvl w:val="0"/>
          <w:numId w:val="2"/>
        </w:numPr>
        <w:spacing w:after="60"/>
      </w:pPr>
      <w:r>
        <w:rPr>
          <w:rFonts w:ascii="Arial" w:cs="Arial" w:eastAsia="Arial" w:hAnsi="Arial"/>
          <w:b/>
          <w:bCs/>
          <w:sz w:val="22"/>
          <w:szCs w:val="22"/>
        </w:rPr>
        <w:t xml:space="preserve">AI-Augmented Enforcement: </w:t>
      </w:r>
      <w:r>
        <w:rPr>
          <w:rFonts w:ascii="Arial" w:cs="Arial" w:eastAsia="Arial" w:hAnsi="Arial"/>
          <w:sz w:val="22"/>
          <w:szCs w:val="22"/>
        </w:rPr>
        <w:t xml:space="preserve">Integrate standards validation into automated pipelines so that compliance is verified continuously rather than through periodic manual audits.</w:t>
      </w:r>
    </w:p>
    <w:p>
      <w:pPr>
        <w:pStyle w:val="ListParagraph"/>
        <w:numPr>
          <w:ilvl w:val="0"/>
          <w:numId w:val="2"/>
        </w:numPr>
        <w:spacing w:after="60"/>
      </w:pPr>
      <w:r>
        <w:rPr>
          <w:rFonts w:ascii="Arial" w:cs="Arial" w:eastAsia="Arial" w:hAnsi="Arial"/>
          <w:b/>
          <w:bCs/>
          <w:sz w:val="22"/>
          <w:szCs w:val="22"/>
        </w:rPr>
        <w:t xml:space="preserve">Developer Productivity: </w:t>
      </w:r>
      <w:r>
        <w:rPr>
          <w:rFonts w:ascii="Arial" w:cs="Arial" w:eastAsia="Arial" w:hAnsi="Arial"/>
          <w:sz w:val="22"/>
          <w:szCs w:val="22"/>
        </w:rPr>
        <w:t xml:space="preserve">Reduce cognitive overhead by providing clear, unambiguous standards that eliminate decision fatigue for routine implementation choices.</w:t>
      </w:r>
    </w:p>
    <w:p>
      <w:pPr>
        <w:pStyle w:val="ListParagraph"/>
        <w:numPr>
          <w:ilvl w:val="0"/>
          <w:numId w:val="2"/>
        </w:numPr>
        <w:spacing w:after="60"/>
      </w:pPr>
      <w:r>
        <w:rPr>
          <w:rFonts w:ascii="Arial" w:cs="Arial" w:eastAsia="Arial" w:hAnsi="Arial"/>
          <w:b/>
          <w:bCs/>
          <w:sz w:val="22"/>
          <w:szCs w:val="22"/>
        </w:rPr>
        <w:t xml:space="preserve">Regulatory Alignment: </w:t>
      </w:r>
      <w:r>
        <w:rPr>
          <w:rFonts w:ascii="Arial" w:cs="Arial" w:eastAsia="Arial" w:hAnsi="Arial"/>
          <w:sz w:val="22"/>
          <w:szCs w:val="22"/>
        </w:rPr>
        <w:t xml:space="preserve">Ensure all development practices satisfy applicable regulatory requirements including SOX, HIPAA, PCI-DSS, GDPR, and sector-specific mandates.</w:t>
      </w:r>
    </w:p>
    <w:p>
      <w:pPr>
        <w:pStyle w:val="ListParagraph"/>
        <w:numPr>
          <w:ilvl w:val="0"/>
          <w:numId w:val="2"/>
        </w:numPr>
        <w:spacing w:after="60"/>
      </w:pPr>
      <w:r>
        <w:rPr>
          <w:rFonts w:ascii="Arial" w:cs="Arial" w:eastAsia="Arial" w:hAnsi="Arial"/>
          <w:b/>
          <w:bCs/>
          <w:sz w:val="22"/>
          <w:szCs w:val="22"/>
        </w:rPr>
        <w:t xml:space="preserve">Technical Debt Prevention: </w:t>
      </w:r>
      <w:r>
        <w:rPr>
          <w:rFonts w:ascii="Arial" w:cs="Arial" w:eastAsia="Arial" w:hAnsi="Arial"/>
          <w:sz w:val="22"/>
          <w:szCs w:val="22"/>
        </w:rPr>
        <w:t xml:space="preserve">Establish proactive standards that prevent accumulation of technical debt rather than relying solely on remediation after the fact.</w:t>
      </w:r>
    </w:p>
    <w:p>
      <w:pPr>
        <w:pStyle w:val="ListParagraph"/>
        <w:numPr>
          <w:ilvl w:val="0"/>
          <w:numId w:val="2"/>
        </w:numPr>
        <w:spacing w:after="60"/>
      </w:pPr>
      <w:r>
        <w:rPr>
          <w:rFonts w:ascii="Arial" w:cs="Arial" w:eastAsia="Arial" w:hAnsi="Arial"/>
          <w:b/>
          <w:bCs/>
          <w:sz w:val="22"/>
          <w:szCs w:val="22"/>
        </w:rPr>
        <w:t xml:space="preserve">Cross-Team Interoperability: </w:t>
      </w:r>
      <w:r>
        <w:rPr>
          <w:rFonts w:ascii="Arial" w:cs="Arial" w:eastAsia="Arial" w:hAnsi="Arial"/>
          <w:sz w:val="22"/>
          <w:szCs w:val="22"/>
        </w:rPr>
        <w:t xml:space="preserve">Enable seamless integration between components developed by different teams, vendors, and AI agents through shared conventions and interface contracts.</w:t>
      </w:r>
    </w:p>
    <w:p>
      <w:pPr>
        <w:pStyle w:val="Heading3"/>
        <w:spacing w:before="200" w:after="120"/>
      </w:pPr>
      <w:r>
        <w:rPr>
          <w:rFonts w:ascii="Arial" w:cs="Arial" w:eastAsia="Arial" w:hAnsi="Arial"/>
          <w:b/>
          <w:bCs/>
          <w:color w:val="1B3A5C"/>
          <w:sz w:val="24"/>
          <w:szCs w:val="24"/>
        </w:rPr>
        <w:t xml:space="preserve">Scope and Applicability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4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Coverage</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Enforcement Level</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Internal Development</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All languages, frameworks, and platforms used by in-house teams</w:t>
            </w:r>
          </w:p>
        </w:tc>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Mandatory / Automated</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Contractor Development</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All code delivered under contract including SOW-based engagements</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Mandatory / Gate-Enforced</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AI-Generated Code</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All outputs from AI coding assistants, agents, and autonomous generators</w:t>
            </w:r>
          </w:p>
        </w:tc>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Mandatory / Pre-Merge Validation</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Third-Party Integrations</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API adapters, connectors, and integration code for vendor products</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Mandatory / Risk-Tiered</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Legacy Modernization</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Refactoring and migration efforts on existing codebases</w:t>
            </w:r>
          </w:p>
        </w:tc>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Progressive / Baseline + Incremental</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Proof of Concept</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Experimental and prototype code with limited production intent</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Advisory / Must-Promote Standards</w:t>
            </w:r>
          </w:p>
        </w:tc>
      </w:tr>
    </w:tbl>
    <w:p>
      <w:r>
        <w:br w:type="page"/>
      </w:r>
    </w:p>
    <w:p>
      <w:pPr>
        <w:pStyle w:val="Heading2"/>
        <w:spacing w:before="280" w:after="160"/>
      </w:pPr>
      <w:r>
        <w:rPr>
          <w:rFonts w:ascii="Arial" w:cs="Arial" w:eastAsia="Arial" w:hAnsi="Arial"/>
          <w:b/>
          <w:bCs/>
          <w:color w:val="2E75B6"/>
          <w:sz w:val="28"/>
          <w:szCs w:val="28"/>
        </w:rPr>
        <w:t xml:space="preserve">VIII.2 — Language-Specific Coding Standards</w:t>
      </w:r>
    </w:p>
    <w:p>
      <w:pPr>
        <w:spacing w:after="120"/>
      </w:pPr>
      <w:r>
        <w:rPr>
          <w:rFonts w:ascii="Arial" w:cs="Arial" w:eastAsia="Arial" w:hAnsi="Arial"/>
          <w:sz w:val="22"/>
          <w:szCs w:val="22"/>
        </w:rPr>
        <w:t xml:space="preserve">Coding standards are organized by primary language ecosystem, with each standard set defining naming conventions, structural patterns, error handling requirements, and AI-assisted enforcement mechanisms. All standards incorporate both human-readable guidelines and machine-enforceable rules that integrate with static analysis tooling and AI code review agents.</w:t>
      </w:r>
    </w:p>
    <w:p>
      <w:pPr>
        <w:pStyle w:val="Heading3"/>
        <w:spacing w:before="200" w:after="120"/>
      </w:pPr>
      <w:r>
        <w:rPr>
          <w:rFonts w:ascii="Arial" w:cs="Arial" w:eastAsia="Arial" w:hAnsi="Arial"/>
          <w:b/>
          <w:bCs/>
          <w:color w:val="1B3A5C"/>
          <w:sz w:val="24"/>
          <w:szCs w:val="24"/>
        </w:rPr>
        <w:t xml:space="preserve">Java and JVM Languages</w:t>
      </w:r>
    </w:p>
    <w:p>
      <w:pPr>
        <w:pStyle w:val="ListParagraph"/>
        <w:numPr>
          <w:ilvl w:val="0"/>
          <w:numId w:val="3"/>
        </w:numPr>
        <w:spacing w:after="60"/>
      </w:pPr>
      <w:r>
        <w:rPr>
          <w:rFonts w:ascii="Arial" w:cs="Arial" w:eastAsia="Arial" w:hAnsi="Arial"/>
          <w:b/>
          <w:bCs/>
          <w:sz w:val="22"/>
          <w:szCs w:val="22"/>
        </w:rPr>
        <w:t xml:space="preserve">Naming Conventions: </w:t>
      </w:r>
      <w:r>
        <w:rPr>
          <w:rFonts w:ascii="Arial" w:cs="Arial" w:eastAsia="Arial" w:hAnsi="Arial"/>
          <w:sz w:val="22"/>
          <w:szCs w:val="22"/>
        </w:rPr>
        <w:t xml:space="preserve">PascalCase for classes and interfaces, camelCase for methods and variables, UPPER_SNAKE_CASE for constants. Package names follow reverse domain notation with organizational prefix.</w:t>
      </w:r>
    </w:p>
    <w:p>
      <w:pPr>
        <w:pStyle w:val="ListParagraph"/>
        <w:numPr>
          <w:ilvl w:val="0"/>
          <w:numId w:val="3"/>
        </w:numPr>
        <w:spacing w:after="60"/>
      </w:pPr>
      <w:r>
        <w:rPr>
          <w:rFonts w:ascii="Arial" w:cs="Arial" w:eastAsia="Arial" w:hAnsi="Arial"/>
          <w:b/>
          <w:bCs/>
          <w:sz w:val="22"/>
          <w:szCs w:val="22"/>
        </w:rPr>
        <w:t xml:space="preserve">Method Complexity: </w:t>
      </w:r>
      <w:r>
        <w:rPr>
          <w:rFonts w:ascii="Arial" w:cs="Arial" w:eastAsia="Arial" w:hAnsi="Arial"/>
          <w:sz w:val="22"/>
          <w:szCs w:val="22"/>
        </w:rPr>
        <w:t xml:space="preserve">Maximum cyclomatic complexity of 10 for standard methods, 15 for complex business logic with documented justification. Methods exceeding 30 lines require decomposition review.</w:t>
      </w:r>
    </w:p>
    <w:p>
      <w:pPr>
        <w:pStyle w:val="ListParagraph"/>
        <w:numPr>
          <w:ilvl w:val="0"/>
          <w:numId w:val="3"/>
        </w:numPr>
        <w:spacing w:after="60"/>
      </w:pPr>
      <w:r>
        <w:rPr>
          <w:rFonts w:ascii="Arial" w:cs="Arial" w:eastAsia="Arial" w:hAnsi="Arial"/>
          <w:b/>
          <w:bCs/>
          <w:sz w:val="22"/>
          <w:szCs w:val="22"/>
        </w:rPr>
        <w:t xml:space="preserve">Exception Handling: </w:t>
      </w:r>
      <w:r>
        <w:rPr>
          <w:rFonts w:ascii="Arial" w:cs="Arial" w:eastAsia="Arial" w:hAnsi="Arial"/>
          <w:sz w:val="22"/>
          <w:szCs w:val="22"/>
        </w:rPr>
        <w:t xml:space="preserve">Checked exceptions for recoverable conditions, unchecked exceptions for programming errors. Never catch generic Exception or Throwable except at boundary layers. All exceptions must carry contextual information sufficient for diagnosis.</w:t>
      </w:r>
    </w:p>
    <w:p>
      <w:pPr>
        <w:pStyle w:val="ListParagraph"/>
        <w:numPr>
          <w:ilvl w:val="0"/>
          <w:numId w:val="3"/>
        </w:numPr>
        <w:spacing w:after="60"/>
      </w:pPr>
      <w:r>
        <w:rPr>
          <w:rFonts w:ascii="Arial" w:cs="Arial" w:eastAsia="Arial" w:hAnsi="Arial"/>
          <w:b/>
          <w:bCs/>
          <w:sz w:val="22"/>
          <w:szCs w:val="22"/>
        </w:rPr>
        <w:t xml:space="preserve">Null Safety: </w:t>
      </w:r>
      <w:r>
        <w:rPr>
          <w:rFonts w:ascii="Arial" w:cs="Arial" w:eastAsia="Arial" w:hAnsi="Arial"/>
          <w:sz w:val="22"/>
          <w:szCs w:val="22"/>
        </w:rPr>
        <w:t xml:space="preserve">Use Optional for potentially absent return values. Annotate parameters with @NonNull or @Nullable. Kotlin-based JVM projects must leverage null-safe types natively.</w:t>
      </w:r>
    </w:p>
    <w:p>
      <w:pPr>
        <w:pStyle w:val="ListParagraph"/>
        <w:numPr>
          <w:ilvl w:val="0"/>
          <w:numId w:val="3"/>
        </w:numPr>
        <w:spacing w:after="60"/>
      </w:pPr>
      <w:r>
        <w:rPr>
          <w:rFonts w:ascii="Arial" w:cs="Arial" w:eastAsia="Arial" w:hAnsi="Arial"/>
          <w:b/>
          <w:bCs/>
          <w:sz w:val="22"/>
          <w:szCs w:val="22"/>
        </w:rPr>
        <w:t xml:space="preserve">Concurrency: </w:t>
      </w:r>
      <w:r>
        <w:rPr>
          <w:rFonts w:ascii="Arial" w:cs="Arial" w:eastAsia="Arial" w:hAnsi="Arial"/>
          <w:sz w:val="22"/>
          <w:szCs w:val="22"/>
        </w:rPr>
        <w:t xml:space="preserve">Prefer immutable objects and functional patterns. Use structured concurrency (virtual threads in Java 21+) over manual thread management. Synchronization must use higher-level constructs (ReentrantLock, ConcurrentHashMap) rather than raw synchronized blocks.</w:t>
      </w:r>
    </w:p>
    <w:p>
      <w:pPr>
        <w:pStyle w:val="Heading3"/>
        <w:spacing w:before="200" w:after="120"/>
      </w:pPr>
      <w:r>
        <w:rPr>
          <w:rFonts w:ascii="Arial" w:cs="Arial" w:eastAsia="Arial" w:hAnsi="Arial"/>
          <w:b/>
          <w:bCs/>
          <w:color w:val="1B3A5C"/>
          <w:sz w:val="24"/>
          <w:szCs w:val="24"/>
        </w:rPr>
        <w:t xml:space="preserve">Python</w:t>
      </w:r>
    </w:p>
    <w:p>
      <w:pPr>
        <w:pStyle w:val="ListParagraph"/>
        <w:numPr>
          <w:ilvl w:val="0"/>
          <w:numId w:val="3"/>
        </w:numPr>
        <w:spacing w:after="60"/>
      </w:pPr>
      <w:r>
        <w:rPr>
          <w:rFonts w:ascii="Arial" w:cs="Arial" w:eastAsia="Arial" w:hAnsi="Arial"/>
          <w:b/>
          <w:bCs/>
          <w:sz w:val="22"/>
          <w:szCs w:val="22"/>
        </w:rPr>
        <w:t xml:space="preserve">Style Conformance: </w:t>
      </w:r>
      <w:r>
        <w:rPr>
          <w:rFonts w:ascii="Arial" w:cs="Arial" w:eastAsia="Arial" w:hAnsi="Arial"/>
          <w:sz w:val="22"/>
          <w:szCs w:val="22"/>
        </w:rPr>
        <w:t xml:space="preserve">PEP 8 compliance enforced via automated linting. Type hints required for all function signatures and class attributes (PEP 484/526). Runtime type checking enabled for production services via beartype or similar.</w:t>
      </w:r>
    </w:p>
    <w:p>
      <w:pPr>
        <w:pStyle w:val="ListParagraph"/>
        <w:numPr>
          <w:ilvl w:val="0"/>
          <w:numId w:val="3"/>
        </w:numPr>
        <w:spacing w:after="60"/>
      </w:pPr>
      <w:r>
        <w:rPr>
          <w:rFonts w:ascii="Arial" w:cs="Arial" w:eastAsia="Arial" w:hAnsi="Arial"/>
          <w:b/>
          <w:bCs/>
          <w:sz w:val="22"/>
          <w:szCs w:val="22"/>
        </w:rPr>
        <w:t xml:space="preserve">Dependency Management: </w:t>
      </w:r>
      <w:r>
        <w:rPr>
          <w:rFonts w:ascii="Arial" w:cs="Arial" w:eastAsia="Arial" w:hAnsi="Arial"/>
          <w:sz w:val="22"/>
          <w:szCs w:val="22"/>
        </w:rPr>
        <w:t xml:space="preserve">All projects must use pyproject.toml with pinned dependency versions. Virtual environments are mandatory. No system-level package installations in production containers.</w:t>
      </w:r>
    </w:p>
    <w:p>
      <w:pPr>
        <w:pStyle w:val="ListParagraph"/>
        <w:numPr>
          <w:ilvl w:val="0"/>
          <w:numId w:val="3"/>
        </w:numPr>
        <w:spacing w:after="60"/>
      </w:pPr>
      <w:r>
        <w:rPr>
          <w:rFonts w:ascii="Arial" w:cs="Arial" w:eastAsia="Arial" w:hAnsi="Arial"/>
          <w:b/>
          <w:bCs/>
          <w:sz w:val="22"/>
          <w:szCs w:val="22"/>
        </w:rPr>
        <w:t xml:space="preserve">Async Patterns: </w:t>
      </w:r>
      <w:r>
        <w:rPr>
          <w:rFonts w:ascii="Arial" w:cs="Arial" w:eastAsia="Arial" w:hAnsi="Arial"/>
          <w:sz w:val="22"/>
          <w:szCs w:val="22"/>
        </w:rPr>
        <w:t xml:space="preserve">Async/await for I/O-bound operations. Event loops must be managed at the application boundary, not within library code. Synchronous wrappers for async functions must be explicitly documented.</w:t>
      </w:r>
    </w:p>
    <w:p>
      <w:pPr>
        <w:pStyle w:val="ListParagraph"/>
        <w:numPr>
          <w:ilvl w:val="0"/>
          <w:numId w:val="3"/>
        </w:numPr>
        <w:spacing w:after="60"/>
      </w:pPr>
      <w:r>
        <w:rPr>
          <w:rFonts w:ascii="Arial" w:cs="Arial" w:eastAsia="Arial" w:hAnsi="Arial"/>
          <w:b/>
          <w:bCs/>
          <w:sz w:val="22"/>
          <w:szCs w:val="22"/>
        </w:rPr>
        <w:t xml:space="preserve">Data Validation: </w:t>
      </w:r>
      <w:r>
        <w:rPr>
          <w:rFonts w:ascii="Arial" w:cs="Arial" w:eastAsia="Arial" w:hAnsi="Arial"/>
          <w:sz w:val="22"/>
          <w:szCs w:val="22"/>
        </w:rPr>
        <w:t xml:space="preserve">Pydantic models for all external data ingestion. Schema validation at service boundaries. No raw dictionary passing between service layers.</w:t>
      </w:r>
    </w:p>
    <w:p>
      <w:pPr>
        <w:pStyle w:val="Heading3"/>
        <w:spacing w:before="200" w:after="120"/>
      </w:pPr>
      <w:r>
        <w:rPr>
          <w:rFonts w:ascii="Arial" w:cs="Arial" w:eastAsia="Arial" w:hAnsi="Arial"/>
          <w:b/>
          <w:bCs/>
          <w:color w:val="1B3A5C"/>
          <w:sz w:val="24"/>
          <w:szCs w:val="24"/>
        </w:rPr>
        <w:t xml:space="preserve">TypeScript and JavaScript</w:t>
      </w:r>
    </w:p>
    <w:p>
      <w:pPr>
        <w:pStyle w:val="ListParagraph"/>
        <w:numPr>
          <w:ilvl w:val="0"/>
          <w:numId w:val="3"/>
        </w:numPr>
        <w:spacing w:after="60"/>
      </w:pPr>
      <w:r>
        <w:rPr>
          <w:rFonts w:ascii="Arial" w:cs="Arial" w:eastAsia="Arial" w:hAnsi="Arial"/>
          <w:b/>
          <w:bCs/>
          <w:sz w:val="22"/>
          <w:szCs w:val="22"/>
        </w:rPr>
        <w:t xml:space="preserve">Type Safety: </w:t>
      </w:r>
      <w:r>
        <w:rPr>
          <w:rFonts w:ascii="Arial" w:cs="Arial" w:eastAsia="Arial" w:hAnsi="Arial"/>
          <w:sz w:val="22"/>
          <w:szCs w:val="22"/>
        </w:rPr>
        <w:t xml:space="preserve">TypeScript strict mode mandatory for all new development. No use of 'any' type without documented justification and tech-debt ticket. Prefer interface declarations over type aliases for object shapes.</w:t>
      </w:r>
    </w:p>
    <w:p>
      <w:pPr>
        <w:pStyle w:val="ListParagraph"/>
        <w:numPr>
          <w:ilvl w:val="0"/>
          <w:numId w:val="3"/>
        </w:numPr>
        <w:spacing w:after="60"/>
      </w:pPr>
      <w:r>
        <w:rPr>
          <w:rFonts w:ascii="Arial" w:cs="Arial" w:eastAsia="Arial" w:hAnsi="Arial"/>
          <w:b/>
          <w:bCs/>
          <w:sz w:val="22"/>
          <w:szCs w:val="22"/>
        </w:rPr>
        <w:t xml:space="preserve">Module System: </w:t>
      </w:r>
      <w:r>
        <w:rPr>
          <w:rFonts w:ascii="Arial" w:cs="Arial" w:eastAsia="Arial" w:hAnsi="Arial"/>
          <w:sz w:val="22"/>
          <w:szCs w:val="22"/>
        </w:rPr>
        <w:t xml:space="preserve">ES modules exclusively for new projects. CommonJS permitted only in legacy codebases with active migration plans. Barrel exports limited to package public APIs.</w:t>
      </w:r>
    </w:p>
    <w:p>
      <w:pPr>
        <w:pStyle w:val="ListParagraph"/>
        <w:numPr>
          <w:ilvl w:val="0"/>
          <w:numId w:val="3"/>
        </w:numPr>
        <w:spacing w:after="60"/>
      </w:pPr>
      <w:r>
        <w:rPr>
          <w:rFonts w:ascii="Arial" w:cs="Arial" w:eastAsia="Arial" w:hAnsi="Arial"/>
          <w:b/>
          <w:bCs/>
          <w:sz w:val="22"/>
          <w:szCs w:val="22"/>
        </w:rPr>
        <w:t xml:space="preserve">Error Handling: </w:t>
      </w:r>
      <w:r>
        <w:rPr>
          <w:rFonts w:ascii="Arial" w:cs="Arial" w:eastAsia="Arial" w:hAnsi="Arial"/>
          <w:sz w:val="22"/>
          <w:szCs w:val="22"/>
        </w:rPr>
        <w:t xml:space="preserve">Custom error classes extending base Error with error codes and context. Async error boundaries at route/handler level. Unhandled promise rejections must trigger alerting.</w:t>
      </w:r>
    </w:p>
    <w:p>
      <w:pPr>
        <w:pStyle w:val="ListParagraph"/>
        <w:numPr>
          <w:ilvl w:val="0"/>
          <w:numId w:val="3"/>
        </w:numPr>
        <w:spacing w:after="60"/>
      </w:pPr>
      <w:r>
        <w:rPr>
          <w:rFonts w:ascii="Arial" w:cs="Arial" w:eastAsia="Arial" w:hAnsi="Arial"/>
          <w:b/>
          <w:bCs/>
          <w:sz w:val="22"/>
          <w:szCs w:val="22"/>
        </w:rPr>
        <w:t xml:space="preserve">State Management: </w:t>
      </w:r>
      <w:r>
        <w:rPr>
          <w:rFonts w:ascii="Arial" w:cs="Arial" w:eastAsia="Arial" w:hAnsi="Arial"/>
          <w:sz w:val="22"/>
          <w:szCs w:val="22"/>
        </w:rPr>
        <w:t xml:space="preserve">Immutable state patterns for frontend applications. Server-side state confined to request scope or managed through explicit state stores. No global mutable state outside designated singleton services.</w:t>
      </w:r>
    </w:p>
    <w:p>
      <w:pPr>
        <w:pStyle w:val="Heading3"/>
        <w:spacing w:before="200" w:after="120"/>
      </w:pPr>
      <w:r>
        <w:rPr>
          <w:rFonts w:ascii="Arial" w:cs="Arial" w:eastAsia="Arial" w:hAnsi="Arial"/>
          <w:b/>
          <w:bCs/>
          <w:color w:val="1B3A5C"/>
          <w:sz w:val="24"/>
          <w:szCs w:val="24"/>
        </w:rPr>
        <w:t xml:space="preserve">Go</w:t>
      </w:r>
    </w:p>
    <w:p>
      <w:pPr>
        <w:pStyle w:val="ListParagraph"/>
        <w:numPr>
          <w:ilvl w:val="0"/>
          <w:numId w:val="3"/>
        </w:numPr>
        <w:spacing w:after="60"/>
      </w:pPr>
      <w:r>
        <w:rPr>
          <w:rFonts w:ascii="Arial" w:cs="Arial" w:eastAsia="Arial" w:hAnsi="Arial"/>
          <w:b/>
          <w:bCs/>
          <w:sz w:val="22"/>
          <w:szCs w:val="22"/>
        </w:rPr>
        <w:t xml:space="preserve">Error Handling: </w:t>
      </w:r>
      <w:r>
        <w:rPr>
          <w:rFonts w:ascii="Arial" w:cs="Arial" w:eastAsia="Arial" w:hAnsi="Arial"/>
          <w:sz w:val="22"/>
          <w:szCs w:val="22"/>
        </w:rPr>
        <w:t xml:space="preserve">Explicit error returns following Go idioms. Error wrapping with fmt.Errorf and %w for context chain. Sentinel errors for well-known failure modes. No panic except for truly unrecoverable states.</w:t>
      </w:r>
    </w:p>
    <w:p>
      <w:pPr>
        <w:pStyle w:val="ListParagraph"/>
        <w:numPr>
          <w:ilvl w:val="0"/>
          <w:numId w:val="3"/>
        </w:numPr>
        <w:spacing w:after="60"/>
      </w:pPr>
      <w:r>
        <w:rPr>
          <w:rFonts w:ascii="Arial" w:cs="Arial" w:eastAsia="Arial" w:hAnsi="Arial"/>
          <w:b/>
          <w:bCs/>
          <w:sz w:val="22"/>
          <w:szCs w:val="22"/>
        </w:rPr>
        <w:t xml:space="preserve">Concurrency: </w:t>
      </w:r>
      <w:r>
        <w:rPr>
          <w:rFonts w:ascii="Arial" w:cs="Arial" w:eastAsia="Arial" w:hAnsi="Arial"/>
          <w:sz w:val="22"/>
          <w:szCs w:val="22"/>
        </w:rPr>
        <w:t xml:space="preserve">Goroutine lifecycle management through context cancellation. Channel communication preferred over shared memory. WaitGroups for fan-out patterns. Leak detection tooling mandatory in CI.</w:t>
      </w:r>
    </w:p>
    <w:p>
      <w:pPr>
        <w:pStyle w:val="ListParagraph"/>
        <w:numPr>
          <w:ilvl w:val="0"/>
          <w:numId w:val="3"/>
        </w:numPr>
        <w:spacing w:after="60"/>
      </w:pPr>
      <w:r>
        <w:rPr>
          <w:rFonts w:ascii="Arial" w:cs="Arial" w:eastAsia="Arial" w:hAnsi="Arial"/>
          <w:b/>
          <w:bCs/>
          <w:sz w:val="22"/>
          <w:szCs w:val="22"/>
        </w:rPr>
        <w:t xml:space="preserve">Interface Design: </w:t>
      </w:r>
      <w:r>
        <w:rPr>
          <w:rFonts w:ascii="Arial" w:cs="Arial" w:eastAsia="Arial" w:hAnsi="Arial"/>
          <w:sz w:val="22"/>
          <w:szCs w:val="22"/>
        </w:rPr>
        <w:t xml:space="preserve">Accept interfaces, return structs. Small interfaces (1-3 methods) preferred. Interface satisfaction is implicit and must be verified by compile-time assertions.</w:t>
      </w:r>
    </w:p>
    <w:p>
      <w:pPr>
        <w:pStyle w:val="Heading3"/>
        <w:spacing w:before="200" w:after="120"/>
      </w:pPr>
      <w:r>
        <w:rPr>
          <w:rFonts w:ascii="Arial" w:cs="Arial" w:eastAsia="Arial" w:hAnsi="Arial"/>
          <w:b/>
          <w:bCs/>
          <w:color w:val="1B3A5C"/>
          <w:sz w:val="24"/>
          <w:szCs w:val="24"/>
        </w:rPr>
        <w:t xml:space="preserve">Enforcement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5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Feedback Time</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IDE / Pre-Commit</w:t>
            </w:r>
          </w:p>
        </w:tc>
        <w:tc>
          <w:tcPr>
            <w:tcW w:type="dxa" w:w="5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Language-specific linters, formatters, and AI suggestions with real-time feedback</w:t>
            </w:r>
          </w:p>
        </w:tc>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1 second</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Pre-Push Hooks</w:t>
            </w:r>
          </w:p>
        </w:tc>
        <w:tc>
          <w:tcPr>
            <w:tcW w:type="dxa" w:w="5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Automated style checks, complexity analysis, and type validation before code leaves developer machine</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30 seconds</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CI Pipeline - Fast</w:t>
            </w:r>
          </w:p>
        </w:tc>
        <w:tc>
          <w:tcPr>
            <w:tcW w:type="dxa" w:w="5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SAST, unit tests, coverage gates, and license compliance on every commit</w:t>
            </w:r>
          </w:p>
        </w:tc>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5 minutes</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CI Pipeline - Full</w:t>
            </w:r>
          </w:p>
        </w:tc>
        <w:tc>
          <w:tcPr>
            <w:tcW w:type="dxa" w:w="5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Integration tests, security scans, architecture conformance checks on merge requests</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15 minutes</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AI Code Review</w:t>
            </w:r>
          </w:p>
        </w:tc>
        <w:tc>
          <w:tcPr>
            <w:tcW w:type="dxa" w:w="5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Automated review by AI agents evaluating standards compliance, pattern adherence, and defect probability</w:t>
            </w:r>
          </w:p>
        </w:tc>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10 minutes</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Human Review</w:t>
            </w:r>
          </w:p>
        </w:tc>
        <w:tc>
          <w:tcPr>
            <w:tcW w:type="dxa" w:w="5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Architectural decisions, security-sensitive code, and AI-generated code validation by senior engineers</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24 hours</w:t>
            </w:r>
          </w:p>
        </w:tc>
      </w:tr>
    </w:tbl>
    <w:p>
      <w:r>
        <w:br w:type="page"/>
      </w:r>
    </w:p>
    <w:p>
      <w:pPr>
        <w:pStyle w:val="Heading2"/>
        <w:spacing w:before="280" w:after="160"/>
      </w:pPr>
      <w:r>
        <w:rPr>
          <w:rFonts w:ascii="Arial" w:cs="Arial" w:eastAsia="Arial" w:hAnsi="Arial"/>
          <w:b/>
          <w:bCs/>
          <w:color w:val="2E75B6"/>
          <w:sz w:val="28"/>
          <w:szCs w:val="28"/>
        </w:rPr>
        <w:t xml:space="preserve">VIII.3 — Architecture Patterns and Design Standards</w:t>
      </w:r>
    </w:p>
    <w:p>
      <w:pPr>
        <w:spacing w:after="120"/>
      </w:pPr>
      <w:r>
        <w:rPr>
          <w:rFonts w:ascii="Arial" w:cs="Arial" w:eastAsia="Arial" w:hAnsi="Arial"/>
          <w:sz w:val="22"/>
          <w:szCs w:val="22"/>
        </w:rPr>
        <w:t xml:space="preserve">Architecture standards define approved patterns, anti-patterns, and decision frameworks for system design across all application tiers. These standards ensure that individual component designs compose into coherent enterprise systems while maintaining appropriate boundaries for independent evolution and deployment.</w:t>
      </w:r>
    </w:p>
    <w:p>
      <w:pPr>
        <w:pStyle w:val="Heading3"/>
        <w:spacing w:before="200" w:after="120"/>
      </w:pPr>
      <w:r>
        <w:rPr>
          <w:rFonts w:ascii="Arial" w:cs="Arial" w:eastAsia="Arial" w:hAnsi="Arial"/>
          <w:b/>
          <w:bCs/>
          <w:color w:val="1B3A5C"/>
          <w:sz w:val="24"/>
          <w:szCs w:val="24"/>
        </w:rPr>
        <w:t xml:space="preserve">Approved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c>
          <w:tcPr>
            <w:tcW w:type="dxa" w:w="3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Governance Requirements</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Microservices</w:t>
            </w:r>
          </w:p>
        </w:tc>
        <w:tc>
          <w:tcPr>
            <w:tcW w:type="dxa" w:w="37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Domain-bounded services requiring independent deployment and scaling</w:t>
            </w:r>
          </w:p>
        </w:tc>
        <w:tc>
          <w:tcPr>
            <w:tcW w:type="dxa" w:w="3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Service contract registry, API versioning, distributed tracing mandatory</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Event-Driven Architecture</w:t>
            </w:r>
          </w:p>
        </w:tc>
        <w:tc>
          <w:tcPr>
            <w:tcW w:type="dxa" w:w="3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Loosely coupled systems requiring asynchronous communication and temporal decoupling</w:t>
            </w:r>
          </w:p>
        </w:tc>
        <w:tc>
          <w:tcPr>
            <w:tcW w:type="dxa" w:w="3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Schema registry, dead letter handling, idempotency requirements</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Domain-Driven Design</w:t>
            </w:r>
          </w:p>
        </w:tc>
        <w:tc>
          <w:tcPr>
            <w:tcW w:type="dxa" w:w="37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Complex business domains requiring rich domain models and bounded context isolation</w:t>
            </w:r>
          </w:p>
        </w:tc>
        <w:tc>
          <w:tcPr>
            <w:tcW w:type="dxa" w:w="3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Context mapping, ubiquitous language glossary, aggregate design review</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CQRS / Event Sourcing</w:t>
            </w:r>
          </w:p>
        </w:tc>
        <w:tc>
          <w:tcPr>
            <w:tcW w:type="dxa" w:w="3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Systems requiring audit trails, temporal queries, or separation of read/write optimization</w:t>
            </w:r>
          </w:p>
        </w:tc>
        <w:tc>
          <w:tcPr>
            <w:tcW w:type="dxa" w:w="3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Event store governance, projection management, snapshotting policy</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Serverless / FaaS</w:t>
            </w:r>
          </w:p>
        </w:tc>
        <w:tc>
          <w:tcPr>
            <w:tcW w:type="dxa" w:w="37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Event-triggered, stateless workloads with variable throughput patterns</w:t>
            </w:r>
          </w:p>
        </w:tc>
        <w:tc>
          <w:tcPr>
            <w:tcW w:type="dxa" w:w="3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Cold start budgets, execution time limits, vendor lock-in assessment</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Modular Monolith</w:t>
            </w:r>
          </w:p>
        </w:tc>
        <w:tc>
          <w:tcPr>
            <w:tcW w:type="dxa" w:w="3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Early-stage products or domains with unclear boundaries requiring future decomposition</w:t>
            </w:r>
          </w:p>
        </w:tc>
        <w:tc>
          <w:tcPr>
            <w:tcW w:type="dxa" w:w="3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Module boundary enforcement, dependency rules, extraction readiness criteria</w:t>
            </w:r>
          </w:p>
        </w:tc>
      </w:tr>
    </w:tbl>
    <w:p>
      <w:pPr>
        <w:pStyle w:val="Heading3"/>
        <w:spacing w:before="200" w:after="120"/>
      </w:pPr>
      <w:r>
        <w:rPr>
          <w:rFonts w:ascii="Arial" w:cs="Arial" w:eastAsia="Arial" w:hAnsi="Arial"/>
          <w:b/>
          <w:bCs/>
          <w:color w:val="1B3A5C"/>
          <w:sz w:val="24"/>
          <w:szCs w:val="24"/>
        </w:rPr>
        <w:t xml:space="preserve">Twelve-Factor Application Compliance</w:t>
      </w:r>
    </w:p>
    <w:p>
      <w:pPr>
        <w:spacing w:after="120"/>
      </w:pPr>
      <w:r>
        <w:rPr>
          <w:rFonts w:ascii="Arial" w:cs="Arial" w:eastAsia="Arial" w:hAnsi="Arial"/>
          <w:sz w:val="22"/>
          <w:szCs w:val="22"/>
        </w:rPr>
        <w:t xml:space="preserve">All new applications must demonstrate compliance with twelve-factor methodology adapted for cloud-native and AI-augmented environments:</w:t>
      </w:r>
    </w:p>
    <w:p>
      <w:pPr>
        <w:pStyle w:val="ListParagraph"/>
        <w:numPr>
          <w:ilvl w:val="0"/>
          <w:numId w:val="4"/>
        </w:numPr>
        <w:spacing w:after="60"/>
      </w:pPr>
      <w:r>
        <w:rPr>
          <w:rFonts w:ascii="Arial" w:cs="Arial" w:eastAsia="Arial" w:hAnsi="Arial"/>
          <w:b/>
          <w:bCs/>
          <w:sz w:val="22"/>
          <w:szCs w:val="22"/>
        </w:rPr>
        <w:t xml:space="preserve">Codebase: </w:t>
      </w:r>
      <w:r>
        <w:rPr>
          <w:rFonts w:ascii="Arial" w:cs="Arial" w:eastAsia="Arial" w:hAnsi="Arial"/>
          <w:sz w:val="22"/>
          <w:szCs w:val="22"/>
        </w:rPr>
        <w:t xml:space="preserve">One codebase tracked in version control with many deployments. Monorepo or polyrepo strategies must follow approved branching models.</w:t>
      </w:r>
    </w:p>
    <w:p>
      <w:pPr>
        <w:pStyle w:val="ListParagraph"/>
        <w:numPr>
          <w:ilvl w:val="0"/>
          <w:numId w:val="4"/>
        </w:numPr>
        <w:spacing w:after="60"/>
      </w:pPr>
      <w:r>
        <w:rPr>
          <w:rFonts w:ascii="Arial" w:cs="Arial" w:eastAsia="Arial" w:hAnsi="Arial"/>
          <w:b/>
          <w:bCs/>
          <w:sz w:val="22"/>
          <w:szCs w:val="22"/>
        </w:rPr>
        <w:t xml:space="preserve">Dependencies: </w:t>
      </w:r>
      <w:r>
        <w:rPr>
          <w:rFonts w:ascii="Arial" w:cs="Arial" w:eastAsia="Arial" w:hAnsi="Arial"/>
          <w:sz w:val="22"/>
          <w:szCs w:val="22"/>
        </w:rPr>
        <w:t xml:space="preserve">Explicitly declare and isolate all dependencies. No reliance on system-level packages. Dependency lockfiles committed to version control.</w:t>
      </w:r>
    </w:p>
    <w:p>
      <w:pPr>
        <w:pStyle w:val="ListParagraph"/>
        <w:numPr>
          <w:ilvl w:val="0"/>
          <w:numId w:val="4"/>
        </w:numPr>
        <w:spacing w:after="60"/>
      </w:pPr>
      <w:r>
        <w:rPr>
          <w:rFonts w:ascii="Arial" w:cs="Arial" w:eastAsia="Arial" w:hAnsi="Arial"/>
          <w:b/>
          <w:bCs/>
          <w:sz w:val="22"/>
          <w:szCs w:val="22"/>
        </w:rPr>
        <w:t xml:space="preserve">Configuration: </w:t>
      </w:r>
      <w:r>
        <w:rPr>
          <w:rFonts w:ascii="Arial" w:cs="Arial" w:eastAsia="Arial" w:hAnsi="Arial"/>
          <w:sz w:val="22"/>
          <w:szCs w:val="22"/>
        </w:rPr>
        <w:t xml:space="preserve">Store configuration in environment variables or external configuration services. No secrets in code repositories. Configuration schema validation at startup.</w:t>
      </w:r>
    </w:p>
    <w:p>
      <w:pPr>
        <w:pStyle w:val="ListParagraph"/>
        <w:numPr>
          <w:ilvl w:val="0"/>
          <w:numId w:val="4"/>
        </w:numPr>
        <w:spacing w:after="60"/>
      </w:pPr>
      <w:r>
        <w:rPr>
          <w:rFonts w:ascii="Arial" w:cs="Arial" w:eastAsia="Arial" w:hAnsi="Arial"/>
          <w:b/>
          <w:bCs/>
          <w:sz w:val="22"/>
          <w:szCs w:val="22"/>
        </w:rPr>
        <w:t xml:space="preserve">Backing Services: </w:t>
      </w:r>
      <w:r>
        <w:rPr>
          <w:rFonts w:ascii="Arial" w:cs="Arial" w:eastAsia="Arial" w:hAnsi="Arial"/>
          <w:sz w:val="22"/>
          <w:szCs w:val="22"/>
        </w:rPr>
        <w:t xml:space="preserve">Treat all backing services as attached resources. Connection parameters externalized. Circuit breakers and fallback strategies for all external dependencies.</w:t>
      </w:r>
    </w:p>
    <w:p>
      <w:pPr>
        <w:pStyle w:val="ListParagraph"/>
        <w:numPr>
          <w:ilvl w:val="0"/>
          <w:numId w:val="4"/>
        </w:numPr>
        <w:spacing w:after="60"/>
      </w:pPr>
      <w:r>
        <w:rPr>
          <w:rFonts w:ascii="Arial" w:cs="Arial" w:eastAsia="Arial" w:hAnsi="Arial"/>
          <w:b/>
          <w:bCs/>
          <w:sz w:val="22"/>
          <w:szCs w:val="22"/>
        </w:rPr>
        <w:t xml:space="preserve">Build, Release, Run: </w:t>
      </w:r>
      <w:r>
        <w:rPr>
          <w:rFonts w:ascii="Arial" w:cs="Arial" w:eastAsia="Arial" w:hAnsi="Arial"/>
          <w:sz w:val="22"/>
          <w:szCs w:val="22"/>
        </w:rPr>
        <w:t xml:space="preserve">Strict separation between build, release, and run stages. Immutable release artifacts. Reproducible builds from any commit.</w:t>
      </w:r>
    </w:p>
    <w:p>
      <w:pPr>
        <w:pStyle w:val="ListParagraph"/>
        <w:numPr>
          <w:ilvl w:val="0"/>
          <w:numId w:val="4"/>
        </w:numPr>
        <w:spacing w:after="60"/>
      </w:pPr>
      <w:r>
        <w:rPr>
          <w:rFonts w:ascii="Arial" w:cs="Arial" w:eastAsia="Arial" w:hAnsi="Arial"/>
          <w:b/>
          <w:bCs/>
          <w:sz w:val="22"/>
          <w:szCs w:val="22"/>
        </w:rPr>
        <w:t xml:space="preserve">Processes: </w:t>
      </w:r>
      <w:r>
        <w:rPr>
          <w:rFonts w:ascii="Arial" w:cs="Arial" w:eastAsia="Arial" w:hAnsi="Arial"/>
          <w:sz w:val="22"/>
          <w:szCs w:val="22"/>
        </w:rPr>
        <w:t xml:space="preserve">Execute the application as stateless processes. Session affinity avoided. Shared state managed through external stores.</w:t>
      </w:r>
    </w:p>
    <w:p>
      <w:pPr>
        <w:pStyle w:val="ListParagraph"/>
        <w:numPr>
          <w:ilvl w:val="0"/>
          <w:numId w:val="4"/>
        </w:numPr>
        <w:spacing w:after="60"/>
      </w:pPr>
      <w:r>
        <w:rPr>
          <w:rFonts w:ascii="Arial" w:cs="Arial" w:eastAsia="Arial" w:hAnsi="Arial"/>
          <w:b/>
          <w:bCs/>
          <w:sz w:val="22"/>
          <w:szCs w:val="22"/>
        </w:rPr>
        <w:t xml:space="preserve">Port Binding: </w:t>
      </w:r>
      <w:r>
        <w:rPr>
          <w:rFonts w:ascii="Arial" w:cs="Arial" w:eastAsia="Arial" w:hAnsi="Arial"/>
          <w:sz w:val="22"/>
          <w:szCs w:val="22"/>
        </w:rPr>
        <w:t xml:space="preserve">Export services via port binding. Self-contained executables that do not depend on runtime injection of a web server.</w:t>
      </w:r>
    </w:p>
    <w:p>
      <w:pPr>
        <w:pStyle w:val="ListParagraph"/>
        <w:numPr>
          <w:ilvl w:val="0"/>
          <w:numId w:val="4"/>
        </w:numPr>
        <w:spacing w:after="60"/>
      </w:pPr>
      <w:r>
        <w:rPr>
          <w:rFonts w:ascii="Arial" w:cs="Arial" w:eastAsia="Arial" w:hAnsi="Arial"/>
          <w:b/>
          <w:bCs/>
          <w:sz w:val="22"/>
          <w:szCs w:val="22"/>
        </w:rPr>
        <w:t xml:space="preserve">Concurrency: </w:t>
      </w:r>
      <w:r>
        <w:rPr>
          <w:rFonts w:ascii="Arial" w:cs="Arial" w:eastAsia="Arial" w:hAnsi="Arial"/>
          <w:sz w:val="22"/>
          <w:szCs w:val="22"/>
        </w:rPr>
        <w:t xml:space="preserve">Scale out via the process model. Horizontal scaling preferred over vertical. Auto-scaling policies based on workload metrics.</w:t>
      </w:r>
    </w:p>
    <w:p>
      <w:pPr>
        <w:pStyle w:val="ListParagraph"/>
        <w:numPr>
          <w:ilvl w:val="0"/>
          <w:numId w:val="4"/>
        </w:numPr>
        <w:spacing w:after="60"/>
      </w:pPr>
      <w:r>
        <w:rPr>
          <w:rFonts w:ascii="Arial" w:cs="Arial" w:eastAsia="Arial" w:hAnsi="Arial"/>
          <w:b/>
          <w:bCs/>
          <w:sz w:val="22"/>
          <w:szCs w:val="22"/>
        </w:rPr>
        <w:t xml:space="preserve">Disposability: </w:t>
      </w:r>
      <w:r>
        <w:rPr>
          <w:rFonts w:ascii="Arial" w:cs="Arial" w:eastAsia="Arial" w:hAnsi="Arial"/>
          <w:sz w:val="22"/>
          <w:szCs w:val="22"/>
        </w:rPr>
        <w:t xml:space="preserve">Maximize robustness with fast startup and graceful shutdown. Processes handle SIGTERM gracefully. Startup health checks gate traffic routing.</w:t>
      </w:r>
    </w:p>
    <w:p>
      <w:pPr>
        <w:pStyle w:val="ListParagraph"/>
        <w:numPr>
          <w:ilvl w:val="0"/>
          <w:numId w:val="4"/>
        </w:numPr>
        <w:spacing w:after="60"/>
      </w:pPr>
      <w:r>
        <w:rPr>
          <w:rFonts w:ascii="Arial" w:cs="Arial" w:eastAsia="Arial" w:hAnsi="Arial"/>
          <w:b/>
          <w:bCs/>
          <w:sz w:val="22"/>
          <w:szCs w:val="22"/>
        </w:rPr>
        <w:t xml:space="preserve">Dev/Prod Parity: </w:t>
      </w:r>
      <w:r>
        <w:rPr>
          <w:rFonts w:ascii="Arial" w:cs="Arial" w:eastAsia="Arial" w:hAnsi="Arial"/>
          <w:sz w:val="22"/>
          <w:szCs w:val="22"/>
        </w:rPr>
        <w:t xml:space="preserve">Keep development, staging, and production as similar as possible. Infrastructure-as-code ensures environment consistency.</w:t>
      </w:r>
    </w:p>
    <w:p>
      <w:pPr>
        <w:pStyle w:val="ListParagraph"/>
        <w:numPr>
          <w:ilvl w:val="0"/>
          <w:numId w:val="4"/>
        </w:numPr>
        <w:spacing w:after="60"/>
      </w:pPr>
      <w:r>
        <w:rPr>
          <w:rFonts w:ascii="Arial" w:cs="Arial" w:eastAsia="Arial" w:hAnsi="Arial"/>
          <w:b/>
          <w:bCs/>
          <w:sz w:val="22"/>
          <w:szCs w:val="22"/>
        </w:rPr>
        <w:t xml:space="preserve">Logs: </w:t>
      </w:r>
      <w:r>
        <w:rPr>
          <w:rFonts w:ascii="Arial" w:cs="Arial" w:eastAsia="Arial" w:hAnsi="Arial"/>
          <w:sz w:val="22"/>
          <w:szCs w:val="22"/>
        </w:rPr>
        <w:t xml:space="preserve">Treat logs as event streams. Write to stdout/stderr. Aggregation, indexing, and alerting handled by platform services.</w:t>
      </w:r>
    </w:p>
    <w:p>
      <w:pPr>
        <w:pStyle w:val="ListParagraph"/>
        <w:numPr>
          <w:ilvl w:val="0"/>
          <w:numId w:val="4"/>
        </w:numPr>
        <w:spacing w:after="60"/>
      </w:pPr>
      <w:r>
        <w:rPr>
          <w:rFonts w:ascii="Arial" w:cs="Arial" w:eastAsia="Arial" w:hAnsi="Arial"/>
          <w:b/>
          <w:bCs/>
          <w:sz w:val="22"/>
          <w:szCs w:val="22"/>
        </w:rPr>
        <w:t xml:space="preserve">Admin Processes: </w:t>
      </w:r>
      <w:r>
        <w:rPr>
          <w:rFonts w:ascii="Arial" w:cs="Arial" w:eastAsia="Arial" w:hAnsi="Arial"/>
          <w:sz w:val="22"/>
          <w:szCs w:val="22"/>
        </w:rPr>
        <w:t xml:space="preserve">Run admin and management tasks as one-off processes. Database migrations, data fixes, and maintenance scripts tracked in version control.</w:t>
      </w:r>
    </w:p>
    <w:p>
      <w:pPr>
        <w:pStyle w:val="Heading3"/>
        <w:spacing w:before="200" w:after="120"/>
      </w:pPr>
      <w:r>
        <w:rPr>
          <w:rFonts w:ascii="Arial" w:cs="Arial" w:eastAsia="Arial" w:hAnsi="Arial"/>
          <w:b/>
          <w:bCs/>
          <w:color w:val="1B3A5C"/>
          <w:sz w:val="24"/>
          <w:szCs w:val="24"/>
        </w:rPr>
        <w:t xml:space="preserve">Anti-Pattern Registry</w:t>
      </w:r>
    </w:p>
    <w:p>
      <w:pPr>
        <w:spacing w:after="120"/>
      </w:pPr>
      <w:r>
        <w:rPr>
          <w:rFonts w:ascii="Arial" w:cs="Arial" w:eastAsia="Arial" w:hAnsi="Arial"/>
          <w:sz w:val="22"/>
          <w:szCs w:val="22"/>
        </w:rPr>
        <w:t xml:space="preserve">The following patterns are explicitly prohibited and flagged by automated architecture conformance tools:</w:t>
      </w:r>
    </w:p>
    <w:p>
      <w:pPr>
        <w:pStyle w:val="ListParagraph"/>
        <w:numPr>
          <w:ilvl w:val="0"/>
          <w:numId w:val="3"/>
        </w:numPr>
        <w:spacing w:after="60"/>
      </w:pPr>
      <w:r>
        <w:rPr>
          <w:rFonts w:ascii="Arial" w:cs="Arial" w:eastAsia="Arial" w:hAnsi="Arial"/>
          <w:b/>
          <w:bCs/>
          <w:sz w:val="22"/>
          <w:szCs w:val="22"/>
        </w:rPr>
        <w:t xml:space="preserve">Distributed Monolith: </w:t>
      </w:r>
      <w:r>
        <w:rPr>
          <w:rFonts w:ascii="Arial" w:cs="Arial" w:eastAsia="Arial" w:hAnsi="Arial"/>
          <w:sz w:val="22"/>
          <w:szCs w:val="22"/>
        </w:rPr>
        <w:t xml:space="preserve">Microservices with tight coupling, shared databases, or synchronous call chains that negate the benefits of service decomposition.</w:t>
      </w:r>
    </w:p>
    <w:p>
      <w:pPr>
        <w:pStyle w:val="ListParagraph"/>
        <w:numPr>
          <w:ilvl w:val="0"/>
          <w:numId w:val="3"/>
        </w:numPr>
        <w:spacing w:after="60"/>
      </w:pPr>
      <w:r>
        <w:rPr>
          <w:rFonts w:ascii="Arial" w:cs="Arial" w:eastAsia="Arial" w:hAnsi="Arial"/>
          <w:b/>
          <w:bCs/>
          <w:sz w:val="22"/>
          <w:szCs w:val="22"/>
        </w:rPr>
        <w:t xml:space="preserve">God Service: </w:t>
      </w:r>
      <w:r>
        <w:rPr>
          <w:rFonts w:ascii="Arial" w:cs="Arial" w:eastAsia="Arial" w:hAnsi="Arial"/>
          <w:sz w:val="22"/>
          <w:szCs w:val="22"/>
        </w:rPr>
        <w:t xml:space="preserve">Services that aggregate too many responsibilities, exceeding bounded context boundaries and creating deployment bottlenecks.</w:t>
      </w:r>
    </w:p>
    <w:p>
      <w:pPr>
        <w:pStyle w:val="ListParagraph"/>
        <w:numPr>
          <w:ilvl w:val="0"/>
          <w:numId w:val="3"/>
        </w:numPr>
        <w:spacing w:after="60"/>
      </w:pPr>
      <w:r>
        <w:rPr>
          <w:rFonts w:ascii="Arial" w:cs="Arial" w:eastAsia="Arial" w:hAnsi="Arial"/>
          <w:b/>
          <w:bCs/>
          <w:sz w:val="22"/>
          <w:szCs w:val="22"/>
        </w:rPr>
        <w:t xml:space="preserve">Shared Mutable State: </w:t>
      </w:r>
      <w:r>
        <w:rPr>
          <w:rFonts w:ascii="Arial" w:cs="Arial" w:eastAsia="Arial" w:hAnsi="Arial"/>
          <w:sz w:val="22"/>
          <w:szCs w:val="22"/>
        </w:rPr>
        <w:t xml:space="preserve">Direct database sharing between services. All inter-service data access must flow through published APIs or event contracts.</w:t>
      </w:r>
    </w:p>
    <w:p>
      <w:pPr>
        <w:pStyle w:val="ListParagraph"/>
        <w:numPr>
          <w:ilvl w:val="0"/>
          <w:numId w:val="3"/>
        </w:numPr>
        <w:spacing w:after="60"/>
      </w:pPr>
      <w:r>
        <w:rPr>
          <w:rFonts w:ascii="Arial" w:cs="Arial" w:eastAsia="Arial" w:hAnsi="Arial"/>
          <w:b/>
          <w:bCs/>
          <w:sz w:val="22"/>
          <w:szCs w:val="22"/>
        </w:rPr>
        <w:t xml:space="preserve">Chatty Interfaces: </w:t>
      </w:r>
      <w:r>
        <w:rPr>
          <w:rFonts w:ascii="Arial" w:cs="Arial" w:eastAsia="Arial" w:hAnsi="Arial"/>
          <w:sz w:val="22"/>
          <w:szCs w:val="22"/>
        </w:rPr>
        <w:t xml:space="preserve">APIs requiring multiple sequential calls to complete a single logical operation. Composite APIs or BFF patterns required for complex aggregation.</w:t>
      </w:r>
    </w:p>
    <w:p>
      <w:pPr>
        <w:pStyle w:val="ListParagraph"/>
        <w:numPr>
          <w:ilvl w:val="0"/>
          <w:numId w:val="3"/>
        </w:numPr>
        <w:spacing w:after="60"/>
      </w:pPr>
      <w:r>
        <w:rPr>
          <w:rFonts w:ascii="Arial" w:cs="Arial" w:eastAsia="Arial" w:hAnsi="Arial"/>
          <w:b/>
          <w:bCs/>
          <w:sz w:val="22"/>
          <w:szCs w:val="22"/>
        </w:rPr>
        <w:t xml:space="preserve">Hardcoded Infrastructure: </w:t>
      </w:r>
      <w:r>
        <w:rPr>
          <w:rFonts w:ascii="Arial" w:cs="Arial" w:eastAsia="Arial" w:hAnsi="Arial"/>
          <w:sz w:val="22"/>
          <w:szCs w:val="22"/>
        </w:rPr>
        <w:t xml:space="preserve">Service discovery, connection strings, or deployment targets embedded in application code rather than externalized configuration.</w:t>
      </w:r>
    </w:p>
    <w:p>
      <w:r>
        <w:br w:type="page"/>
      </w:r>
    </w:p>
    <w:p>
      <w:pPr>
        <w:pStyle w:val="Heading2"/>
        <w:spacing w:before="280" w:after="160"/>
      </w:pPr>
      <w:r>
        <w:rPr>
          <w:rFonts w:ascii="Arial" w:cs="Arial" w:eastAsia="Arial" w:hAnsi="Arial"/>
          <w:b/>
          <w:bCs/>
          <w:color w:val="2E75B6"/>
          <w:sz w:val="28"/>
          <w:szCs w:val="28"/>
        </w:rPr>
        <w:t xml:space="preserve">VIII.4 — API Design and Governance Standards</w:t>
      </w:r>
    </w:p>
    <w:p>
      <w:pPr>
        <w:spacing w:after="120"/>
      </w:pPr>
      <w:r>
        <w:rPr>
          <w:rFonts w:ascii="Arial" w:cs="Arial" w:eastAsia="Arial" w:hAnsi="Arial"/>
          <w:sz w:val="22"/>
          <w:szCs w:val="22"/>
        </w:rPr>
        <w:t xml:space="preserve">API standards govern the design, documentation, versioning, and lifecycle management of all programmatic interfaces exposed by enterprise systems. APIs are treated as first-class products with formal lifecycle governance, consumer contracts, and quality metrics.</w:t>
      </w:r>
    </w:p>
    <w:p>
      <w:pPr>
        <w:pStyle w:val="Heading3"/>
        <w:spacing w:before="200" w:after="120"/>
      </w:pPr>
      <w:r>
        <w:rPr>
          <w:rFonts w:ascii="Arial" w:cs="Arial" w:eastAsia="Arial" w:hAnsi="Arial"/>
          <w:b/>
          <w:bCs/>
          <w:color w:val="1B3A5C"/>
          <w:sz w:val="24"/>
          <w:szCs w:val="24"/>
        </w:rPr>
        <w:t xml:space="preserve">RESTful API Standards</w:t>
      </w:r>
    </w:p>
    <w:p>
      <w:pPr>
        <w:pStyle w:val="ListParagraph"/>
        <w:numPr>
          <w:ilvl w:val="0"/>
          <w:numId w:val="3"/>
        </w:numPr>
        <w:spacing w:after="60"/>
      </w:pPr>
      <w:r>
        <w:rPr>
          <w:rFonts w:ascii="Arial" w:cs="Arial" w:eastAsia="Arial" w:hAnsi="Arial"/>
          <w:b/>
          <w:bCs/>
          <w:sz w:val="22"/>
          <w:szCs w:val="22"/>
        </w:rPr>
        <w:t xml:space="preserve">Resource Naming: </w:t>
      </w:r>
      <w:r>
        <w:rPr>
          <w:rFonts w:ascii="Arial" w:cs="Arial" w:eastAsia="Arial" w:hAnsi="Arial"/>
          <w:sz w:val="22"/>
          <w:szCs w:val="22"/>
        </w:rPr>
        <w:t xml:space="preserve">Plural nouns for collections, singular for singletons. Hierarchical nesting limited to two levels maximum. Consistent use of kebab-case for multi-word resource names.</w:t>
      </w:r>
    </w:p>
    <w:p>
      <w:pPr>
        <w:pStyle w:val="ListParagraph"/>
        <w:numPr>
          <w:ilvl w:val="0"/>
          <w:numId w:val="3"/>
        </w:numPr>
        <w:spacing w:after="60"/>
      </w:pPr>
      <w:r>
        <w:rPr>
          <w:rFonts w:ascii="Arial" w:cs="Arial" w:eastAsia="Arial" w:hAnsi="Arial"/>
          <w:b/>
          <w:bCs/>
          <w:sz w:val="22"/>
          <w:szCs w:val="22"/>
        </w:rPr>
        <w:t xml:space="preserve">HTTP Methods: </w:t>
      </w:r>
      <w:r>
        <w:rPr>
          <w:rFonts w:ascii="Arial" w:cs="Arial" w:eastAsia="Arial" w:hAnsi="Arial"/>
          <w:sz w:val="22"/>
          <w:szCs w:val="22"/>
        </w:rPr>
        <w:t xml:space="preserve">Strict adherence to method semantics (GET for retrieval, POST for creation, PUT for full replacement, PATCH for partial update, DELETE for removal). No side effects on GET requests.</w:t>
      </w:r>
    </w:p>
    <w:p>
      <w:pPr>
        <w:pStyle w:val="ListParagraph"/>
        <w:numPr>
          <w:ilvl w:val="0"/>
          <w:numId w:val="3"/>
        </w:numPr>
        <w:spacing w:after="60"/>
      </w:pPr>
      <w:r>
        <w:rPr>
          <w:rFonts w:ascii="Arial" w:cs="Arial" w:eastAsia="Arial" w:hAnsi="Arial"/>
          <w:b/>
          <w:bCs/>
          <w:sz w:val="22"/>
          <w:szCs w:val="22"/>
        </w:rPr>
        <w:t xml:space="preserve">Status Codes: </w:t>
      </w:r>
      <w:r>
        <w:rPr>
          <w:rFonts w:ascii="Arial" w:cs="Arial" w:eastAsia="Arial" w:hAnsi="Arial"/>
          <w:sz w:val="22"/>
          <w:szCs w:val="22"/>
        </w:rPr>
        <w:t xml:space="preserve">Appropriate HTTP status codes for all responses. 2xx for success, 4xx for client errors with actionable error messages, 5xx for server errors with correlation IDs. Never return 200 for error conditions.</w:t>
      </w:r>
    </w:p>
    <w:p>
      <w:pPr>
        <w:pStyle w:val="ListParagraph"/>
        <w:numPr>
          <w:ilvl w:val="0"/>
          <w:numId w:val="3"/>
        </w:numPr>
        <w:spacing w:after="60"/>
      </w:pPr>
      <w:r>
        <w:rPr>
          <w:rFonts w:ascii="Arial" w:cs="Arial" w:eastAsia="Arial" w:hAnsi="Arial"/>
          <w:b/>
          <w:bCs/>
          <w:sz w:val="22"/>
          <w:szCs w:val="22"/>
        </w:rPr>
        <w:t xml:space="preserve">Pagination: </w:t>
      </w:r>
      <w:r>
        <w:rPr>
          <w:rFonts w:ascii="Arial" w:cs="Arial" w:eastAsia="Arial" w:hAnsi="Arial"/>
          <w:sz w:val="22"/>
          <w:szCs w:val="22"/>
        </w:rPr>
        <w:t xml:space="preserve">Cursor-based pagination for large collections. Offset-based pagination permitted only for small, stable datasets. Standard pagination envelope with total count, next/previous links.</w:t>
      </w:r>
    </w:p>
    <w:p>
      <w:pPr>
        <w:pStyle w:val="ListParagraph"/>
        <w:numPr>
          <w:ilvl w:val="0"/>
          <w:numId w:val="3"/>
        </w:numPr>
        <w:spacing w:after="60"/>
      </w:pPr>
      <w:r>
        <w:rPr>
          <w:rFonts w:ascii="Arial" w:cs="Arial" w:eastAsia="Arial" w:hAnsi="Arial"/>
          <w:b/>
          <w:bCs/>
          <w:sz w:val="22"/>
          <w:szCs w:val="22"/>
        </w:rPr>
        <w:t xml:space="preserve">Filtering and Sorting: </w:t>
      </w:r>
      <w:r>
        <w:rPr>
          <w:rFonts w:ascii="Arial" w:cs="Arial" w:eastAsia="Arial" w:hAnsi="Arial"/>
          <w:sz w:val="22"/>
          <w:szCs w:val="22"/>
        </w:rPr>
        <w:t xml:space="preserve">Consistent query parameter conventions for filtering, sorting, and field selection. Complex queries supported through dedicated search endpoints.</w:t>
      </w:r>
    </w:p>
    <w:p>
      <w:pPr>
        <w:pStyle w:val="ListParagraph"/>
        <w:numPr>
          <w:ilvl w:val="0"/>
          <w:numId w:val="3"/>
        </w:numPr>
        <w:spacing w:after="60"/>
      </w:pPr>
      <w:r>
        <w:rPr>
          <w:rFonts w:ascii="Arial" w:cs="Arial" w:eastAsia="Arial" w:hAnsi="Arial"/>
          <w:b/>
          <w:bCs/>
          <w:sz w:val="22"/>
          <w:szCs w:val="22"/>
        </w:rPr>
        <w:t xml:space="preserve">HATEOAS: </w:t>
      </w:r>
      <w:r>
        <w:rPr>
          <w:rFonts w:ascii="Arial" w:cs="Arial" w:eastAsia="Arial" w:hAnsi="Arial"/>
          <w:sz w:val="22"/>
          <w:szCs w:val="22"/>
        </w:rPr>
        <w:t xml:space="preserve">Hypermedia links included in responses for discoverable navigation. Link relations follow IANA registry or enterprise-defined extensions.</w:t>
      </w:r>
    </w:p>
    <w:p>
      <w:pPr>
        <w:pStyle w:val="Heading3"/>
        <w:spacing w:before="200" w:after="120"/>
      </w:pPr>
      <w:r>
        <w:rPr>
          <w:rFonts w:ascii="Arial" w:cs="Arial" w:eastAsia="Arial" w:hAnsi="Arial"/>
          <w:b/>
          <w:bCs/>
          <w:color w:val="1B3A5C"/>
          <w:sz w:val="24"/>
          <w:szCs w:val="24"/>
        </w:rPr>
        <w:t xml:space="preserve">GraphQL Standards</w:t>
      </w:r>
    </w:p>
    <w:p>
      <w:pPr>
        <w:pStyle w:val="ListParagraph"/>
        <w:numPr>
          <w:ilvl w:val="0"/>
          <w:numId w:val="3"/>
        </w:numPr>
        <w:spacing w:after="60"/>
      </w:pPr>
      <w:r>
        <w:rPr>
          <w:rFonts w:ascii="Arial" w:cs="Arial" w:eastAsia="Arial" w:hAnsi="Arial"/>
          <w:b/>
          <w:bCs/>
          <w:sz w:val="22"/>
          <w:szCs w:val="22"/>
        </w:rPr>
        <w:t xml:space="preserve">Schema Design: </w:t>
      </w:r>
      <w:r>
        <w:rPr>
          <w:rFonts w:ascii="Arial" w:cs="Arial" w:eastAsia="Arial" w:hAnsi="Arial"/>
          <w:sz w:val="22"/>
          <w:szCs w:val="22"/>
        </w:rPr>
        <w:t xml:space="preserve">Schema-first development with collaborative design reviews. Relay-compatible connection patterns for pagination. Input types for mutations. Custom scalars for domain-specific types.</w:t>
      </w:r>
    </w:p>
    <w:p>
      <w:pPr>
        <w:pStyle w:val="ListParagraph"/>
        <w:numPr>
          <w:ilvl w:val="0"/>
          <w:numId w:val="3"/>
        </w:numPr>
        <w:spacing w:after="60"/>
      </w:pPr>
      <w:r>
        <w:rPr>
          <w:rFonts w:ascii="Arial" w:cs="Arial" w:eastAsia="Arial" w:hAnsi="Arial"/>
          <w:b/>
          <w:bCs/>
          <w:sz w:val="22"/>
          <w:szCs w:val="22"/>
        </w:rPr>
        <w:t xml:space="preserve">Performance Controls: </w:t>
      </w:r>
      <w:r>
        <w:rPr>
          <w:rFonts w:ascii="Arial" w:cs="Arial" w:eastAsia="Arial" w:hAnsi="Arial"/>
          <w:sz w:val="22"/>
          <w:szCs w:val="22"/>
        </w:rPr>
        <w:t xml:space="preserve">Query complexity analysis with configurable depth and breadth limits. Persisted queries for production traffic. Automatic query cost estimation and rate limiting.</w:t>
      </w:r>
    </w:p>
    <w:p>
      <w:pPr>
        <w:pStyle w:val="ListParagraph"/>
        <w:numPr>
          <w:ilvl w:val="0"/>
          <w:numId w:val="3"/>
        </w:numPr>
        <w:spacing w:after="60"/>
      </w:pPr>
      <w:r>
        <w:rPr>
          <w:rFonts w:ascii="Arial" w:cs="Arial" w:eastAsia="Arial" w:hAnsi="Arial"/>
          <w:b/>
          <w:bCs/>
          <w:sz w:val="22"/>
          <w:szCs w:val="22"/>
        </w:rPr>
        <w:t xml:space="preserve">Federation: </w:t>
      </w:r>
      <w:r>
        <w:rPr>
          <w:rFonts w:ascii="Arial" w:cs="Arial" w:eastAsia="Arial" w:hAnsi="Arial"/>
          <w:sz w:val="22"/>
          <w:szCs w:val="22"/>
        </w:rPr>
        <w:t xml:space="preserve">Apollo Federation or equivalent for composing distributed graphs. Entity ownership clearly defined. Subgraph boundaries aligned with domain boundaries.</w:t>
      </w:r>
    </w:p>
    <w:p>
      <w:pPr>
        <w:pStyle w:val="Heading3"/>
        <w:spacing w:before="200" w:after="120"/>
      </w:pPr>
      <w:r>
        <w:rPr>
          <w:rFonts w:ascii="Arial" w:cs="Arial" w:eastAsia="Arial" w:hAnsi="Arial"/>
          <w:b/>
          <w:bCs/>
          <w:color w:val="1B3A5C"/>
          <w:sz w:val="24"/>
          <w:szCs w:val="24"/>
        </w:rPr>
        <w:t xml:space="preserve">API Versioning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3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3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Migration Requirements</w:t>
            </w:r>
          </w:p>
        </w:tc>
      </w:tr>
      <w:tr>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URI Versioning (/v1/, /v2/)</w:t>
            </w:r>
          </w:p>
        </w:tc>
        <w:tc>
          <w:tcPr>
            <w:tcW w:type="dxa" w:w="3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Public-facing and partner APIs requiring explicit version isolation</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Minimum 12-month deprecation window with active consumer notification</w:t>
            </w:r>
          </w:p>
        </w:tc>
      </w:tr>
      <w:tr>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Header Versioning</w:t>
            </w:r>
          </w:p>
        </w:tc>
        <w:tc>
          <w:tcPr>
            <w:tcW w:type="dxa" w:w="3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Internal APIs with controlled consumer base</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6-month deprecation window with automated consumer discovery</w:t>
            </w:r>
          </w:p>
        </w:tc>
      </w:tr>
      <w:tr>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Content Negotiation</w:t>
            </w:r>
          </w:p>
        </w:tc>
        <w:tc>
          <w:tcPr>
            <w:tcW w:type="dxa" w:w="3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APIs requiring fine-grained version control at resource level</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Schema evolution tracking with backward compatibility validation</w:t>
            </w:r>
          </w:p>
        </w:tc>
      </w:tr>
      <w:tr>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Additive Evolution</w:t>
            </w:r>
          </w:p>
        </w:tc>
        <w:tc>
          <w:tcPr>
            <w:tcW w:type="dxa" w:w="3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Internal APIs where breaking changes are avoidable through careful schema extension</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Continuous compatibility testing against all registered consumers</w:t>
            </w:r>
          </w:p>
        </w:tc>
      </w:tr>
    </w:tbl>
    <w:p>
      <w:pPr>
        <w:pStyle w:val="Heading3"/>
        <w:spacing w:before="200" w:after="120"/>
      </w:pPr>
      <w:r>
        <w:rPr>
          <w:rFonts w:ascii="Arial" w:cs="Arial" w:eastAsia="Arial" w:hAnsi="Arial"/>
          <w:b/>
          <w:bCs/>
          <w:color w:val="1B3A5C"/>
          <w:sz w:val="24"/>
          <w:szCs w:val="24"/>
        </w:rPr>
        <w:t xml:space="preserve">API Lifecycle Governance</w:t>
      </w:r>
    </w:p>
    <w:p>
      <w:pPr>
        <w:pStyle w:val="ListParagraph"/>
        <w:numPr>
          <w:ilvl w:val="0"/>
          <w:numId w:val="5"/>
        </w:numPr>
        <w:spacing w:after="60"/>
      </w:pPr>
      <w:r>
        <w:rPr>
          <w:rFonts w:ascii="Arial" w:cs="Arial" w:eastAsia="Arial" w:hAnsi="Arial"/>
          <w:b/>
          <w:bCs/>
          <w:sz w:val="22"/>
          <w:szCs w:val="22"/>
        </w:rPr>
        <w:t xml:space="preserve">Design Phase: </w:t>
      </w:r>
      <w:r>
        <w:rPr>
          <w:rFonts w:ascii="Arial" w:cs="Arial" w:eastAsia="Arial" w:hAnsi="Arial"/>
          <w:sz w:val="22"/>
          <w:szCs w:val="22"/>
        </w:rPr>
        <w:t xml:space="preserve">API proposals submitted through the API Design Review Board. OpenAPI or AsyncAPI specifications required before implementation begins. Consumer impact assessment for all new APIs.</w:t>
      </w:r>
    </w:p>
    <w:p>
      <w:pPr>
        <w:pStyle w:val="ListParagraph"/>
        <w:numPr>
          <w:ilvl w:val="0"/>
          <w:numId w:val="5"/>
        </w:numPr>
        <w:spacing w:after="60"/>
      </w:pPr>
      <w:r>
        <w:rPr>
          <w:rFonts w:ascii="Arial" w:cs="Arial" w:eastAsia="Arial" w:hAnsi="Arial"/>
          <w:b/>
          <w:bCs/>
          <w:sz w:val="22"/>
          <w:szCs w:val="22"/>
        </w:rPr>
        <w:t xml:space="preserve">Development Phase: </w:t>
      </w:r>
      <w:r>
        <w:rPr>
          <w:rFonts w:ascii="Arial" w:cs="Arial" w:eastAsia="Arial" w:hAnsi="Arial"/>
          <w:sz w:val="22"/>
          <w:szCs w:val="22"/>
        </w:rPr>
        <w:t xml:space="preserve">Contract-first development with generated server stubs and client SDKs. Mock servers available from specification approval. Integration tests validate specification compliance.</w:t>
      </w:r>
    </w:p>
    <w:p>
      <w:pPr>
        <w:pStyle w:val="ListParagraph"/>
        <w:numPr>
          <w:ilvl w:val="0"/>
          <w:numId w:val="5"/>
        </w:numPr>
        <w:spacing w:after="60"/>
      </w:pPr>
      <w:r>
        <w:rPr>
          <w:rFonts w:ascii="Arial" w:cs="Arial" w:eastAsia="Arial" w:hAnsi="Arial"/>
          <w:b/>
          <w:bCs/>
          <w:sz w:val="22"/>
          <w:szCs w:val="22"/>
        </w:rPr>
        <w:t xml:space="preserve">Publication Phase: </w:t>
      </w:r>
      <w:r>
        <w:rPr>
          <w:rFonts w:ascii="Arial" w:cs="Arial" w:eastAsia="Arial" w:hAnsi="Arial"/>
          <w:sz w:val="22"/>
          <w:szCs w:val="22"/>
        </w:rPr>
        <w:t xml:space="preserve">APIs registered in the enterprise API catalog. Documentation auto-generated from specifications. Developer portal access provisioned with self-service API key management.</w:t>
      </w:r>
    </w:p>
    <w:p>
      <w:pPr>
        <w:pStyle w:val="ListParagraph"/>
        <w:numPr>
          <w:ilvl w:val="0"/>
          <w:numId w:val="5"/>
        </w:numPr>
        <w:spacing w:after="60"/>
      </w:pPr>
      <w:r>
        <w:rPr>
          <w:rFonts w:ascii="Arial" w:cs="Arial" w:eastAsia="Arial" w:hAnsi="Arial"/>
          <w:b/>
          <w:bCs/>
          <w:sz w:val="22"/>
          <w:szCs w:val="22"/>
        </w:rPr>
        <w:t xml:space="preserve">Monitoring Phase: </w:t>
      </w:r>
      <w:r>
        <w:rPr>
          <w:rFonts w:ascii="Arial" w:cs="Arial" w:eastAsia="Arial" w:hAnsi="Arial"/>
          <w:sz w:val="22"/>
          <w:szCs w:val="22"/>
        </w:rPr>
        <w:t xml:space="preserve">Real-time usage analytics, latency tracking, and error rate monitoring. Consumer health dashboards. SLA compliance tracking against published guarantees.</w:t>
      </w:r>
    </w:p>
    <w:p>
      <w:pPr>
        <w:pStyle w:val="ListParagraph"/>
        <w:numPr>
          <w:ilvl w:val="0"/>
          <w:numId w:val="5"/>
        </w:numPr>
        <w:spacing w:after="60"/>
      </w:pPr>
      <w:r>
        <w:rPr>
          <w:rFonts w:ascii="Arial" w:cs="Arial" w:eastAsia="Arial" w:hAnsi="Arial"/>
          <w:b/>
          <w:bCs/>
          <w:sz w:val="22"/>
          <w:szCs w:val="22"/>
        </w:rPr>
        <w:t xml:space="preserve">Deprecation Phase: </w:t>
      </w:r>
      <w:r>
        <w:rPr>
          <w:rFonts w:ascii="Arial" w:cs="Arial" w:eastAsia="Arial" w:hAnsi="Arial"/>
          <w:sz w:val="22"/>
          <w:szCs w:val="22"/>
        </w:rPr>
        <w:t xml:space="preserve">Formal deprecation notice with migration guides. Consumer outreach program. Sunset headers in responses. Traffic monitoring to confirm consumer migration before retirement.</w:t>
      </w:r>
    </w:p>
    <w:p>
      <w:r>
        <w:br w:type="page"/>
      </w:r>
    </w:p>
    <w:p>
      <w:pPr>
        <w:pStyle w:val="Heading2"/>
        <w:spacing w:before="280" w:after="160"/>
      </w:pPr>
      <w:r>
        <w:rPr>
          <w:rFonts w:ascii="Arial" w:cs="Arial" w:eastAsia="Arial" w:hAnsi="Arial"/>
          <w:b/>
          <w:bCs/>
          <w:color w:val="2E75B6"/>
          <w:sz w:val="28"/>
          <w:szCs w:val="28"/>
        </w:rPr>
        <w:t xml:space="preserve">VIII.5 — Database and Data Access Standards</w:t>
      </w:r>
    </w:p>
    <w:p>
      <w:pPr>
        <w:spacing w:after="120"/>
      </w:pPr>
      <w:r>
        <w:rPr>
          <w:rFonts w:ascii="Arial" w:cs="Arial" w:eastAsia="Arial" w:hAnsi="Arial"/>
          <w:sz w:val="22"/>
          <w:szCs w:val="22"/>
        </w:rPr>
        <w:t xml:space="preserve">Database standards govern data modeling, query patterns, migration strategies, and data access layer design across all persistence technologies. These standards ensure data integrity, performance, security, and compliance with data governance policies throughout the application lifecycle.</w:t>
      </w:r>
    </w:p>
    <w:p>
      <w:pPr>
        <w:pStyle w:val="Heading3"/>
        <w:spacing w:before="200" w:after="120"/>
      </w:pPr>
      <w:r>
        <w:rPr>
          <w:rFonts w:ascii="Arial" w:cs="Arial" w:eastAsia="Arial" w:hAnsi="Arial"/>
          <w:b/>
          <w:bCs/>
          <w:color w:val="1B3A5C"/>
          <w:sz w:val="24"/>
          <w:szCs w:val="24"/>
        </w:rPr>
        <w:t xml:space="preserve">Data Modeling Standards</w:t>
      </w:r>
    </w:p>
    <w:p>
      <w:pPr>
        <w:pStyle w:val="ListParagraph"/>
        <w:numPr>
          <w:ilvl w:val="0"/>
          <w:numId w:val="3"/>
        </w:numPr>
        <w:spacing w:after="60"/>
      </w:pPr>
      <w:r>
        <w:rPr>
          <w:rFonts w:ascii="Arial" w:cs="Arial" w:eastAsia="Arial" w:hAnsi="Arial"/>
          <w:b/>
          <w:bCs/>
          <w:sz w:val="22"/>
          <w:szCs w:val="22"/>
        </w:rPr>
        <w:t xml:space="preserve">Relational Modeling: </w:t>
      </w:r>
      <w:r>
        <w:rPr>
          <w:rFonts w:ascii="Arial" w:cs="Arial" w:eastAsia="Arial" w:hAnsi="Arial"/>
          <w:sz w:val="22"/>
          <w:szCs w:val="22"/>
        </w:rPr>
        <w:t xml:space="preserve">Third normal form (3NF) as baseline for transactional systems. Denormalization permitted only with documented performance justification and data consistency strategy. Foreign key constraints enforced at the database level.</w:t>
      </w:r>
    </w:p>
    <w:p>
      <w:pPr>
        <w:pStyle w:val="ListParagraph"/>
        <w:numPr>
          <w:ilvl w:val="0"/>
          <w:numId w:val="3"/>
        </w:numPr>
        <w:spacing w:after="60"/>
      </w:pPr>
      <w:r>
        <w:rPr>
          <w:rFonts w:ascii="Arial" w:cs="Arial" w:eastAsia="Arial" w:hAnsi="Arial"/>
          <w:b/>
          <w:bCs/>
          <w:sz w:val="22"/>
          <w:szCs w:val="22"/>
        </w:rPr>
        <w:t xml:space="preserve">NoSQL Modeling: </w:t>
      </w:r>
      <w:r>
        <w:rPr>
          <w:rFonts w:ascii="Arial" w:cs="Arial" w:eastAsia="Arial" w:hAnsi="Arial"/>
          <w:sz w:val="22"/>
          <w:szCs w:val="22"/>
        </w:rPr>
        <w:t xml:space="preserve">Access-pattern-driven design. Single-table design for DynamoDB workloads. Document schema validation enforced at the application layer with versioned schemas.</w:t>
      </w:r>
    </w:p>
    <w:p>
      <w:pPr>
        <w:pStyle w:val="ListParagraph"/>
        <w:numPr>
          <w:ilvl w:val="0"/>
          <w:numId w:val="3"/>
        </w:numPr>
        <w:spacing w:after="60"/>
      </w:pPr>
      <w:r>
        <w:rPr>
          <w:rFonts w:ascii="Arial" w:cs="Arial" w:eastAsia="Arial" w:hAnsi="Arial"/>
          <w:b/>
          <w:bCs/>
          <w:sz w:val="22"/>
          <w:szCs w:val="22"/>
        </w:rPr>
        <w:t xml:space="preserve">Event Store Design: </w:t>
      </w:r>
      <w:r>
        <w:rPr>
          <w:rFonts w:ascii="Arial" w:cs="Arial" w:eastAsia="Arial" w:hAnsi="Arial"/>
          <w:sz w:val="22"/>
          <w:szCs w:val="22"/>
        </w:rPr>
        <w:t xml:space="preserve">Append-only event streams with immutable event records. Event schema versioning through upcasting. Snapshot strategies for aggregates exceeding configurable event count thresholds.</w:t>
      </w:r>
    </w:p>
    <w:p>
      <w:pPr>
        <w:pStyle w:val="ListParagraph"/>
        <w:numPr>
          <w:ilvl w:val="0"/>
          <w:numId w:val="3"/>
        </w:numPr>
        <w:spacing w:after="60"/>
      </w:pPr>
      <w:r>
        <w:rPr>
          <w:rFonts w:ascii="Arial" w:cs="Arial" w:eastAsia="Arial" w:hAnsi="Arial"/>
          <w:b/>
          <w:bCs/>
          <w:sz w:val="22"/>
          <w:szCs w:val="22"/>
        </w:rPr>
        <w:t xml:space="preserve">Data Classification: </w:t>
      </w:r>
      <w:r>
        <w:rPr>
          <w:rFonts w:ascii="Arial" w:cs="Arial" w:eastAsia="Arial" w:hAnsi="Arial"/>
          <w:sz w:val="22"/>
          <w:szCs w:val="22"/>
        </w:rPr>
        <w:t xml:space="preserve">All data fields tagged with sensitivity classification (Public, Internal, Confidential, Restricted). Classification drives encryption, masking, access control, and retention policies.</w:t>
      </w:r>
    </w:p>
    <w:p>
      <w:pPr>
        <w:pStyle w:val="Heading3"/>
        <w:spacing w:before="200" w:after="120"/>
      </w:pPr>
      <w:r>
        <w:rPr>
          <w:rFonts w:ascii="Arial" w:cs="Arial" w:eastAsia="Arial" w:hAnsi="Arial"/>
          <w:b/>
          <w:bCs/>
          <w:color w:val="1B3A5C"/>
          <w:sz w:val="24"/>
          <w:szCs w:val="24"/>
        </w:rPr>
        <w:t xml:space="preserve">Query and Access Patterns</w:t>
      </w:r>
    </w:p>
    <w:p>
      <w:pPr>
        <w:pStyle w:val="ListParagraph"/>
        <w:numPr>
          <w:ilvl w:val="0"/>
          <w:numId w:val="3"/>
        </w:numPr>
        <w:spacing w:after="60"/>
      </w:pPr>
      <w:r>
        <w:rPr>
          <w:rFonts w:ascii="Arial" w:cs="Arial" w:eastAsia="Arial" w:hAnsi="Arial"/>
          <w:b/>
          <w:bCs/>
          <w:sz w:val="22"/>
          <w:szCs w:val="22"/>
        </w:rPr>
        <w:t xml:space="preserve">ORM Usage: </w:t>
      </w:r>
      <w:r>
        <w:rPr>
          <w:rFonts w:ascii="Arial" w:cs="Arial" w:eastAsia="Arial" w:hAnsi="Arial"/>
          <w:sz w:val="22"/>
          <w:szCs w:val="22"/>
        </w:rPr>
        <w:t xml:space="preserve">Approved ORM frameworks per language stack. N+1 query detection enforced in CI. Complex queries must be reviewed for execution plan efficiency. Raw SQL permitted only for performance-critical paths with documented justification.</w:t>
      </w:r>
    </w:p>
    <w:p>
      <w:pPr>
        <w:pStyle w:val="ListParagraph"/>
        <w:numPr>
          <w:ilvl w:val="0"/>
          <w:numId w:val="3"/>
        </w:numPr>
        <w:spacing w:after="60"/>
      </w:pPr>
      <w:r>
        <w:rPr>
          <w:rFonts w:ascii="Arial" w:cs="Arial" w:eastAsia="Arial" w:hAnsi="Arial"/>
          <w:b/>
          <w:bCs/>
          <w:sz w:val="22"/>
          <w:szCs w:val="22"/>
        </w:rPr>
        <w:t xml:space="preserve">Connection Management: </w:t>
      </w:r>
      <w:r>
        <w:rPr>
          <w:rFonts w:ascii="Arial" w:cs="Arial" w:eastAsia="Arial" w:hAnsi="Arial"/>
          <w:sz w:val="22"/>
          <w:szCs w:val="22"/>
        </w:rPr>
        <w:t xml:space="preserve">Connection pooling mandatory for all database access. Pool sizing based on load testing results. Connection leak detection enabled in all environments. Circuit breakers for database connections.</w:t>
      </w:r>
    </w:p>
    <w:p>
      <w:pPr>
        <w:pStyle w:val="ListParagraph"/>
        <w:numPr>
          <w:ilvl w:val="0"/>
          <w:numId w:val="3"/>
        </w:numPr>
        <w:spacing w:after="60"/>
      </w:pPr>
      <w:r>
        <w:rPr>
          <w:rFonts w:ascii="Arial" w:cs="Arial" w:eastAsia="Arial" w:hAnsi="Arial"/>
          <w:b/>
          <w:bCs/>
          <w:sz w:val="22"/>
          <w:szCs w:val="22"/>
        </w:rPr>
        <w:t xml:space="preserve">Read/Write Separation: </w:t>
      </w:r>
      <w:r>
        <w:rPr>
          <w:rFonts w:ascii="Arial" w:cs="Arial" w:eastAsia="Arial" w:hAnsi="Arial"/>
          <w:sz w:val="22"/>
          <w:szCs w:val="22"/>
        </w:rPr>
        <w:t xml:space="preserve">Read replicas for query-heavy workloads. Eventual consistency explicitly documented in API contracts. Read-after-write consistency guaranteed for user-facing operations.</w:t>
      </w:r>
    </w:p>
    <w:p>
      <w:pPr>
        <w:pStyle w:val="ListParagraph"/>
        <w:numPr>
          <w:ilvl w:val="0"/>
          <w:numId w:val="3"/>
        </w:numPr>
        <w:spacing w:after="60"/>
      </w:pPr>
      <w:r>
        <w:rPr>
          <w:rFonts w:ascii="Arial" w:cs="Arial" w:eastAsia="Arial" w:hAnsi="Arial"/>
          <w:b/>
          <w:bCs/>
          <w:sz w:val="22"/>
          <w:szCs w:val="22"/>
        </w:rPr>
        <w:t xml:space="preserve">Caching Strategy: </w:t>
      </w:r>
      <w:r>
        <w:rPr>
          <w:rFonts w:ascii="Arial" w:cs="Arial" w:eastAsia="Arial" w:hAnsi="Arial"/>
          <w:sz w:val="22"/>
          <w:szCs w:val="22"/>
        </w:rPr>
        <w:t xml:space="preserve">Cache-aside pattern as default. Write-through for latency-sensitive paths. Cache invalidation strategies documented per entity type. TTL policies aligned with data freshness requirements.</w:t>
      </w:r>
    </w:p>
    <w:p>
      <w:pPr>
        <w:pStyle w:val="Heading3"/>
        <w:spacing w:before="200" w:after="120"/>
      </w:pPr>
      <w:r>
        <w:rPr>
          <w:rFonts w:ascii="Arial" w:cs="Arial" w:eastAsia="Arial" w:hAnsi="Arial"/>
          <w:b/>
          <w:bCs/>
          <w:color w:val="1B3A5C"/>
          <w:sz w:val="24"/>
          <w:szCs w:val="24"/>
        </w:rPr>
        <w:t xml:space="preserve">Migration and Schema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4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Tooling</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Version Control</w:t>
            </w:r>
          </w:p>
        </w:tc>
        <w:tc>
          <w:tcPr>
            <w:tcW w:type="dxa" w:w="4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All schema changes tracked as versioned migration scripts</w:t>
            </w:r>
          </w:p>
        </w:tc>
        <w:tc>
          <w:tcPr>
            <w:tcW w:type="dxa" w:w="3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Flyway, Liquibase, or Alembic per technology stack</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Forward Compatibility</w:t>
            </w:r>
          </w:p>
        </w:tc>
        <w:tc>
          <w:tcPr>
            <w:tcW w:type="dxa" w:w="4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Migrations must be deployable independently of application code</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Blue-green deployment validation in staging</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Rollback Capability</w:t>
            </w:r>
          </w:p>
        </w:tc>
        <w:tc>
          <w:tcPr>
            <w:tcW w:type="dxa" w:w="4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Every migration must have a tested rollback script</w:t>
            </w:r>
          </w:p>
        </w:tc>
        <w:tc>
          <w:tcPr>
            <w:tcW w:type="dxa" w:w="3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Automated rollback testing in CI pipeline</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Zero-Downtime</w:t>
            </w:r>
          </w:p>
        </w:tc>
        <w:tc>
          <w:tcPr>
            <w:tcW w:type="dxa" w:w="4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Schema changes must not require application downtime</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Expand-contract pattern for breaking changes</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Data Integrity</w:t>
            </w:r>
          </w:p>
        </w:tc>
        <w:tc>
          <w:tcPr>
            <w:tcW w:type="dxa" w:w="4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Referential integrity maintained throughout migration</w:t>
            </w:r>
          </w:p>
        </w:tc>
        <w:tc>
          <w:tcPr>
            <w:tcW w:type="dxa" w:w="3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Pre/post migration validation scripts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Audit Trail</w:t>
            </w:r>
          </w:p>
        </w:tc>
        <w:tc>
          <w:tcPr>
            <w:tcW w:type="dxa" w:w="4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All schema changes logged with author, timestamp, and justification</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Migration metadata stored in governance database</w:t>
            </w:r>
          </w:p>
        </w:tc>
      </w:tr>
    </w:tbl>
    <w:p>
      <w:r>
        <w:br w:type="page"/>
      </w:r>
    </w:p>
    <w:p>
      <w:pPr>
        <w:pStyle w:val="Heading2"/>
        <w:spacing w:before="280" w:after="160"/>
      </w:pPr>
      <w:r>
        <w:rPr>
          <w:rFonts w:ascii="Arial" w:cs="Arial" w:eastAsia="Arial" w:hAnsi="Arial"/>
          <w:b/>
          <w:bCs/>
          <w:color w:val="2E75B6"/>
          <w:sz w:val="28"/>
          <w:szCs w:val="28"/>
        </w:rPr>
        <w:t xml:space="preserve">VIII.6 — Code Quality and Technical Debt Management</w:t>
      </w:r>
    </w:p>
    <w:p>
      <w:pPr>
        <w:spacing w:after="120"/>
      </w:pPr>
      <w:r>
        <w:rPr>
          <w:rFonts w:ascii="Arial" w:cs="Arial" w:eastAsia="Arial" w:hAnsi="Arial"/>
          <w:sz w:val="22"/>
          <w:szCs w:val="22"/>
        </w:rPr>
        <w:t xml:space="preserve">Code quality standards define measurable thresholds for code health metrics, technical debt tracking, and remediation prioritization. These standards integrate with AI-augmented analysis to provide continuous visibility into codebase health and predictive identification of quality degradation trends.</w:t>
      </w:r>
    </w:p>
    <w:p>
      <w:pPr>
        <w:pStyle w:val="Heading3"/>
        <w:spacing w:before="200" w:after="120"/>
      </w:pPr>
      <w:r>
        <w:rPr>
          <w:rFonts w:ascii="Arial" w:cs="Arial" w:eastAsia="Arial" w:hAnsi="Arial"/>
          <w:b/>
          <w:bCs/>
          <w:color w:val="1B3A5C"/>
          <w:sz w:val="24"/>
          <w:szCs w:val="24"/>
        </w:rPr>
        <w:t xml:space="preserve">Quality Gate Thresholds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tblGrid>
      <w:tr>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9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Tier 1 (Critical)</w:t>
            </w:r>
          </w:p>
        </w:tc>
        <w:tc>
          <w:tcPr>
            <w:tcW w:type="dxa" w:w="19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Tier 2 (Standard)</w:t>
            </w:r>
          </w:p>
        </w:tc>
        <w:tc>
          <w:tcPr>
            <w:tcW w:type="dxa" w:w="19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Tier 3 (Internal)</w:t>
            </w:r>
          </w:p>
        </w:tc>
      </w:tr>
      <w:tr>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Unit Test Coverage</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&gt;= 90%</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&gt;= 80%</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&gt;= 70%</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Branch Coverage</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&gt;= 85%</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&gt;= 75%</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&gt;= 65%</w:t>
            </w:r>
          </w:p>
        </w:tc>
      </w:tr>
      <w:tr>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Mutation Test Score</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&gt;= 75%</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&gt;= 60%</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Advisory</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Cyclomatic Complexity (max)</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10</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15</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20</w:t>
            </w:r>
          </w:p>
        </w:tc>
      </w:tr>
      <w:tr>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Code Duplication</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3%</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5%</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8%</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Cognitive Complexity (max)</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15</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20</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25</w:t>
            </w:r>
          </w:p>
        </w:tc>
      </w:tr>
      <w:tr>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Security Hotspots</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0 unreviewed</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0 unreviewed</w:t>
            </w:r>
          </w:p>
        </w:tc>
        <w:tc>
          <w:tcPr>
            <w:tcW w:type="dxa" w:w="19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Review within 5 days</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Documentation Coverage</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&gt;= 90% public API</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&gt;= 80% public API</w:t>
            </w:r>
          </w:p>
        </w:tc>
        <w:tc>
          <w:tcPr>
            <w:tcW w:type="dxa" w:w="1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&gt;= 70% public API</w:t>
            </w:r>
          </w:p>
        </w:tc>
      </w:tr>
    </w:tbl>
    <w:p>
      <w:pPr>
        <w:pStyle w:val="Heading3"/>
        <w:spacing w:before="200" w:after="120"/>
      </w:pPr>
      <w:r>
        <w:rPr>
          <w:rFonts w:ascii="Arial" w:cs="Arial" w:eastAsia="Arial" w:hAnsi="Arial"/>
          <w:b/>
          <w:bCs/>
          <w:color w:val="1B3A5C"/>
          <w:sz w:val="24"/>
          <w:szCs w:val="24"/>
        </w:rPr>
        <w:t xml:space="preserve">Technical Debt Classification and Management</w:t>
      </w:r>
    </w:p>
    <w:p>
      <w:pPr>
        <w:spacing w:after="120"/>
      </w:pPr>
      <w:r>
        <w:rPr>
          <w:rFonts w:ascii="Arial" w:cs="Arial" w:eastAsia="Arial" w:hAnsi="Arial"/>
          <w:sz w:val="22"/>
          <w:szCs w:val="22"/>
        </w:rPr>
        <w:t xml:space="preserve">Technical debt is classified into four categories with distinct governance and remediation approaches:</w:t>
      </w:r>
    </w:p>
    <w:p>
      <w:pPr>
        <w:pStyle w:val="ListParagraph"/>
        <w:numPr>
          <w:ilvl w:val="0"/>
          <w:numId w:val="6"/>
        </w:numPr>
        <w:spacing w:after="60"/>
      </w:pPr>
      <w:r>
        <w:rPr>
          <w:rFonts w:ascii="Arial" w:cs="Arial" w:eastAsia="Arial" w:hAnsi="Arial"/>
          <w:b/>
          <w:bCs/>
          <w:sz w:val="22"/>
          <w:szCs w:val="22"/>
        </w:rPr>
        <w:t xml:space="preserve">Deliberate-Prudent Debt: </w:t>
      </w:r>
      <w:r>
        <w:rPr>
          <w:rFonts w:ascii="Arial" w:cs="Arial" w:eastAsia="Arial" w:hAnsi="Arial"/>
          <w:sz w:val="22"/>
          <w:szCs w:val="22"/>
        </w:rPr>
        <w:t xml:space="preserve">Conscious trade-offs made for time-to-market with documented remediation plans and committed timelines. Tracked in the architecture decision record with assigned ownership.</w:t>
      </w:r>
    </w:p>
    <w:p>
      <w:pPr>
        <w:pStyle w:val="ListParagraph"/>
        <w:numPr>
          <w:ilvl w:val="0"/>
          <w:numId w:val="6"/>
        </w:numPr>
        <w:spacing w:after="60"/>
      </w:pPr>
      <w:r>
        <w:rPr>
          <w:rFonts w:ascii="Arial" w:cs="Arial" w:eastAsia="Arial" w:hAnsi="Arial"/>
          <w:b/>
          <w:bCs/>
          <w:sz w:val="22"/>
          <w:szCs w:val="22"/>
        </w:rPr>
        <w:t xml:space="preserve">Deliberate-Reckless Debt: </w:t>
      </w:r>
      <w:r>
        <w:rPr>
          <w:rFonts w:ascii="Arial" w:cs="Arial" w:eastAsia="Arial" w:hAnsi="Arial"/>
          <w:sz w:val="22"/>
          <w:szCs w:val="22"/>
        </w:rPr>
        <w:t xml:space="preserve">Shortcuts taken without remediation planning. Flagged during code review with mandatory remediation tickets created before merge approval.</w:t>
      </w:r>
    </w:p>
    <w:p>
      <w:pPr>
        <w:pStyle w:val="ListParagraph"/>
        <w:numPr>
          <w:ilvl w:val="0"/>
          <w:numId w:val="6"/>
        </w:numPr>
        <w:spacing w:after="60"/>
      </w:pPr>
      <w:r>
        <w:rPr>
          <w:rFonts w:ascii="Arial" w:cs="Arial" w:eastAsia="Arial" w:hAnsi="Arial"/>
          <w:b/>
          <w:bCs/>
          <w:sz w:val="22"/>
          <w:szCs w:val="22"/>
        </w:rPr>
        <w:t xml:space="preserve">Inadvertent-Prudent Debt: </w:t>
      </w:r>
      <w:r>
        <w:rPr>
          <w:rFonts w:ascii="Arial" w:cs="Arial" w:eastAsia="Arial" w:hAnsi="Arial"/>
          <w:sz w:val="22"/>
          <w:szCs w:val="22"/>
        </w:rPr>
        <w:t xml:space="preserve">Design decisions that reveal sub-optimal patterns as understanding grows. Addressed during scheduled refactoring sprints with architecture team guidance.</w:t>
      </w:r>
    </w:p>
    <w:p>
      <w:pPr>
        <w:pStyle w:val="ListParagraph"/>
        <w:numPr>
          <w:ilvl w:val="0"/>
          <w:numId w:val="6"/>
        </w:numPr>
        <w:spacing w:after="60"/>
      </w:pPr>
      <w:r>
        <w:rPr>
          <w:rFonts w:ascii="Arial" w:cs="Arial" w:eastAsia="Arial" w:hAnsi="Arial"/>
          <w:b/>
          <w:bCs/>
          <w:sz w:val="22"/>
          <w:szCs w:val="22"/>
        </w:rPr>
        <w:t xml:space="preserve">Inadvertent-Reckless Debt: </w:t>
      </w:r>
      <w:r>
        <w:rPr>
          <w:rFonts w:ascii="Arial" w:cs="Arial" w:eastAsia="Arial" w:hAnsi="Arial"/>
          <w:sz w:val="22"/>
          <w:szCs w:val="22"/>
        </w:rPr>
        <w:t xml:space="preserve">Quality issues introduced through insufficient knowledge or oversight. Prevented through training, mentorship, and AI-assisted code review escalation.</w:t>
      </w:r>
    </w:p>
    <w:p>
      <w:pPr>
        <w:pStyle w:val="Heading3"/>
        <w:spacing w:before="200" w:after="120"/>
      </w:pPr>
      <w:r>
        <w:rPr>
          <w:rFonts w:ascii="Arial" w:cs="Arial" w:eastAsia="Arial" w:hAnsi="Arial"/>
          <w:b/>
          <w:bCs/>
          <w:color w:val="1B3A5C"/>
          <w:sz w:val="24"/>
          <w:szCs w:val="24"/>
        </w:rPr>
        <w:t xml:space="preserve">AI-Driven Code Health Analysis</w:t>
      </w:r>
    </w:p>
    <w:p>
      <w:pPr>
        <w:pStyle w:val="ListParagraph"/>
        <w:numPr>
          <w:ilvl w:val="0"/>
          <w:numId w:val="3"/>
        </w:numPr>
        <w:spacing w:after="60"/>
      </w:pPr>
      <w:r>
        <w:rPr>
          <w:rFonts w:ascii="Arial" w:cs="Arial" w:eastAsia="Arial" w:hAnsi="Arial"/>
          <w:b/>
          <w:bCs/>
          <w:sz w:val="22"/>
          <w:szCs w:val="22"/>
        </w:rPr>
        <w:t xml:space="preserve">Predictive Degradation Detection: </w:t>
      </w:r>
      <w:r>
        <w:rPr>
          <w:rFonts w:ascii="Arial" w:cs="Arial" w:eastAsia="Arial" w:hAnsi="Arial"/>
          <w:sz w:val="22"/>
          <w:szCs w:val="22"/>
        </w:rPr>
        <w:t xml:space="preserve">Machine learning models trained on historical codebase metrics to identify files and modules at risk of quality degradation before defects manifest.</w:t>
      </w:r>
    </w:p>
    <w:p>
      <w:pPr>
        <w:pStyle w:val="ListParagraph"/>
        <w:numPr>
          <w:ilvl w:val="0"/>
          <w:numId w:val="3"/>
        </w:numPr>
        <w:spacing w:after="60"/>
      </w:pPr>
      <w:r>
        <w:rPr>
          <w:rFonts w:ascii="Arial" w:cs="Arial" w:eastAsia="Arial" w:hAnsi="Arial"/>
          <w:b/>
          <w:bCs/>
          <w:sz w:val="22"/>
          <w:szCs w:val="22"/>
        </w:rPr>
        <w:t xml:space="preserve">Refactoring Recommendations: </w:t>
      </w:r>
      <w:r>
        <w:rPr>
          <w:rFonts w:ascii="Arial" w:cs="Arial" w:eastAsia="Arial" w:hAnsi="Arial"/>
          <w:sz w:val="22"/>
          <w:szCs w:val="22"/>
        </w:rPr>
        <w:t xml:space="preserve">AI agents analyze code structure and suggest targeted refactoring opportunities ranked by impact-to-effort ratio and alignment with upcoming feature work.</w:t>
      </w:r>
    </w:p>
    <w:p>
      <w:pPr>
        <w:pStyle w:val="ListParagraph"/>
        <w:numPr>
          <w:ilvl w:val="0"/>
          <w:numId w:val="3"/>
        </w:numPr>
        <w:spacing w:after="60"/>
      </w:pPr>
      <w:r>
        <w:rPr>
          <w:rFonts w:ascii="Arial" w:cs="Arial" w:eastAsia="Arial" w:hAnsi="Arial"/>
          <w:b/>
          <w:bCs/>
          <w:sz w:val="22"/>
          <w:szCs w:val="22"/>
        </w:rPr>
        <w:t xml:space="preserve">Dependency Health Scoring: </w:t>
      </w:r>
      <w:r>
        <w:rPr>
          <w:rFonts w:ascii="Arial" w:cs="Arial" w:eastAsia="Arial" w:hAnsi="Arial"/>
          <w:sz w:val="22"/>
          <w:szCs w:val="22"/>
        </w:rPr>
        <w:t xml:space="preserve">Continuous assessment of third-party dependency health incorporating maintenance activity, vulnerability history, community vitality, and license compliance.</w:t>
      </w:r>
    </w:p>
    <w:p>
      <w:pPr>
        <w:pStyle w:val="ListParagraph"/>
        <w:numPr>
          <w:ilvl w:val="0"/>
          <w:numId w:val="3"/>
        </w:numPr>
        <w:spacing w:after="60"/>
      </w:pPr>
      <w:r>
        <w:rPr>
          <w:rFonts w:ascii="Arial" w:cs="Arial" w:eastAsia="Arial" w:hAnsi="Arial"/>
          <w:b/>
          <w:bCs/>
          <w:sz w:val="22"/>
          <w:szCs w:val="22"/>
        </w:rPr>
        <w:t xml:space="preserve">Technical Debt Quantification: </w:t>
      </w:r>
      <w:r>
        <w:rPr>
          <w:rFonts w:ascii="Arial" w:cs="Arial" w:eastAsia="Arial" w:hAnsi="Arial"/>
          <w:sz w:val="22"/>
          <w:szCs w:val="22"/>
        </w:rPr>
        <w:t xml:space="preserve">Automated estimation of remediation effort expressed in developer-hours, enabling prioritization against feature development in sprint planning.</w:t>
      </w:r>
    </w:p>
    <w:p>
      <w:r>
        <w:br w:type="page"/>
      </w:r>
    </w:p>
    <w:p>
      <w:pPr>
        <w:pStyle w:val="Heading2"/>
        <w:spacing w:before="280" w:after="160"/>
      </w:pPr>
      <w:r>
        <w:rPr>
          <w:rFonts w:ascii="Arial" w:cs="Arial" w:eastAsia="Arial" w:hAnsi="Arial"/>
          <w:b/>
          <w:bCs/>
          <w:color w:val="2E75B6"/>
          <w:sz w:val="28"/>
          <w:szCs w:val="28"/>
        </w:rPr>
        <w:t xml:space="preserve">VIII.7 — Documentation Standards</w:t>
      </w:r>
    </w:p>
    <w:p>
      <w:pPr>
        <w:spacing w:after="120"/>
      </w:pPr>
      <w:r>
        <w:rPr>
          <w:rFonts w:ascii="Arial" w:cs="Arial" w:eastAsia="Arial" w:hAnsi="Arial"/>
          <w:sz w:val="22"/>
          <w:szCs w:val="22"/>
        </w:rPr>
        <w:t xml:space="preserve">Documentation standards define requirements for code documentation, architecture documentation, operational runbooks, and knowledge management. These standards ensure that all software assets are accompanied by sufficient documentation to support development, operations, and knowledge transfer throughout the lifecycle.</w:t>
      </w:r>
    </w:p>
    <w:p>
      <w:pPr>
        <w:pStyle w:val="Heading3"/>
        <w:spacing w:before="200" w:after="120"/>
      </w:pPr>
      <w:r>
        <w:rPr>
          <w:rFonts w:ascii="Arial" w:cs="Arial" w:eastAsia="Arial" w:hAnsi="Arial"/>
          <w:b/>
          <w:bCs/>
          <w:color w:val="1B3A5C"/>
          <w:sz w:val="24"/>
          <w:szCs w:val="24"/>
        </w:rPr>
        <w:t xml:space="preserve">Documentation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60"/>
        <w:gridCol w:w="1700"/>
        <w:gridCol w:w="24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0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17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Update Frequency</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Owner</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Code Documentation</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Inline comments, API docs, README files, contribution guides</w:t>
            </w:r>
          </w:p>
        </w:tc>
        <w:tc>
          <w:tcPr>
            <w:tcW w:type="dxa" w:w="1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Every commit</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Development Team</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Architecture Decision Records</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Context, decision, consequences, and status for significant design choices</w:t>
            </w:r>
          </w:p>
        </w:tc>
        <w:tc>
          <w:tcPr>
            <w:tcW w:type="dxa" w:w="1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Per decision</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Architecture Team</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API Documentation</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OpenAPI/AsyncAPI specs, usage examples, authentication guides, changelog</w:t>
            </w:r>
          </w:p>
        </w:tc>
        <w:tc>
          <w:tcPr>
            <w:tcW w:type="dxa" w:w="1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Every release</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API Product Owner</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Operational Runbooks</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Deployment procedures, incident response, scaling guides, troubleshooting</w:t>
            </w:r>
          </w:p>
        </w:tc>
        <w:tc>
          <w:tcPr>
            <w:tcW w:type="dxa" w:w="1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Quarterly review</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Platform Engineering</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Data Dictionaries</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Schema definitions, field semantics, lineage, classification, retention</w:t>
            </w:r>
          </w:p>
        </w:tc>
        <w:tc>
          <w:tcPr>
            <w:tcW w:type="dxa" w:w="1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Per schema change</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Data Governance</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Onboarding Guides</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Environment setup, workflow orientation, tool access, team norms</w:t>
            </w:r>
          </w:p>
        </w:tc>
        <w:tc>
          <w:tcPr>
            <w:tcW w:type="dxa" w:w="1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Quarterly review</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Engineering Managers</w:t>
            </w:r>
          </w:p>
        </w:tc>
      </w:tr>
    </w:tbl>
    <w:p>
      <w:pPr>
        <w:pStyle w:val="Heading3"/>
        <w:spacing w:before="200" w:after="120"/>
      </w:pPr>
      <w:r>
        <w:rPr>
          <w:rFonts w:ascii="Arial" w:cs="Arial" w:eastAsia="Arial" w:hAnsi="Arial"/>
          <w:b/>
          <w:bCs/>
          <w:color w:val="1B3A5C"/>
          <w:sz w:val="24"/>
          <w:szCs w:val="24"/>
        </w:rPr>
        <w:t xml:space="preserve">Documentation as Code</w:t>
      </w:r>
    </w:p>
    <w:p>
      <w:pPr>
        <w:spacing w:after="120"/>
      </w:pPr>
      <w:r>
        <w:rPr>
          <w:rFonts w:ascii="Arial" w:cs="Arial" w:eastAsia="Arial" w:hAnsi="Arial"/>
          <w:sz w:val="22"/>
          <w:szCs w:val="22"/>
        </w:rPr>
        <w:t xml:space="preserve">All documentation is maintained in version control alongside the code it describes, following docs-as-code principles:</w:t>
      </w:r>
    </w:p>
    <w:p>
      <w:pPr>
        <w:pStyle w:val="ListParagraph"/>
        <w:numPr>
          <w:ilvl w:val="0"/>
          <w:numId w:val="3"/>
        </w:numPr>
        <w:spacing w:after="60"/>
      </w:pPr>
      <w:r>
        <w:rPr>
          <w:rFonts w:ascii="Arial" w:cs="Arial" w:eastAsia="Arial" w:hAnsi="Arial"/>
          <w:b/>
          <w:bCs/>
          <w:sz w:val="22"/>
          <w:szCs w:val="22"/>
        </w:rPr>
        <w:t xml:space="preserve">Format: </w:t>
      </w:r>
      <w:r>
        <w:rPr>
          <w:rFonts w:ascii="Arial" w:cs="Arial" w:eastAsia="Arial" w:hAnsi="Arial"/>
          <w:sz w:val="22"/>
          <w:szCs w:val="22"/>
        </w:rPr>
        <w:t xml:space="preserve">Markdown for narrative documentation. OpenAPI/AsyncAPI for API specifications. Mermaid or PlantUML for diagrams. ADR templates for architecture decisions.</w:t>
      </w:r>
    </w:p>
    <w:p>
      <w:pPr>
        <w:pStyle w:val="ListParagraph"/>
        <w:numPr>
          <w:ilvl w:val="0"/>
          <w:numId w:val="3"/>
        </w:numPr>
        <w:spacing w:after="60"/>
      </w:pPr>
      <w:r>
        <w:rPr>
          <w:rFonts w:ascii="Arial" w:cs="Arial" w:eastAsia="Arial" w:hAnsi="Arial"/>
          <w:b/>
          <w:bCs/>
          <w:sz w:val="22"/>
          <w:szCs w:val="22"/>
        </w:rPr>
        <w:t xml:space="preserve">Automation: </w:t>
      </w:r>
      <w:r>
        <w:rPr>
          <w:rFonts w:ascii="Arial" w:cs="Arial" w:eastAsia="Arial" w:hAnsi="Arial"/>
          <w:sz w:val="22"/>
          <w:szCs w:val="22"/>
        </w:rPr>
        <w:t xml:space="preserve">Documentation generated from code annotations where possible. Stale documentation detection through automated freshness checks. Link validation in CI pipelines.</w:t>
      </w:r>
    </w:p>
    <w:p>
      <w:pPr>
        <w:pStyle w:val="ListParagraph"/>
        <w:numPr>
          <w:ilvl w:val="0"/>
          <w:numId w:val="3"/>
        </w:numPr>
        <w:spacing w:after="60"/>
      </w:pPr>
      <w:r>
        <w:rPr>
          <w:rFonts w:ascii="Arial" w:cs="Arial" w:eastAsia="Arial" w:hAnsi="Arial"/>
          <w:b/>
          <w:bCs/>
          <w:sz w:val="22"/>
          <w:szCs w:val="22"/>
        </w:rPr>
        <w:t xml:space="preserve">Review: </w:t>
      </w:r>
      <w:r>
        <w:rPr>
          <w:rFonts w:ascii="Arial" w:cs="Arial" w:eastAsia="Arial" w:hAnsi="Arial"/>
          <w:sz w:val="22"/>
          <w:szCs w:val="22"/>
        </w:rPr>
        <w:t xml:space="preserve">Documentation changes subject to the same review process as code changes. Technical writers embedded in teams for user-facing documentation.</w:t>
      </w:r>
    </w:p>
    <w:p>
      <w:pPr>
        <w:pStyle w:val="ListParagraph"/>
        <w:numPr>
          <w:ilvl w:val="0"/>
          <w:numId w:val="3"/>
        </w:numPr>
        <w:spacing w:after="60"/>
      </w:pPr>
      <w:r>
        <w:rPr>
          <w:rFonts w:ascii="Arial" w:cs="Arial" w:eastAsia="Arial" w:hAnsi="Arial"/>
          <w:b/>
          <w:bCs/>
          <w:sz w:val="22"/>
          <w:szCs w:val="22"/>
        </w:rPr>
        <w:t xml:space="preserve">AI Assistance: </w:t>
      </w:r>
      <w:r>
        <w:rPr>
          <w:rFonts w:ascii="Arial" w:cs="Arial" w:eastAsia="Arial" w:hAnsi="Arial"/>
          <w:sz w:val="22"/>
          <w:szCs w:val="22"/>
        </w:rPr>
        <w:t xml:space="preserve">AI agents generate documentation drafts from code changes, maintaining consistency with existing documentation style and terminology. Human review required for all AI-generated documentation.</w:t>
      </w:r>
    </w:p>
    <w:p>
      <w:r>
        <w:br w:type="page"/>
      </w:r>
    </w:p>
    <w:p>
      <w:pPr>
        <w:pStyle w:val="Heading2"/>
        <w:spacing w:before="280" w:after="160"/>
      </w:pPr>
      <w:r>
        <w:rPr>
          <w:rFonts w:ascii="Arial" w:cs="Arial" w:eastAsia="Arial" w:hAnsi="Arial"/>
          <w:b/>
          <w:bCs/>
          <w:color w:val="2E75B6"/>
          <w:sz w:val="28"/>
          <w:szCs w:val="28"/>
        </w:rPr>
        <w:t xml:space="preserve">VIII.8 — Version Control and Branching Standards</w:t>
      </w:r>
    </w:p>
    <w:p>
      <w:pPr>
        <w:spacing w:after="120"/>
      </w:pPr>
      <w:r>
        <w:rPr>
          <w:rFonts w:ascii="Arial" w:cs="Arial" w:eastAsia="Arial" w:hAnsi="Arial"/>
          <w:sz w:val="22"/>
          <w:szCs w:val="22"/>
        </w:rPr>
        <w:t xml:space="preserve">Version control standards define branching strategies, commit conventions, and collaboration workflows that ensure code integrity, enable parallel development, and support rapid, safe delivery to production.</w:t>
      </w:r>
    </w:p>
    <w:p>
      <w:pPr>
        <w:pStyle w:val="Heading3"/>
        <w:spacing w:before="200" w:after="120"/>
      </w:pPr>
      <w:r>
        <w:rPr>
          <w:rFonts w:ascii="Arial" w:cs="Arial" w:eastAsia="Arial" w:hAnsi="Arial"/>
          <w:b/>
          <w:bCs/>
          <w:color w:val="1B3A5C"/>
          <w:sz w:val="24"/>
          <w:szCs w:val="24"/>
        </w:rPr>
        <w:t xml:space="preserve">Branching Strategy by Project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60"/>
        <w:gridCol w:w="4300"/>
      </w:tblGrid>
      <w:tr>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Project Type</w:t>
            </w:r>
          </w:p>
        </w:tc>
        <w:tc>
          <w:tcPr>
            <w:tcW w:type="dxa" w:w="26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43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Characteristics</w:t>
            </w:r>
          </w:p>
        </w:tc>
      </w:tr>
      <w:tr>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Microservices (Continuous Delivery)</w:t>
            </w:r>
          </w:p>
        </w:tc>
        <w:tc>
          <w:tcPr>
            <w:tcW w:type="dxa" w:w="26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Trunk-Based Development</w:t>
            </w:r>
          </w:p>
        </w:tc>
        <w:tc>
          <w:tcPr>
            <w:tcW w:type="dxa" w:w="43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Short-lived feature branches (&lt; 2 days), feature flags for incomplete work, continuous integration to main branch</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Regulated Applications</w:t>
            </w:r>
          </w:p>
        </w:tc>
        <w:tc>
          <w:tcPr>
            <w:tcW w:type="dxa" w:w="26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GitFlow with Compliance Gates</w:t>
            </w:r>
          </w:p>
        </w:tc>
        <w:tc>
          <w:tcPr>
            <w:tcW w:type="dxa" w:w="4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Release branches with approval gates, hotfix branches with expedited review, audit trail for all merge operations</w:t>
            </w:r>
          </w:p>
        </w:tc>
      </w:tr>
      <w:tr>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Shared Libraries / SDKs</w:t>
            </w:r>
          </w:p>
        </w:tc>
        <w:tc>
          <w:tcPr>
            <w:tcW w:type="dxa" w:w="26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Release Branch Model</w:t>
            </w:r>
          </w:p>
        </w:tc>
        <w:tc>
          <w:tcPr>
            <w:tcW w:type="dxa" w:w="43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Semantic versioning, long-lived release branches for major versions, cherry-pick for security patches</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Monorepo Projects</w:t>
            </w:r>
          </w:p>
        </w:tc>
        <w:tc>
          <w:tcPr>
            <w:tcW w:type="dxa" w:w="26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Trunk-Based with Path Ownership</w:t>
            </w:r>
          </w:p>
        </w:tc>
        <w:tc>
          <w:tcPr>
            <w:tcW w:type="dxa" w:w="4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CODEOWNERS enforcement, path-based CI triggers, automated dependency impact analysis</w:t>
            </w:r>
          </w:p>
        </w:tc>
      </w:tr>
    </w:tbl>
    <w:p>
      <w:pPr>
        <w:pStyle w:val="Heading3"/>
        <w:spacing w:before="200" w:after="120"/>
      </w:pPr>
      <w:r>
        <w:rPr>
          <w:rFonts w:ascii="Arial" w:cs="Arial" w:eastAsia="Arial" w:hAnsi="Arial"/>
          <w:b/>
          <w:bCs/>
          <w:color w:val="1B3A5C"/>
          <w:sz w:val="24"/>
          <w:szCs w:val="24"/>
        </w:rPr>
        <w:t xml:space="preserve">Commit Standards</w:t>
      </w:r>
    </w:p>
    <w:p>
      <w:pPr>
        <w:spacing w:after="120"/>
      </w:pPr>
      <w:r>
        <w:rPr>
          <w:rFonts w:ascii="Arial" w:cs="Arial" w:eastAsia="Arial" w:hAnsi="Arial"/>
          <w:sz w:val="22"/>
          <w:szCs w:val="22"/>
        </w:rPr>
        <w:t xml:space="preserve">All commits must follow the Conventional Commits specification with enterprise extensions:</w:t>
      </w:r>
    </w:p>
    <w:p>
      <w:pPr>
        <w:pStyle w:val="ListParagraph"/>
        <w:numPr>
          <w:ilvl w:val="0"/>
          <w:numId w:val="3"/>
        </w:numPr>
        <w:spacing w:after="60"/>
      </w:pPr>
      <w:r>
        <w:rPr>
          <w:rFonts w:ascii="Arial" w:cs="Arial" w:eastAsia="Arial" w:hAnsi="Arial"/>
          <w:b/>
          <w:bCs/>
          <w:sz w:val="22"/>
          <w:szCs w:val="22"/>
        </w:rPr>
        <w:t xml:space="preserve">Format: </w:t>
      </w:r>
      <w:r>
        <w:rPr>
          <w:rFonts w:ascii="Arial" w:cs="Arial" w:eastAsia="Arial" w:hAnsi="Arial"/>
          <w:sz w:val="22"/>
          <w:szCs w:val="22"/>
        </w:rPr>
        <w:t xml:space="preserve">&lt;type&gt;(&lt;scope&gt;): &lt;description&gt; where type is feat, fix, refactor, docs, test, chore, perf, or security. Scope identifies the affected module or component.</w:t>
      </w:r>
    </w:p>
    <w:p>
      <w:pPr>
        <w:pStyle w:val="ListParagraph"/>
        <w:numPr>
          <w:ilvl w:val="0"/>
          <w:numId w:val="3"/>
        </w:numPr>
        <w:spacing w:after="60"/>
      </w:pPr>
      <w:r>
        <w:rPr>
          <w:rFonts w:ascii="Arial" w:cs="Arial" w:eastAsia="Arial" w:hAnsi="Arial"/>
          <w:b/>
          <w:bCs/>
          <w:sz w:val="22"/>
          <w:szCs w:val="22"/>
        </w:rPr>
        <w:t xml:space="preserve">Atomic Commits: </w:t>
      </w:r>
      <w:r>
        <w:rPr>
          <w:rFonts w:ascii="Arial" w:cs="Arial" w:eastAsia="Arial" w:hAnsi="Arial"/>
          <w:sz w:val="22"/>
          <w:szCs w:val="22"/>
        </w:rPr>
        <w:t xml:space="preserve">Each commit represents a single logical change. Work-in-progress commits must be squashed before merge. Interactive rebase encouraged for clean history.</w:t>
      </w:r>
    </w:p>
    <w:p>
      <w:pPr>
        <w:pStyle w:val="ListParagraph"/>
        <w:numPr>
          <w:ilvl w:val="0"/>
          <w:numId w:val="3"/>
        </w:numPr>
        <w:spacing w:after="60"/>
      </w:pPr>
      <w:r>
        <w:rPr>
          <w:rFonts w:ascii="Arial" w:cs="Arial" w:eastAsia="Arial" w:hAnsi="Arial"/>
          <w:b/>
          <w:bCs/>
          <w:sz w:val="22"/>
          <w:szCs w:val="22"/>
        </w:rPr>
        <w:t xml:space="preserve">Signed Commits: </w:t>
      </w:r>
      <w:r>
        <w:rPr>
          <w:rFonts w:ascii="Arial" w:cs="Arial" w:eastAsia="Arial" w:hAnsi="Arial"/>
          <w:sz w:val="22"/>
          <w:szCs w:val="22"/>
        </w:rPr>
        <w:t xml:space="preserve">GPG-signed commits mandatory for all production-bound branches. Unsigned commits blocked at the repository level for protected branches.</w:t>
      </w:r>
    </w:p>
    <w:p>
      <w:pPr>
        <w:pStyle w:val="ListParagraph"/>
        <w:numPr>
          <w:ilvl w:val="0"/>
          <w:numId w:val="3"/>
        </w:numPr>
        <w:spacing w:after="60"/>
      </w:pPr>
      <w:r>
        <w:rPr>
          <w:rFonts w:ascii="Arial" w:cs="Arial" w:eastAsia="Arial" w:hAnsi="Arial"/>
          <w:b/>
          <w:bCs/>
          <w:sz w:val="22"/>
          <w:szCs w:val="22"/>
        </w:rPr>
        <w:t xml:space="preserve">AI-Generated Commit Messages: </w:t>
      </w:r>
      <w:r>
        <w:rPr>
          <w:rFonts w:ascii="Arial" w:cs="Arial" w:eastAsia="Arial" w:hAnsi="Arial"/>
          <w:sz w:val="22"/>
          <w:szCs w:val="22"/>
        </w:rPr>
        <w:t xml:space="preserve">AI agents may generate commit message drafts from diff analysis. Developers must review and approve before committing. Automated validation ensures message format compliance.</w:t>
      </w:r>
    </w:p>
    <w:p>
      <w:pPr>
        <w:pStyle w:val="Heading3"/>
        <w:spacing w:before="200" w:after="120"/>
      </w:pPr>
      <w:r>
        <w:rPr>
          <w:rFonts w:ascii="Arial" w:cs="Arial" w:eastAsia="Arial" w:hAnsi="Arial"/>
          <w:b/>
          <w:bCs/>
          <w:color w:val="1B3A5C"/>
          <w:sz w:val="24"/>
          <w:szCs w:val="24"/>
        </w:rPr>
        <w:t xml:space="preserve">Merge and Review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60"/>
        <w:gridCol w:w="25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Branch Target</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Minimum Reviewers</w:t>
            </w:r>
          </w:p>
        </w:tc>
        <w:tc>
          <w:tcPr>
            <w:tcW w:type="dxa" w:w="30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Automated Checks</w:t>
            </w:r>
          </w:p>
        </w:tc>
        <w:tc>
          <w:tcPr>
            <w:tcW w:type="dxa" w:w="25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Additional Requirements</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Main / Trunk</w:t>
            </w:r>
          </w:p>
        </w:tc>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2 (including 1 senior)</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All CI gates pass, coverage thresholds met</w:t>
            </w:r>
          </w:p>
        </w:tc>
        <w:tc>
          <w:tcPr>
            <w:tcW w:type="dxa" w:w="25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Architecture review for structural changes</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Release Branch</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2 + Release Manager</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Full regression suite, security scan</w:t>
            </w:r>
          </w:p>
        </w:tc>
        <w:tc>
          <w:tcPr>
            <w:tcW w:type="dxa" w:w="2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Change advisory board approval for Tier 1</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Hotfix Branch</w:t>
            </w:r>
          </w:p>
        </w:tc>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1 senior + Security</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Targeted test suite, vulnerability scan</w:t>
            </w:r>
          </w:p>
        </w:tc>
        <w:tc>
          <w:tcPr>
            <w:tcW w:type="dxa" w:w="25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Incident ticket linkage required</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Feature Branch (to develop)</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1 peer reviewer</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Unit tests, linting, basic security scan</w:t>
            </w:r>
          </w:p>
        </w:tc>
        <w:tc>
          <w:tcPr>
            <w:tcW w:type="dxa" w:w="2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Story/task linkage in commit message</w:t>
            </w:r>
          </w:p>
        </w:tc>
      </w:tr>
    </w:tbl>
    <w:p>
      <w:r>
        <w:br w:type="page"/>
      </w:r>
    </w:p>
    <w:p>
      <w:pPr>
        <w:pStyle w:val="Heading2"/>
        <w:spacing w:before="280" w:after="160"/>
      </w:pPr>
      <w:r>
        <w:rPr>
          <w:rFonts w:ascii="Arial" w:cs="Arial" w:eastAsia="Arial" w:hAnsi="Arial"/>
          <w:b/>
          <w:bCs/>
          <w:color w:val="2E75B6"/>
          <w:sz w:val="28"/>
          <w:szCs w:val="28"/>
        </w:rPr>
        <w:t xml:space="preserve">VIII.9 — Dependency Management Standards</w:t>
      </w:r>
    </w:p>
    <w:p>
      <w:pPr>
        <w:spacing w:after="120"/>
      </w:pPr>
      <w:r>
        <w:rPr>
          <w:rFonts w:ascii="Arial" w:cs="Arial" w:eastAsia="Arial" w:hAnsi="Arial"/>
          <w:sz w:val="22"/>
          <w:szCs w:val="22"/>
        </w:rPr>
        <w:t xml:space="preserve">Dependency management standards govern the selection, approval, monitoring, and lifecycle management of all third-party libraries, frameworks, and components incorporated into enterprise software. These standards balance developer productivity with security, license compliance, and long-term maintainability.</w:t>
      </w:r>
    </w:p>
    <w:p>
      <w:pPr>
        <w:pStyle w:val="Heading3"/>
        <w:spacing w:before="200" w:after="120"/>
      </w:pPr>
      <w:r>
        <w:rPr>
          <w:rFonts w:ascii="Arial" w:cs="Arial" w:eastAsia="Arial" w:hAnsi="Arial"/>
          <w:b/>
          <w:bCs/>
          <w:color w:val="1B3A5C"/>
          <w:sz w:val="24"/>
          <w:szCs w:val="24"/>
        </w:rPr>
        <w:t xml:space="preserve">Dependency Approval Workflow</w:t>
      </w:r>
    </w:p>
    <w:p>
      <w:pPr>
        <w:pStyle w:val="ListParagraph"/>
        <w:numPr>
          <w:ilvl w:val="0"/>
          <w:numId w:val="7"/>
        </w:numPr>
        <w:spacing w:after="60"/>
      </w:pPr>
      <w:r>
        <w:rPr>
          <w:rFonts w:ascii="Arial" w:cs="Arial" w:eastAsia="Arial" w:hAnsi="Arial"/>
          <w:b/>
          <w:bCs/>
          <w:sz w:val="22"/>
          <w:szCs w:val="22"/>
        </w:rPr>
        <w:t xml:space="preserve">Discovery: </w:t>
      </w:r>
      <w:r>
        <w:rPr>
          <w:rFonts w:ascii="Arial" w:cs="Arial" w:eastAsia="Arial" w:hAnsi="Arial"/>
          <w:sz w:val="22"/>
          <w:szCs w:val="22"/>
        </w:rPr>
        <w:t xml:space="preserve">Developer identifies a candidate dependency. AI-assisted alternative analysis provides comparison of functionally equivalent options based on security history, maintenance activity, community health, and license compatibility.</w:t>
      </w:r>
    </w:p>
    <w:p>
      <w:pPr>
        <w:pStyle w:val="ListParagraph"/>
        <w:numPr>
          <w:ilvl w:val="0"/>
          <w:numId w:val="7"/>
        </w:numPr>
        <w:spacing w:after="60"/>
      </w:pPr>
      <w:r>
        <w:rPr>
          <w:rFonts w:ascii="Arial" w:cs="Arial" w:eastAsia="Arial" w:hAnsi="Arial"/>
          <w:b/>
          <w:bCs/>
          <w:sz w:val="22"/>
          <w:szCs w:val="22"/>
        </w:rPr>
        <w:t xml:space="preserve">Assessment: </w:t>
      </w:r>
      <w:r>
        <w:rPr>
          <w:rFonts w:ascii="Arial" w:cs="Arial" w:eastAsia="Arial" w:hAnsi="Arial"/>
          <w:sz w:val="22"/>
          <w:szCs w:val="22"/>
        </w:rPr>
        <w:t xml:space="preserve">Automated assessment evaluates the dependency against enterprise criteria including known vulnerabilities, license type, transitive dependency tree, maintenance frequency, and bus factor analysis.</w:t>
      </w:r>
    </w:p>
    <w:p>
      <w:pPr>
        <w:pStyle w:val="ListParagraph"/>
        <w:numPr>
          <w:ilvl w:val="0"/>
          <w:numId w:val="7"/>
        </w:numPr>
        <w:spacing w:after="60"/>
      </w:pPr>
      <w:r>
        <w:rPr>
          <w:rFonts w:ascii="Arial" w:cs="Arial" w:eastAsia="Arial" w:hAnsi="Arial"/>
          <w:b/>
          <w:bCs/>
          <w:sz w:val="22"/>
          <w:szCs w:val="22"/>
        </w:rPr>
        <w:t xml:space="preserve">Approval: </w:t>
      </w:r>
      <w:r>
        <w:rPr>
          <w:rFonts w:ascii="Arial" w:cs="Arial" w:eastAsia="Arial" w:hAnsi="Arial"/>
          <w:sz w:val="22"/>
          <w:szCs w:val="22"/>
        </w:rPr>
        <w:t xml:space="preserve">Dependencies scoring above the automated threshold are auto-approved and added to the approved registry. Below-threshold dependencies require manual review by the Architecture Review Board.</w:t>
      </w:r>
    </w:p>
    <w:p>
      <w:pPr>
        <w:pStyle w:val="ListParagraph"/>
        <w:numPr>
          <w:ilvl w:val="0"/>
          <w:numId w:val="7"/>
        </w:numPr>
        <w:spacing w:after="60"/>
      </w:pPr>
      <w:r>
        <w:rPr>
          <w:rFonts w:ascii="Arial" w:cs="Arial" w:eastAsia="Arial" w:hAnsi="Arial"/>
          <w:b/>
          <w:bCs/>
          <w:sz w:val="22"/>
          <w:szCs w:val="22"/>
        </w:rPr>
        <w:t xml:space="preserve">Registration: </w:t>
      </w:r>
      <w:r>
        <w:rPr>
          <w:rFonts w:ascii="Arial" w:cs="Arial" w:eastAsia="Arial" w:hAnsi="Arial"/>
          <w:sz w:val="22"/>
          <w:szCs w:val="22"/>
        </w:rPr>
        <w:t xml:space="preserve">Approved dependencies registered in the enterprise dependency catalog with approved version ranges, usage guidelines, and known limitations.</w:t>
      </w:r>
    </w:p>
    <w:p>
      <w:pPr>
        <w:pStyle w:val="ListParagraph"/>
        <w:numPr>
          <w:ilvl w:val="0"/>
          <w:numId w:val="7"/>
        </w:numPr>
        <w:spacing w:after="60"/>
      </w:pPr>
      <w:r>
        <w:rPr>
          <w:rFonts w:ascii="Arial" w:cs="Arial" w:eastAsia="Arial" w:hAnsi="Arial"/>
          <w:b/>
          <w:bCs/>
          <w:sz w:val="22"/>
          <w:szCs w:val="22"/>
        </w:rPr>
        <w:t xml:space="preserve">Monitoring: </w:t>
      </w:r>
      <w:r>
        <w:rPr>
          <w:rFonts w:ascii="Arial" w:cs="Arial" w:eastAsia="Arial" w:hAnsi="Arial"/>
          <w:sz w:val="22"/>
          <w:szCs w:val="22"/>
        </w:rPr>
        <w:t xml:space="preserve">Continuous monitoring for new vulnerabilities, license changes, maintenance status changes, and end-of-life announcements. Automated alerts to consuming teams.</w:t>
      </w:r>
    </w:p>
    <w:p>
      <w:pPr>
        <w:pStyle w:val="Heading3"/>
        <w:spacing w:before="200" w:after="120"/>
      </w:pPr>
      <w:r>
        <w:rPr>
          <w:rFonts w:ascii="Arial" w:cs="Arial" w:eastAsia="Arial" w:hAnsi="Arial"/>
          <w:b/>
          <w:bCs/>
          <w:color w:val="1B3A5C"/>
          <w:sz w:val="24"/>
          <w:szCs w:val="24"/>
        </w:rPr>
        <w:t xml:space="preserve">Dependency Health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59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Scoring Criteria</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Vulnerability History</w:t>
            </w:r>
          </w:p>
        </w:tc>
        <w:tc>
          <w:tcPr>
            <w:tcW w:type="dxa" w:w="1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c>
          <w:tcPr>
            <w:tcW w:type="dxa" w:w="5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CVE frequency, severity distribution, mean time to patch</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Maintenance Activity</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5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Commit frequency, release cadence, issue response time</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Community Health</w:t>
            </w:r>
          </w:p>
        </w:tc>
        <w:tc>
          <w:tcPr>
            <w:tcW w:type="dxa" w:w="1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15%</w:t>
            </w:r>
          </w:p>
        </w:tc>
        <w:tc>
          <w:tcPr>
            <w:tcW w:type="dxa" w:w="5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Contributor count, bus factor, corporate backing</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License Compliance</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5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License type compatibility, obligation analysis</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Transitive Risk</w:t>
            </w:r>
          </w:p>
        </w:tc>
        <w:tc>
          <w:tcPr>
            <w:tcW w:type="dxa" w:w="1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15%</w:t>
            </w:r>
          </w:p>
        </w:tc>
        <w:tc>
          <w:tcPr>
            <w:tcW w:type="dxa" w:w="5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Depth and breadth of transitive dependency tree, inherited vulnerabilities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Enterprise Adoption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5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Internal usage count, reported issues, team satisfaction scores</w:t>
            </w:r>
          </w:p>
        </w:tc>
      </w:tr>
    </w:tbl>
    <w:p>
      <w:pPr>
        <w:pStyle w:val="Heading3"/>
        <w:spacing w:before="200" w:after="120"/>
      </w:pPr>
      <w:r>
        <w:rPr>
          <w:rFonts w:ascii="Arial" w:cs="Arial" w:eastAsia="Arial" w:hAnsi="Arial"/>
          <w:b/>
          <w:bCs/>
          <w:color w:val="1B3A5C"/>
          <w:sz w:val="24"/>
          <w:szCs w:val="24"/>
        </w:rPr>
        <w:t xml:space="preserve">Version Pinning and Update Policy</w:t>
      </w:r>
    </w:p>
    <w:p>
      <w:pPr>
        <w:pStyle w:val="ListParagraph"/>
        <w:numPr>
          <w:ilvl w:val="0"/>
          <w:numId w:val="3"/>
        </w:numPr>
        <w:spacing w:after="60"/>
      </w:pPr>
      <w:r>
        <w:rPr>
          <w:rFonts w:ascii="Arial" w:cs="Arial" w:eastAsia="Arial" w:hAnsi="Arial"/>
          <w:b/>
          <w:bCs/>
          <w:sz w:val="22"/>
          <w:szCs w:val="22"/>
        </w:rPr>
        <w:t xml:space="preserve">Exact Pinning: </w:t>
      </w:r>
      <w:r>
        <w:rPr>
          <w:rFonts w:ascii="Arial" w:cs="Arial" w:eastAsia="Arial" w:hAnsi="Arial"/>
          <w:sz w:val="22"/>
          <w:szCs w:val="22"/>
        </w:rPr>
        <w:t xml:space="preserve">All production dependencies pinned to exact versions in lockfiles. No floating version ranges in production builds.</w:t>
      </w:r>
    </w:p>
    <w:p>
      <w:pPr>
        <w:pStyle w:val="ListParagraph"/>
        <w:numPr>
          <w:ilvl w:val="0"/>
          <w:numId w:val="3"/>
        </w:numPr>
        <w:spacing w:after="60"/>
      </w:pPr>
      <w:r>
        <w:rPr>
          <w:rFonts w:ascii="Arial" w:cs="Arial" w:eastAsia="Arial" w:hAnsi="Arial"/>
          <w:b/>
          <w:bCs/>
          <w:sz w:val="22"/>
          <w:szCs w:val="22"/>
        </w:rPr>
        <w:t xml:space="preserve">Automated Updates: </w:t>
      </w:r>
      <w:r>
        <w:rPr>
          <w:rFonts w:ascii="Arial" w:cs="Arial" w:eastAsia="Arial" w:hAnsi="Arial"/>
          <w:sz w:val="22"/>
          <w:szCs w:val="22"/>
        </w:rPr>
        <w:t xml:space="preserve">Dependabot or Renovate configured for all repositories. Patch updates auto-merged after CI validation. Minor updates require developer review. Major updates require architecture review.</w:t>
      </w:r>
    </w:p>
    <w:p>
      <w:pPr>
        <w:pStyle w:val="ListParagraph"/>
        <w:numPr>
          <w:ilvl w:val="0"/>
          <w:numId w:val="3"/>
        </w:numPr>
        <w:spacing w:after="60"/>
      </w:pPr>
      <w:r>
        <w:rPr>
          <w:rFonts w:ascii="Arial" w:cs="Arial" w:eastAsia="Arial" w:hAnsi="Arial"/>
          <w:b/>
          <w:bCs/>
          <w:sz w:val="22"/>
          <w:szCs w:val="22"/>
        </w:rPr>
        <w:t xml:space="preserve">Update Cadence: </w:t>
      </w:r>
      <w:r>
        <w:rPr>
          <w:rFonts w:ascii="Arial" w:cs="Arial" w:eastAsia="Arial" w:hAnsi="Arial"/>
          <w:sz w:val="22"/>
          <w:szCs w:val="22"/>
        </w:rPr>
        <w:t xml:space="preserve">Security patches applied within SLA (Critical: 24 hours, High: 72 hours, Medium: 14 days, Low: 30 days). Feature updates batched into monthly maintenance windows.</w:t>
      </w:r>
    </w:p>
    <w:p>
      <w:pPr>
        <w:pStyle w:val="ListParagraph"/>
        <w:numPr>
          <w:ilvl w:val="0"/>
          <w:numId w:val="3"/>
        </w:numPr>
        <w:spacing w:after="60"/>
      </w:pPr>
      <w:r>
        <w:rPr>
          <w:rFonts w:ascii="Arial" w:cs="Arial" w:eastAsia="Arial" w:hAnsi="Arial"/>
          <w:b/>
          <w:bCs/>
          <w:sz w:val="22"/>
          <w:szCs w:val="22"/>
        </w:rPr>
        <w:t xml:space="preserve">End-of-Life Policy: </w:t>
      </w:r>
      <w:r>
        <w:rPr>
          <w:rFonts w:ascii="Arial" w:cs="Arial" w:eastAsia="Arial" w:hAnsi="Arial"/>
          <w:sz w:val="22"/>
          <w:szCs w:val="22"/>
        </w:rPr>
        <w:t xml:space="preserve">Dependencies within 6 months of end-of-life flagged for migration planning. End-of-life dependencies prohibited in new development. Existing usage must have documented migration timeline.</w:t>
      </w:r>
    </w:p>
    <w:p>
      <w:r>
        <w:br w:type="page"/>
      </w:r>
    </w:p>
    <w:p>
      <w:pPr>
        <w:pStyle w:val="Heading2"/>
        <w:spacing w:before="280" w:after="160"/>
      </w:pPr>
      <w:r>
        <w:rPr>
          <w:rFonts w:ascii="Arial" w:cs="Arial" w:eastAsia="Arial" w:hAnsi="Arial"/>
          <w:b/>
          <w:bCs/>
          <w:color w:val="2E75B6"/>
          <w:sz w:val="28"/>
          <w:szCs w:val="28"/>
        </w:rPr>
        <w:t xml:space="preserve">VIII.10 — Development Environment and Toolchain Standards</w:t>
      </w:r>
    </w:p>
    <w:p>
      <w:pPr>
        <w:spacing w:after="120"/>
      </w:pPr>
      <w:r>
        <w:rPr>
          <w:rFonts w:ascii="Arial" w:cs="Arial" w:eastAsia="Arial" w:hAnsi="Arial"/>
          <w:sz w:val="22"/>
          <w:szCs w:val="22"/>
        </w:rPr>
        <w:t xml:space="preserve">Development environment standards ensure consistent, reproducible, and secure development workflows across all teams. Standardized toolchains reduce onboarding friction, enable cross-team collaboration, and ensure that code produced in development environments accurately reflects production behavior.</w:t>
      </w:r>
    </w:p>
    <w:p>
      <w:pPr>
        <w:pStyle w:val="Heading3"/>
        <w:spacing w:before="200" w:after="120"/>
      </w:pPr>
      <w:r>
        <w:rPr>
          <w:rFonts w:ascii="Arial" w:cs="Arial" w:eastAsia="Arial" w:hAnsi="Arial"/>
          <w:b/>
          <w:bCs/>
          <w:color w:val="1B3A5C"/>
          <w:sz w:val="24"/>
          <w:szCs w:val="24"/>
        </w:rPr>
        <w:t xml:space="preserve">Standardized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9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Standard</w:t>
            </w:r>
          </w:p>
        </w:tc>
        <w:tc>
          <w:tcPr>
            <w:tcW w:type="dxa" w:w="3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IDE / Editor</w:t>
            </w:r>
          </w:p>
        </w:tc>
        <w:tc>
          <w:tcPr>
            <w:tcW w:type="dxa" w:w="3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Approved IDE list with mandatory extension packs per language</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Consistent formatting, linting, and AI assistance experience</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Container Runtime</w:t>
            </w:r>
          </w:p>
        </w:tc>
        <w:tc>
          <w:tcPr>
            <w:tcW w:type="dxa" w:w="3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Docker Desktop or Podman with enterprise configuration</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Local service emulation matching production container runtime</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Local Orchestration</w:t>
            </w:r>
          </w:p>
        </w:tc>
        <w:tc>
          <w:tcPr>
            <w:tcW w:type="dxa" w:w="3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Docker Compose or Tilt for multi-service development</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Reproducible local environments with service dependency management</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Dev Containers</w:t>
            </w:r>
          </w:p>
        </w:tc>
        <w:tc>
          <w:tcPr>
            <w:tcW w:type="dxa" w:w="3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Devcontainer specification with team-maintained images</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Guaranteed environment consistency eliminating works-on-my-machine issues</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AI Coding Assistants</w:t>
            </w:r>
          </w:p>
        </w:tc>
        <w:tc>
          <w:tcPr>
            <w:tcW w:type="dxa" w:w="3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Approved AI assistants with enterprise configuration and data policies</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Productivity enhancement within data governance and IP protection boundaries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Secret Management</w:t>
            </w:r>
          </w:p>
        </w:tc>
        <w:tc>
          <w:tcPr>
            <w:tcW w:type="dxa" w:w="3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Local vault integration with rotated development credentials</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Elimination of hardcoded secrets and consistent credential access patterns</w:t>
            </w:r>
          </w:p>
        </w:tc>
      </w:tr>
    </w:tbl>
    <w:p>
      <w:pPr>
        <w:pStyle w:val="Heading3"/>
        <w:spacing w:before="200" w:after="120"/>
      </w:pPr>
      <w:r>
        <w:rPr>
          <w:rFonts w:ascii="Arial" w:cs="Arial" w:eastAsia="Arial" w:hAnsi="Arial"/>
          <w:b/>
          <w:bCs/>
          <w:color w:val="1B3A5C"/>
          <w:sz w:val="24"/>
          <w:szCs w:val="24"/>
        </w:rPr>
        <w:t xml:space="preserve">CI/CD Toolchain Standards</w:t>
      </w:r>
    </w:p>
    <w:p>
      <w:pPr>
        <w:spacing w:after="120"/>
      </w:pPr>
      <w:r>
        <w:rPr>
          <w:rFonts w:ascii="Arial" w:cs="Arial" w:eastAsia="Arial" w:hAnsi="Arial"/>
          <w:sz w:val="22"/>
          <w:szCs w:val="22"/>
        </w:rPr>
        <w:t xml:space="preserve">The enterprise CI/CD toolchain is standardized to ensure consistent build, test, and deployment experiences:</w:t>
      </w:r>
    </w:p>
    <w:p>
      <w:pPr>
        <w:pStyle w:val="ListParagraph"/>
        <w:numPr>
          <w:ilvl w:val="0"/>
          <w:numId w:val="3"/>
        </w:numPr>
        <w:spacing w:after="60"/>
      </w:pPr>
      <w:r>
        <w:rPr>
          <w:rFonts w:ascii="Arial" w:cs="Arial" w:eastAsia="Arial" w:hAnsi="Arial"/>
          <w:b/>
          <w:bCs/>
          <w:sz w:val="22"/>
          <w:szCs w:val="22"/>
        </w:rPr>
        <w:t xml:space="preserve">Pipeline as Code: </w:t>
      </w:r>
      <w:r>
        <w:rPr>
          <w:rFonts w:ascii="Arial" w:cs="Arial" w:eastAsia="Arial" w:hAnsi="Arial"/>
          <w:sz w:val="22"/>
          <w:szCs w:val="22"/>
        </w:rPr>
        <w:t xml:space="preserve">All CI/CD pipelines defined in version-controlled configuration files. No manually configured pipeline stages. Pipeline changes subject to the same review process as application code.</w:t>
      </w:r>
    </w:p>
    <w:p>
      <w:pPr>
        <w:pStyle w:val="ListParagraph"/>
        <w:numPr>
          <w:ilvl w:val="0"/>
          <w:numId w:val="3"/>
        </w:numPr>
        <w:spacing w:after="60"/>
      </w:pPr>
      <w:r>
        <w:rPr>
          <w:rFonts w:ascii="Arial" w:cs="Arial" w:eastAsia="Arial" w:hAnsi="Arial"/>
          <w:b/>
          <w:bCs/>
          <w:sz w:val="22"/>
          <w:szCs w:val="22"/>
        </w:rPr>
        <w:t xml:space="preserve">Build Reproducibility: </w:t>
      </w:r>
      <w:r>
        <w:rPr>
          <w:rFonts w:ascii="Arial" w:cs="Arial" w:eastAsia="Arial" w:hAnsi="Arial"/>
          <w:sz w:val="22"/>
          <w:szCs w:val="22"/>
        </w:rPr>
        <w:t xml:space="preserve">Hermetic builds that produce identical artifacts from identical inputs. Build environment defined in container images. No network access during build except to approved artifact registries.</w:t>
      </w:r>
    </w:p>
    <w:p>
      <w:pPr>
        <w:pStyle w:val="ListParagraph"/>
        <w:numPr>
          <w:ilvl w:val="0"/>
          <w:numId w:val="3"/>
        </w:numPr>
        <w:spacing w:after="60"/>
      </w:pPr>
      <w:r>
        <w:rPr>
          <w:rFonts w:ascii="Arial" w:cs="Arial" w:eastAsia="Arial" w:hAnsi="Arial"/>
          <w:b/>
          <w:bCs/>
          <w:sz w:val="22"/>
          <w:szCs w:val="22"/>
        </w:rPr>
        <w:t xml:space="preserve">Artifact Management: </w:t>
      </w:r>
      <w:r>
        <w:rPr>
          <w:rFonts w:ascii="Arial" w:cs="Arial" w:eastAsia="Arial" w:hAnsi="Arial"/>
          <w:sz w:val="22"/>
          <w:szCs w:val="22"/>
        </w:rPr>
        <w:t xml:space="preserve">Enterprise artifact registry for all build outputs. Immutable artifact storage with provenance metadata. Retention policies aligned with compliance requirements.</w:t>
      </w:r>
    </w:p>
    <w:p>
      <w:pPr>
        <w:pStyle w:val="ListParagraph"/>
        <w:numPr>
          <w:ilvl w:val="0"/>
          <w:numId w:val="3"/>
        </w:numPr>
        <w:spacing w:after="60"/>
      </w:pPr>
      <w:r>
        <w:rPr>
          <w:rFonts w:ascii="Arial" w:cs="Arial" w:eastAsia="Arial" w:hAnsi="Arial"/>
          <w:b/>
          <w:bCs/>
          <w:sz w:val="22"/>
          <w:szCs w:val="22"/>
        </w:rPr>
        <w:t xml:space="preserve">Environment Promotion: </w:t>
      </w:r>
      <w:r>
        <w:rPr>
          <w:rFonts w:ascii="Arial" w:cs="Arial" w:eastAsia="Arial" w:hAnsi="Arial"/>
          <w:sz w:val="22"/>
          <w:szCs w:val="22"/>
        </w:rPr>
        <w:t xml:space="preserve">Single artifact promoted through environments (dev, staging, production) with environment-specific configuration injected at deployment time. No environment-specific builds.</w:t>
      </w:r>
    </w:p>
    <w:p>
      <w:pPr>
        <w:pStyle w:val="Heading3"/>
        <w:spacing w:before="200" w:after="120"/>
      </w:pPr>
      <w:r>
        <w:rPr>
          <w:rFonts w:ascii="Arial" w:cs="Arial" w:eastAsia="Arial" w:hAnsi="Arial"/>
          <w:b/>
          <w:bCs/>
          <w:color w:val="1B3A5C"/>
          <w:sz w:val="24"/>
          <w:szCs w:val="24"/>
        </w:rPr>
        <w:t xml:space="preserve">Developer Productivity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r>
      <w:tr>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Local Build Time</w:t>
            </w:r>
          </w:p>
        </w:tc>
        <w:tc>
          <w:tcPr>
            <w:tcW w:type="dxa" w:w="3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2 minutes for incremental builds</w:t>
            </w:r>
          </w:p>
        </w:tc>
        <w:tc>
          <w:tcPr>
            <w:tcW w:type="dxa" w:w="3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Build tool telemetry</w:t>
            </w:r>
          </w:p>
        </w:tc>
      </w:tr>
      <w:tr>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CI Pipeline Duration (Fast)</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5 minutes for commit-level validation</w:t>
            </w:r>
          </w:p>
        </w:tc>
        <w:tc>
          <w:tcPr>
            <w:tcW w:type="dxa" w:w="3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Pipeline analytics dashboard</w:t>
            </w:r>
          </w:p>
        </w:tc>
      </w:tr>
      <w:tr>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CI Pipeline Duration (Full)</w:t>
            </w:r>
          </w:p>
        </w:tc>
        <w:tc>
          <w:tcPr>
            <w:tcW w:type="dxa" w:w="3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15 minutes for merge-level validation</w:t>
            </w:r>
          </w:p>
        </w:tc>
        <w:tc>
          <w:tcPr>
            <w:tcW w:type="dxa" w:w="3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Pipeline analytics dashboard</w:t>
            </w:r>
          </w:p>
        </w:tc>
      </w:tr>
      <w:tr>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Environment Provisioning</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10 minutes for full local dev environment</w:t>
            </w:r>
          </w:p>
        </w:tc>
        <w:tc>
          <w:tcPr>
            <w:tcW w:type="dxa" w:w="3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Onboarding automation tracking</w:t>
            </w:r>
          </w:p>
        </w:tc>
      </w:tr>
      <w:tr>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Mean Time to First Commit (new dev)</w:t>
            </w:r>
          </w:p>
        </w:tc>
        <w:tc>
          <w:tcPr>
            <w:tcW w:type="dxa" w:w="3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4 hours from onboarding start</w:t>
            </w:r>
          </w:p>
        </w:tc>
        <w:tc>
          <w:tcPr>
            <w:tcW w:type="dxa" w:w="3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Onboarding completion tracking</w:t>
            </w:r>
          </w:p>
        </w:tc>
      </w:tr>
      <w:tr>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AI Assistant Acceptance Rate</w:t>
            </w:r>
          </w:p>
        </w:tc>
        <w:tc>
          <w:tcPr>
            <w:tcW w:type="dxa" w:w="3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&gt; 30% of suggestions accepted</w:t>
            </w:r>
          </w:p>
        </w:tc>
        <w:tc>
          <w:tcPr>
            <w:tcW w:type="dxa" w:w="3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AI tooling analytics</w:t>
            </w:r>
          </w:p>
        </w:tc>
      </w:tr>
    </w:tbl>
    <w:p>
      <w:r>
        <w:br w:type="page"/>
      </w:r>
    </w:p>
    <w:p>
      <w:pPr>
        <w:pStyle w:val="Heading1"/>
        <w:spacing w:before="360" w:after="200"/>
      </w:pPr>
      <w:r>
        <w:rPr>
          <w:rFonts w:ascii="Arial" w:cs="Arial" w:eastAsia="Arial" w:hAnsi="Arial"/>
          <w:b/>
          <w:bCs/>
          <w:color w:val="1B3A5C"/>
          <w:sz w:val="32"/>
          <w:szCs w:val="32"/>
        </w:rPr>
        <w:t xml:space="preserve">Part IX — Operational Domains</w:t>
      </w:r>
    </w:p>
    <w:p>
      <w:pPr>
        <w:spacing w:after="80"/>
      </w:pPr>
    </w:p>
    <w:p>
      <w:pPr>
        <w:pStyle w:val="Heading2"/>
        <w:spacing w:before="280" w:after="160"/>
      </w:pPr>
      <w:r>
        <w:rPr>
          <w:rFonts w:ascii="Arial" w:cs="Arial" w:eastAsia="Arial" w:hAnsi="Arial"/>
          <w:b/>
          <w:bCs/>
          <w:color w:val="2E75B6"/>
          <w:sz w:val="28"/>
          <w:szCs w:val="28"/>
        </w:rPr>
        <w:t xml:space="preserve">IX.1 — Executive Overview and Operational Strategy</w:t>
      </w:r>
    </w:p>
    <w:p>
      <w:pPr>
        <w:spacing w:after="120"/>
      </w:pPr>
      <w:r>
        <w:rPr>
          <w:rFonts w:ascii="Arial" w:cs="Arial" w:eastAsia="Arial" w:hAnsi="Arial"/>
          <w:sz w:val="22"/>
          <w:szCs w:val="22"/>
        </w:rPr>
        <w:t xml:space="preserve">Operational Domains define the comprehensive operational disciplines required to manage enterprise software systems from deployment through retirement. This framework establishes standards, processes, and automation requirements for each operational domain, ensuring that systems are operated with the reliability, security, and efficiency demanded by business stakeholders and regulatory bodies.</w:t>
      </w:r>
    </w:p>
    <w:p>
      <w:pPr>
        <w:spacing w:after="120"/>
      </w:pPr>
      <w:r>
        <w:rPr>
          <w:rFonts w:ascii="Arial" w:cs="Arial" w:eastAsia="Arial" w:hAnsi="Arial"/>
          <w:sz w:val="22"/>
          <w:szCs w:val="22"/>
        </w:rPr>
        <w:t xml:space="preserve">The operational model integrates AI-augmented capabilities at every layer, transitioning from reactive operations toward predictive and autonomous operational paradigms. Each domain includes maturity progression criteria that guide organizations from foundational manual practices through advanced AI-driven automation while maintaining appropriate human oversight for risk-sensitive decisions.</w:t>
      </w:r>
    </w:p>
    <w:p>
      <w:pPr>
        <w:pStyle w:val="Heading3"/>
        <w:spacing w:before="200" w:after="120"/>
      </w:pPr>
      <w:r>
        <w:rPr>
          <w:rFonts w:ascii="Arial" w:cs="Arial" w:eastAsia="Arial" w:hAnsi="Arial"/>
          <w:b/>
          <w:bCs/>
          <w:color w:val="1B3A5C"/>
          <w:sz w:val="24"/>
          <w:szCs w:val="24"/>
        </w:rPr>
        <w:t xml:space="preserve">Operational Domain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4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3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AI Integration Level</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Infrastructure Operations</w:t>
            </w:r>
          </w:p>
        </w:tc>
        <w:tc>
          <w:tcPr>
            <w:tcW w:type="dxa" w:w="4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Compute, storage, network provisioning and lifecycle management</w:t>
            </w:r>
          </w:p>
        </w:tc>
        <w:tc>
          <w:tcPr>
            <w:tcW w:type="dxa" w:w="3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High — Autonomous scaling, predictive capacity</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Application Operations</w:t>
            </w:r>
          </w:p>
        </w:tc>
        <w:tc>
          <w:tcPr>
            <w:tcW w:type="dxa" w:w="4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Deployment, configuration, health management of application services</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High — Self-healing, intelligent routing</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Data Operations</w:t>
            </w:r>
          </w:p>
        </w:tc>
        <w:tc>
          <w:tcPr>
            <w:tcW w:type="dxa" w:w="4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Data pipeline management, quality assurance, governance enforcement</w:t>
            </w:r>
          </w:p>
        </w:tc>
        <w:tc>
          <w:tcPr>
            <w:tcW w:type="dxa" w:w="3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Medium — Anomaly detection, lineage automation</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Security Operations</w:t>
            </w:r>
          </w:p>
        </w:tc>
        <w:tc>
          <w:tcPr>
            <w:tcW w:type="dxa" w:w="4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Threat detection, incident response, compliance monitoring</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High — Behavioral analytics, automated response</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Reliability Engineering</w:t>
            </w:r>
          </w:p>
        </w:tc>
        <w:tc>
          <w:tcPr>
            <w:tcW w:type="dxa" w:w="4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SLO management, chaos engineering, capacity planning</w:t>
            </w:r>
          </w:p>
        </w:tc>
        <w:tc>
          <w:tcPr>
            <w:tcW w:type="dxa" w:w="3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Medium — Predictive failure analysis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Observability</w:t>
            </w:r>
          </w:p>
        </w:tc>
        <w:tc>
          <w:tcPr>
            <w:tcW w:type="dxa" w:w="4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Monitoring, logging, tracing, alerting across all system layers</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High — Intelligent correlation, root cause analysis</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Incident Management</w:t>
            </w:r>
          </w:p>
        </w:tc>
        <w:tc>
          <w:tcPr>
            <w:tcW w:type="dxa" w:w="41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Detection, triage, response, resolution, and post-incident learning</w:t>
            </w:r>
          </w:p>
        </w:tc>
        <w:tc>
          <w:tcPr>
            <w:tcW w:type="dxa" w:w="3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Medium — Automated triage, impact prediction</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Change Management</w:t>
            </w:r>
          </w:p>
        </w:tc>
        <w:tc>
          <w:tcPr>
            <w:tcW w:type="dxa" w:w="4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Change approval, risk assessment, scheduling, and validation</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Medium — Risk scoring, impact analysis</w:t>
            </w:r>
          </w:p>
        </w:tc>
      </w:tr>
    </w:tbl>
    <w:p>
      <w:r>
        <w:br w:type="page"/>
      </w:r>
    </w:p>
    <w:p>
      <w:pPr>
        <w:pStyle w:val="Heading2"/>
        <w:spacing w:before="280" w:after="160"/>
      </w:pPr>
      <w:r>
        <w:rPr>
          <w:rFonts w:ascii="Arial" w:cs="Arial" w:eastAsia="Arial" w:hAnsi="Arial"/>
          <w:b/>
          <w:bCs/>
          <w:color w:val="2E75B6"/>
          <w:sz w:val="28"/>
          <w:szCs w:val="28"/>
        </w:rPr>
        <w:t xml:space="preserve">IX.2 — Infrastructure Operations and Platform Engineering</w:t>
      </w:r>
    </w:p>
    <w:p>
      <w:pPr>
        <w:spacing w:after="120"/>
      </w:pPr>
      <w:r>
        <w:rPr>
          <w:rFonts w:ascii="Arial" w:cs="Arial" w:eastAsia="Arial" w:hAnsi="Arial"/>
          <w:sz w:val="22"/>
          <w:szCs w:val="22"/>
        </w:rPr>
        <w:t xml:space="preserve">Infrastructure operations encompass the provisioning, configuration, scaling, and lifecycle management of all compute, storage, and networking resources that underpin enterprise application delivery. Platform engineering extends these capabilities into self-service internal developer platforms that abstract infrastructure complexity while maintaining governance and compliance.</w:t>
      </w:r>
    </w:p>
    <w:p>
      <w:pPr>
        <w:pStyle w:val="Heading3"/>
        <w:spacing w:before="200" w:after="120"/>
      </w:pPr>
      <w:r>
        <w:rPr>
          <w:rFonts w:ascii="Arial" w:cs="Arial" w:eastAsia="Arial" w:hAnsi="Arial"/>
          <w:b/>
          <w:bCs/>
          <w:color w:val="1B3A5C"/>
          <w:sz w:val="24"/>
          <w:szCs w:val="24"/>
        </w:rPr>
        <w:t xml:space="preserve">Infrastructure as Code Standards</w:t>
      </w:r>
    </w:p>
    <w:p>
      <w:pPr>
        <w:pStyle w:val="ListParagraph"/>
        <w:numPr>
          <w:ilvl w:val="0"/>
          <w:numId w:val="3"/>
        </w:numPr>
        <w:spacing w:after="60"/>
      </w:pPr>
      <w:r>
        <w:rPr>
          <w:rFonts w:ascii="Arial" w:cs="Arial" w:eastAsia="Arial" w:hAnsi="Arial"/>
          <w:b/>
          <w:bCs/>
          <w:sz w:val="22"/>
          <w:szCs w:val="22"/>
        </w:rPr>
        <w:t xml:space="preserve">Declarative Configuration: </w:t>
      </w:r>
      <w:r>
        <w:rPr>
          <w:rFonts w:ascii="Arial" w:cs="Arial" w:eastAsia="Arial" w:hAnsi="Arial"/>
          <w:sz w:val="22"/>
          <w:szCs w:val="22"/>
        </w:rPr>
        <w:t xml:space="preserve">All infrastructure defined through declarative IaC tools (Terraform, Pulumi, or CloudFormation). No manual console-based provisioning for any environment including development.</w:t>
      </w:r>
    </w:p>
    <w:p>
      <w:pPr>
        <w:pStyle w:val="ListParagraph"/>
        <w:numPr>
          <w:ilvl w:val="0"/>
          <w:numId w:val="3"/>
        </w:numPr>
        <w:spacing w:after="60"/>
      </w:pPr>
      <w:r>
        <w:rPr>
          <w:rFonts w:ascii="Arial" w:cs="Arial" w:eastAsia="Arial" w:hAnsi="Arial"/>
          <w:b/>
          <w:bCs/>
          <w:sz w:val="22"/>
          <w:szCs w:val="22"/>
        </w:rPr>
        <w:t xml:space="preserve">Module Library: </w:t>
      </w:r>
      <w:r>
        <w:rPr>
          <w:rFonts w:ascii="Arial" w:cs="Arial" w:eastAsia="Arial" w:hAnsi="Arial"/>
          <w:sz w:val="22"/>
          <w:szCs w:val="22"/>
        </w:rPr>
        <w:t xml:space="preserve">Enterprise-maintained module library providing pre-approved, security-hardened infrastructure patterns. Teams compose infrastructure from approved modules rather than writing raw resource definitions.</w:t>
      </w:r>
    </w:p>
    <w:p>
      <w:pPr>
        <w:pStyle w:val="ListParagraph"/>
        <w:numPr>
          <w:ilvl w:val="0"/>
          <w:numId w:val="3"/>
        </w:numPr>
        <w:spacing w:after="60"/>
      </w:pPr>
      <w:r>
        <w:rPr>
          <w:rFonts w:ascii="Arial" w:cs="Arial" w:eastAsia="Arial" w:hAnsi="Arial"/>
          <w:b/>
          <w:bCs/>
          <w:sz w:val="22"/>
          <w:szCs w:val="22"/>
        </w:rPr>
        <w:t xml:space="preserve">State Management: </w:t>
      </w:r>
      <w:r>
        <w:rPr>
          <w:rFonts w:ascii="Arial" w:cs="Arial" w:eastAsia="Arial" w:hAnsi="Arial"/>
          <w:sz w:val="22"/>
          <w:szCs w:val="22"/>
        </w:rPr>
        <w:t xml:space="preserve">Remote state storage with locking. State file encryption at rest. State access restricted through IAM policies aligned with environment ownership.</w:t>
      </w:r>
    </w:p>
    <w:p>
      <w:pPr>
        <w:pStyle w:val="ListParagraph"/>
        <w:numPr>
          <w:ilvl w:val="0"/>
          <w:numId w:val="3"/>
        </w:numPr>
        <w:spacing w:after="60"/>
      </w:pPr>
      <w:r>
        <w:rPr>
          <w:rFonts w:ascii="Arial" w:cs="Arial" w:eastAsia="Arial" w:hAnsi="Arial"/>
          <w:b/>
          <w:bCs/>
          <w:sz w:val="22"/>
          <w:szCs w:val="22"/>
        </w:rPr>
        <w:t xml:space="preserve">Drift Detection: </w:t>
      </w:r>
      <w:r>
        <w:rPr>
          <w:rFonts w:ascii="Arial" w:cs="Arial" w:eastAsia="Arial" w:hAnsi="Arial"/>
          <w:sz w:val="22"/>
          <w:szCs w:val="22"/>
        </w:rPr>
        <w:t xml:space="preserve">Continuous drift detection comparing deployed infrastructure against declared state. Automated remediation for low-risk drift. Alerting and manual review for high-risk deviations.</w:t>
      </w:r>
    </w:p>
    <w:p>
      <w:pPr>
        <w:pStyle w:val="ListParagraph"/>
        <w:numPr>
          <w:ilvl w:val="0"/>
          <w:numId w:val="3"/>
        </w:numPr>
        <w:spacing w:after="60"/>
      </w:pPr>
      <w:r>
        <w:rPr>
          <w:rFonts w:ascii="Arial" w:cs="Arial" w:eastAsia="Arial" w:hAnsi="Arial"/>
          <w:b/>
          <w:bCs/>
          <w:sz w:val="22"/>
          <w:szCs w:val="22"/>
        </w:rPr>
        <w:t xml:space="preserve">Cost Tagging: </w:t>
      </w:r>
      <w:r>
        <w:rPr>
          <w:rFonts w:ascii="Arial" w:cs="Arial" w:eastAsia="Arial" w:hAnsi="Arial"/>
          <w:sz w:val="22"/>
          <w:szCs w:val="22"/>
        </w:rPr>
        <w:t xml:space="preserve">Mandatory cost allocation tags on all resources. Tag compliance enforced through policy-as-code. Untagged resources flagged and quarantined after grace period.</w:t>
      </w:r>
    </w:p>
    <w:p>
      <w:pPr>
        <w:pStyle w:val="Heading3"/>
        <w:spacing w:before="200" w:after="120"/>
      </w:pPr>
      <w:r>
        <w:rPr>
          <w:rFonts w:ascii="Arial" w:cs="Arial" w:eastAsia="Arial" w:hAnsi="Arial"/>
          <w:b/>
          <w:bCs/>
          <w:color w:val="1B3A5C"/>
          <w:sz w:val="24"/>
          <w:szCs w:val="24"/>
        </w:rPr>
        <w:t xml:space="preserve">Internal Developer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Self-Service Level</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Service Catalog</w:t>
            </w:r>
          </w:p>
        </w:tc>
        <w:tc>
          <w:tcPr>
            <w:tcW w:type="dxa" w:w="4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Templated service creation, database provisioning, queue setup, cache allocation</w:t>
            </w:r>
          </w:p>
        </w:tc>
        <w:tc>
          <w:tcPr>
            <w:tcW w:type="dxa" w:w="2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Full self-service with guardrails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Environment Management</w:t>
            </w:r>
          </w:p>
        </w:tc>
        <w:tc>
          <w:tcPr>
            <w:tcW w:type="dxa" w:w="4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On-demand environment creation, cloning, teardown with cost tracking</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Self-service with TTL enforcement</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Secret Management</w:t>
            </w:r>
          </w:p>
        </w:tc>
        <w:tc>
          <w:tcPr>
            <w:tcW w:type="dxa" w:w="4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Centralized secret storage, rotation, injection with audit trail</w:t>
            </w:r>
          </w:p>
        </w:tc>
        <w:tc>
          <w:tcPr>
            <w:tcW w:type="dxa" w:w="2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Self-service within namespace scope</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Networking</w:t>
            </w:r>
          </w:p>
        </w:tc>
        <w:tc>
          <w:tcPr>
            <w:tcW w:type="dxa" w:w="4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Service mesh configuration, ingress management, DNS registration</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Guided self-service with network team approval for cross-boundary</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Compliance Scanning</w:t>
            </w:r>
          </w:p>
        </w:tc>
        <w:tc>
          <w:tcPr>
            <w:tcW w:type="dxa" w:w="4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Policy validation, security benchmarking, configuration auditing</w:t>
            </w:r>
          </w:p>
        </w:tc>
        <w:tc>
          <w:tcPr>
            <w:tcW w:type="dxa" w:w="2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Automated with exception workflow</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Cost Management</w:t>
            </w:r>
          </w:p>
        </w:tc>
        <w:tc>
          <w:tcPr>
            <w:tcW w:type="dxa" w:w="4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Budget allocation, spend tracking, optimization recommendations</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Dashboard with alerting and auto-scaling controls</w:t>
            </w:r>
          </w:p>
        </w:tc>
      </w:tr>
    </w:tbl>
    <w:p>
      <w:pPr>
        <w:pStyle w:val="Heading3"/>
        <w:spacing w:before="200" w:after="120"/>
      </w:pPr>
      <w:r>
        <w:rPr>
          <w:rFonts w:ascii="Arial" w:cs="Arial" w:eastAsia="Arial" w:hAnsi="Arial"/>
          <w:b/>
          <w:bCs/>
          <w:color w:val="1B3A5C"/>
          <w:sz w:val="24"/>
          <w:szCs w:val="24"/>
        </w:rPr>
        <w:t xml:space="preserve">Capacity Planning and Auto-Scaling</w:t>
      </w:r>
    </w:p>
    <w:p>
      <w:pPr>
        <w:spacing w:after="120"/>
      </w:pPr>
      <w:r>
        <w:rPr>
          <w:rFonts w:ascii="Arial" w:cs="Arial" w:eastAsia="Arial" w:hAnsi="Arial"/>
          <w:sz w:val="22"/>
          <w:szCs w:val="22"/>
        </w:rPr>
        <w:t xml:space="preserve">AI-driven capacity planning integrates historical usage patterns, business event calendars, and real-time demand signals to optimize resource allocation:</w:t>
      </w:r>
    </w:p>
    <w:p>
      <w:pPr>
        <w:pStyle w:val="ListParagraph"/>
        <w:numPr>
          <w:ilvl w:val="0"/>
          <w:numId w:val="3"/>
        </w:numPr>
        <w:spacing w:after="60"/>
      </w:pPr>
      <w:r>
        <w:rPr>
          <w:rFonts w:ascii="Arial" w:cs="Arial" w:eastAsia="Arial" w:hAnsi="Arial"/>
          <w:b/>
          <w:bCs/>
          <w:sz w:val="22"/>
          <w:szCs w:val="22"/>
        </w:rPr>
        <w:t xml:space="preserve">Predictive Scaling: </w:t>
      </w:r>
      <w:r>
        <w:rPr>
          <w:rFonts w:ascii="Arial" w:cs="Arial" w:eastAsia="Arial" w:hAnsi="Arial"/>
          <w:sz w:val="22"/>
          <w:szCs w:val="22"/>
        </w:rPr>
        <w:t xml:space="preserve">Machine learning models forecast demand 24-72 hours ahead, pre-provisioning resources to meet anticipated load without reactive scaling delays.</w:t>
      </w:r>
    </w:p>
    <w:p>
      <w:pPr>
        <w:pStyle w:val="ListParagraph"/>
        <w:numPr>
          <w:ilvl w:val="0"/>
          <w:numId w:val="3"/>
        </w:numPr>
        <w:spacing w:after="60"/>
      </w:pPr>
      <w:r>
        <w:rPr>
          <w:rFonts w:ascii="Arial" w:cs="Arial" w:eastAsia="Arial" w:hAnsi="Arial"/>
          <w:b/>
          <w:bCs/>
          <w:sz w:val="22"/>
          <w:szCs w:val="22"/>
        </w:rPr>
        <w:t xml:space="preserve">Event-Aware Scaling: </w:t>
      </w:r>
      <w:r>
        <w:rPr>
          <w:rFonts w:ascii="Arial" w:cs="Arial" w:eastAsia="Arial" w:hAnsi="Arial"/>
          <w:sz w:val="22"/>
          <w:szCs w:val="22"/>
        </w:rPr>
        <w:t xml:space="preserve">Integration with business event calendars (marketing campaigns, product launches, seasonal peaks) to pre-scale infrastructure ahead of known demand spikes.</w:t>
      </w:r>
    </w:p>
    <w:p>
      <w:pPr>
        <w:pStyle w:val="ListParagraph"/>
        <w:numPr>
          <w:ilvl w:val="0"/>
          <w:numId w:val="3"/>
        </w:numPr>
        <w:spacing w:after="60"/>
      </w:pPr>
      <w:r>
        <w:rPr>
          <w:rFonts w:ascii="Arial" w:cs="Arial" w:eastAsia="Arial" w:hAnsi="Arial"/>
          <w:b/>
          <w:bCs/>
          <w:sz w:val="22"/>
          <w:szCs w:val="22"/>
        </w:rPr>
        <w:t xml:space="preserve">Cost-Optimized Placement: </w:t>
      </w:r>
      <w:r>
        <w:rPr>
          <w:rFonts w:ascii="Arial" w:cs="Arial" w:eastAsia="Arial" w:hAnsi="Arial"/>
          <w:sz w:val="22"/>
          <w:szCs w:val="22"/>
        </w:rPr>
        <w:t xml:space="preserve">Workload placement algorithms balance performance requirements against cost, leveraging spot instances, reserved capacity, and multi-region arbitrage.</w:t>
      </w:r>
    </w:p>
    <w:p>
      <w:pPr>
        <w:pStyle w:val="ListParagraph"/>
        <w:numPr>
          <w:ilvl w:val="0"/>
          <w:numId w:val="3"/>
        </w:numPr>
        <w:spacing w:after="60"/>
      </w:pPr>
      <w:r>
        <w:rPr>
          <w:rFonts w:ascii="Arial" w:cs="Arial" w:eastAsia="Arial" w:hAnsi="Arial"/>
          <w:b/>
          <w:bCs/>
          <w:sz w:val="22"/>
          <w:szCs w:val="22"/>
        </w:rPr>
        <w:t xml:space="preserve">Right-Sizing Automation: </w:t>
      </w:r>
      <w:r>
        <w:rPr>
          <w:rFonts w:ascii="Arial" w:cs="Arial" w:eastAsia="Arial" w:hAnsi="Arial"/>
          <w:sz w:val="22"/>
          <w:szCs w:val="22"/>
        </w:rPr>
        <w:t xml:space="preserve">Continuous analysis of resource utilization with automated right-sizing recommendations. Non-production environments automatically scaled down during off-hours.</w:t>
      </w:r>
    </w:p>
    <w:p>
      <w:r>
        <w:br w:type="page"/>
      </w:r>
    </w:p>
    <w:p>
      <w:pPr>
        <w:pStyle w:val="Heading2"/>
        <w:spacing w:before="280" w:after="160"/>
      </w:pPr>
      <w:r>
        <w:rPr>
          <w:rFonts w:ascii="Arial" w:cs="Arial" w:eastAsia="Arial" w:hAnsi="Arial"/>
          <w:b/>
          <w:bCs/>
          <w:color w:val="2E75B6"/>
          <w:sz w:val="28"/>
          <w:szCs w:val="28"/>
        </w:rPr>
        <w:t xml:space="preserve">IX.3 — Application Operations and Deployment Management</w:t>
      </w:r>
    </w:p>
    <w:p>
      <w:pPr>
        <w:spacing w:after="120"/>
      </w:pPr>
      <w:r>
        <w:rPr>
          <w:rFonts w:ascii="Arial" w:cs="Arial" w:eastAsia="Arial" w:hAnsi="Arial"/>
          <w:sz w:val="22"/>
          <w:szCs w:val="22"/>
        </w:rPr>
        <w:t xml:space="preserve">Application operations govern the deployment, configuration, health management, and lifecycle of application services in production and pre-production environments. These standards ensure reliable, repeatable deployments with minimal risk and rapid rollback capabilities.</w:t>
      </w:r>
    </w:p>
    <w:p>
      <w:pPr>
        <w:pStyle w:val="Heading3"/>
        <w:spacing w:before="200" w:after="120"/>
      </w:pPr>
      <w:r>
        <w:rPr>
          <w:rFonts w:ascii="Arial" w:cs="Arial" w:eastAsia="Arial" w:hAnsi="Arial"/>
          <w:b/>
          <w:bCs/>
          <w:color w:val="1B3A5C"/>
          <w:sz w:val="24"/>
          <w:szCs w:val="24"/>
        </w:rPr>
        <w:t xml:space="preserve">Deployment Strategy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400"/>
        <w:gridCol w:w="2100"/>
      </w:tblGrid>
      <w:tr>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30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 Profile</w:t>
            </w:r>
          </w:p>
        </w:tc>
        <w:tc>
          <w:tcPr>
            <w:tcW w:type="dxa" w:w="21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Rollback Time</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Blue-Green</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Tier 1 applications requiring instant rollback</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Low — full environment pre-validation</w:t>
            </w:r>
          </w:p>
        </w:tc>
        <w:tc>
          <w:tcPr>
            <w:tcW w:type="dxa" w:w="21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1 minute</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Canary</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High-traffic services requiring gradual exposure</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Low — incremental traffic shifting</w:t>
            </w:r>
          </w:p>
        </w:tc>
        <w:tc>
          <w:tcPr>
            <w:tcW w:type="dxa" w:w="21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5 minutes</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Rolling Update</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Stateless services with health-check validation</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Medium — progressive replacement</w:t>
            </w:r>
          </w:p>
        </w:tc>
        <w:tc>
          <w:tcPr>
            <w:tcW w:type="dxa" w:w="21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10 minutes</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Feature Flags</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Feature-level control independent of deployment</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Low — instant toggle without deploy</w:t>
            </w:r>
          </w:p>
        </w:tc>
        <w:tc>
          <w:tcPr>
            <w:tcW w:type="dxa" w:w="21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30 seconds</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A/B Testing</w:t>
            </w:r>
          </w:p>
        </w:tc>
        <w:tc>
          <w:tcPr>
            <w:tcW w:type="dxa" w:w="30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User experience experiments with measurable outcomes</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Low — controlled audience segmentation</w:t>
            </w:r>
          </w:p>
        </w:tc>
        <w:tc>
          <w:tcPr>
            <w:tcW w:type="dxa" w:w="21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&lt; 1 minute</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Dark Launch</w:t>
            </w:r>
          </w:p>
        </w:tc>
        <w:tc>
          <w:tcPr>
            <w:tcW w:type="dxa" w:w="30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Backend changes validated under production load without user exposure</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Low — shadow traffic comparison</w:t>
            </w:r>
          </w:p>
        </w:tc>
        <w:tc>
          <w:tcPr>
            <w:tcW w:type="dxa" w:w="21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&lt; 1 minute</w:t>
            </w:r>
          </w:p>
        </w:tc>
      </w:tr>
    </w:tbl>
    <w:p>
      <w:pPr>
        <w:pStyle w:val="Heading3"/>
        <w:spacing w:before="200" w:after="120"/>
      </w:pPr>
      <w:r>
        <w:rPr>
          <w:rFonts w:ascii="Arial" w:cs="Arial" w:eastAsia="Arial" w:hAnsi="Arial"/>
          <w:b/>
          <w:bCs/>
          <w:color w:val="1B3A5C"/>
          <w:sz w:val="24"/>
          <w:szCs w:val="24"/>
        </w:rPr>
        <w:t xml:space="preserve">Deployment Automation Requirements</w:t>
      </w:r>
    </w:p>
    <w:p>
      <w:pPr>
        <w:pStyle w:val="ListParagraph"/>
        <w:numPr>
          <w:ilvl w:val="0"/>
          <w:numId w:val="8"/>
        </w:numPr>
        <w:spacing w:after="60"/>
      </w:pPr>
      <w:r>
        <w:rPr>
          <w:rFonts w:ascii="Arial" w:cs="Arial" w:eastAsia="Arial" w:hAnsi="Arial"/>
          <w:b/>
          <w:bCs/>
          <w:sz w:val="22"/>
          <w:szCs w:val="22"/>
        </w:rPr>
        <w:t xml:space="preserve">Zero-Touch Deployment: </w:t>
      </w:r>
      <w:r>
        <w:rPr>
          <w:rFonts w:ascii="Arial" w:cs="Arial" w:eastAsia="Arial" w:hAnsi="Arial"/>
          <w:sz w:val="22"/>
          <w:szCs w:val="22"/>
        </w:rPr>
        <w:t xml:space="preserve">Production deployments fully automated from merge to production with no manual intervention for standard releases. Human approval gates for risk-tiered changes only.</w:t>
      </w:r>
    </w:p>
    <w:p>
      <w:pPr>
        <w:pStyle w:val="ListParagraph"/>
        <w:numPr>
          <w:ilvl w:val="0"/>
          <w:numId w:val="8"/>
        </w:numPr>
        <w:spacing w:after="60"/>
      </w:pPr>
      <w:r>
        <w:rPr>
          <w:rFonts w:ascii="Arial" w:cs="Arial" w:eastAsia="Arial" w:hAnsi="Arial"/>
          <w:b/>
          <w:bCs/>
          <w:sz w:val="22"/>
          <w:szCs w:val="22"/>
        </w:rPr>
        <w:t xml:space="preserve">Deployment Verification: </w:t>
      </w:r>
      <w:r>
        <w:rPr>
          <w:rFonts w:ascii="Arial" w:cs="Arial" w:eastAsia="Arial" w:hAnsi="Arial"/>
          <w:sz w:val="22"/>
          <w:szCs w:val="22"/>
        </w:rPr>
        <w:t xml:space="preserve">Automated smoke tests, health checks, and synthetic transaction validation after every deployment. Deployment automatically rolled back if verification fails.</w:t>
      </w:r>
    </w:p>
    <w:p>
      <w:pPr>
        <w:pStyle w:val="ListParagraph"/>
        <w:numPr>
          <w:ilvl w:val="0"/>
          <w:numId w:val="8"/>
        </w:numPr>
        <w:spacing w:after="60"/>
      </w:pPr>
      <w:r>
        <w:rPr>
          <w:rFonts w:ascii="Arial" w:cs="Arial" w:eastAsia="Arial" w:hAnsi="Arial"/>
          <w:b/>
          <w:bCs/>
          <w:sz w:val="22"/>
          <w:szCs w:val="22"/>
        </w:rPr>
        <w:t xml:space="preserve">Configuration Injection: </w:t>
      </w:r>
      <w:r>
        <w:rPr>
          <w:rFonts w:ascii="Arial" w:cs="Arial" w:eastAsia="Arial" w:hAnsi="Arial"/>
          <w:sz w:val="22"/>
          <w:szCs w:val="22"/>
        </w:rPr>
        <w:t xml:space="preserve">Application configuration separated from deployment artifacts. Environment-specific values injected at deployment time from centralized configuration services.</w:t>
      </w:r>
    </w:p>
    <w:p>
      <w:pPr>
        <w:pStyle w:val="ListParagraph"/>
        <w:numPr>
          <w:ilvl w:val="0"/>
          <w:numId w:val="8"/>
        </w:numPr>
        <w:spacing w:after="60"/>
      </w:pPr>
      <w:r>
        <w:rPr>
          <w:rFonts w:ascii="Arial" w:cs="Arial" w:eastAsia="Arial" w:hAnsi="Arial"/>
          <w:b/>
          <w:bCs/>
          <w:sz w:val="22"/>
          <w:szCs w:val="22"/>
        </w:rPr>
        <w:t xml:space="preserve">Deployment Observability: </w:t>
      </w:r>
      <w:r>
        <w:rPr>
          <w:rFonts w:ascii="Arial" w:cs="Arial" w:eastAsia="Arial" w:hAnsi="Arial"/>
          <w:sz w:val="22"/>
          <w:szCs w:val="22"/>
        </w:rPr>
        <w:t xml:space="preserve">Real-time deployment dashboards showing deployment progress, health check status, error rates, and latency comparisons against pre-deployment baselines.</w:t>
      </w:r>
    </w:p>
    <w:p>
      <w:pPr>
        <w:pStyle w:val="ListParagraph"/>
        <w:numPr>
          <w:ilvl w:val="0"/>
          <w:numId w:val="8"/>
        </w:numPr>
        <w:spacing w:after="60"/>
      </w:pPr>
      <w:r>
        <w:rPr>
          <w:rFonts w:ascii="Arial" w:cs="Arial" w:eastAsia="Arial" w:hAnsi="Arial"/>
          <w:b/>
          <w:bCs/>
          <w:sz w:val="22"/>
          <w:szCs w:val="22"/>
        </w:rPr>
        <w:t xml:space="preserve">Deployment Windows: </w:t>
      </w:r>
      <w:r>
        <w:rPr>
          <w:rFonts w:ascii="Arial" w:cs="Arial" w:eastAsia="Arial" w:hAnsi="Arial"/>
          <w:sz w:val="22"/>
          <w:szCs w:val="22"/>
        </w:rPr>
        <w:t xml:space="preserve">Standard deployments permitted during business hours. Change freeze periods enforced during critical business periods. Emergency deployments follow expedited approval workflow.</w:t>
      </w:r>
    </w:p>
    <w:p>
      <w:pPr>
        <w:pStyle w:val="Heading3"/>
        <w:spacing w:before="200" w:after="120"/>
      </w:pPr>
      <w:r>
        <w:rPr>
          <w:rFonts w:ascii="Arial" w:cs="Arial" w:eastAsia="Arial" w:hAnsi="Arial"/>
          <w:b/>
          <w:bCs/>
          <w:color w:val="1B3A5C"/>
          <w:sz w:val="24"/>
          <w:szCs w:val="24"/>
        </w:rPr>
        <w:t xml:space="preserve">Configuration Management</w:t>
      </w:r>
    </w:p>
    <w:p>
      <w:pPr>
        <w:pStyle w:val="ListParagraph"/>
        <w:numPr>
          <w:ilvl w:val="0"/>
          <w:numId w:val="3"/>
        </w:numPr>
        <w:spacing w:after="60"/>
      </w:pPr>
      <w:r>
        <w:rPr>
          <w:rFonts w:ascii="Arial" w:cs="Arial" w:eastAsia="Arial" w:hAnsi="Arial"/>
          <w:b/>
          <w:bCs/>
          <w:sz w:val="22"/>
          <w:szCs w:val="22"/>
        </w:rPr>
        <w:t xml:space="preserve">Hierarchical Configuration: </w:t>
      </w:r>
      <w:r>
        <w:rPr>
          <w:rFonts w:ascii="Arial" w:cs="Arial" w:eastAsia="Arial" w:hAnsi="Arial"/>
          <w:sz w:val="22"/>
          <w:szCs w:val="22"/>
        </w:rPr>
        <w:t xml:space="preserve">Configuration organized in layers (defaults, environment, region, cluster, service instance) with clear precedence rules. Override visibility and audit trail at each layer.</w:t>
      </w:r>
    </w:p>
    <w:p>
      <w:pPr>
        <w:pStyle w:val="ListParagraph"/>
        <w:numPr>
          <w:ilvl w:val="0"/>
          <w:numId w:val="3"/>
        </w:numPr>
        <w:spacing w:after="60"/>
      </w:pPr>
      <w:r>
        <w:rPr>
          <w:rFonts w:ascii="Arial" w:cs="Arial" w:eastAsia="Arial" w:hAnsi="Arial"/>
          <w:b/>
          <w:bCs/>
          <w:sz w:val="22"/>
          <w:szCs w:val="22"/>
        </w:rPr>
        <w:t xml:space="preserve">Dynamic Configuration: </w:t>
      </w:r>
      <w:r>
        <w:rPr>
          <w:rFonts w:ascii="Arial" w:cs="Arial" w:eastAsia="Arial" w:hAnsi="Arial"/>
          <w:sz w:val="22"/>
          <w:szCs w:val="22"/>
        </w:rPr>
        <w:t xml:space="preserve">Feature flags and tuning parameters changeable without redeployment. Changes propagated within configurable latency bounds. Audit trail for all dynamic configuration changes.</w:t>
      </w:r>
    </w:p>
    <w:p>
      <w:pPr>
        <w:pStyle w:val="ListParagraph"/>
        <w:numPr>
          <w:ilvl w:val="0"/>
          <w:numId w:val="3"/>
        </w:numPr>
        <w:spacing w:after="60"/>
      </w:pPr>
      <w:r>
        <w:rPr>
          <w:rFonts w:ascii="Arial" w:cs="Arial" w:eastAsia="Arial" w:hAnsi="Arial"/>
          <w:b/>
          <w:bCs/>
          <w:sz w:val="22"/>
          <w:szCs w:val="22"/>
        </w:rPr>
        <w:t xml:space="preserve">Secret Rotation: </w:t>
      </w:r>
      <w:r>
        <w:rPr>
          <w:rFonts w:ascii="Arial" w:cs="Arial" w:eastAsia="Arial" w:hAnsi="Arial"/>
          <w:sz w:val="22"/>
          <w:szCs w:val="22"/>
        </w:rPr>
        <w:t xml:space="preserve">Automated secret rotation with zero-downtime credential updates. Dual-credential support during rotation windows. Rotation frequency aligned with security policy.</w:t>
      </w:r>
    </w:p>
    <w:p>
      <w:r>
        <w:br w:type="page"/>
      </w:r>
    </w:p>
    <w:p>
      <w:pPr>
        <w:pStyle w:val="Heading2"/>
        <w:spacing w:before="280" w:after="160"/>
      </w:pPr>
      <w:r>
        <w:rPr>
          <w:rFonts w:ascii="Arial" w:cs="Arial" w:eastAsia="Arial" w:hAnsi="Arial"/>
          <w:b/>
          <w:bCs/>
          <w:color w:val="2E75B6"/>
          <w:sz w:val="28"/>
          <w:szCs w:val="28"/>
        </w:rPr>
        <w:t xml:space="preserve">IX.4 — Data Operations and DataOps</w:t>
      </w:r>
    </w:p>
    <w:p>
      <w:pPr>
        <w:spacing w:after="120"/>
      </w:pPr>
      <w:r>
        <w:rPr>
          <w:rFonts w:ascii="Arial" w:cs="Arial" w:eastAsia="Arial" w:hAnsi="Arial"/>
          <w:sz w:val="22"/>
          <w:szCs w:val="22"/>
        </w:rPr>
        <w:t xml:space="preserve">Data operations encompass the end-to-end management of data pipelines, quality assurance, governance enforcement, and lifecycle management for all enterprise data assets. DataOps principles apply DevOps practices to data engineering, ensuring reliable, tested, and governed data flows.</w:t>
      </w:r>
    </w:p>
    <w:p>
      <w:pPr>
        <w:pStyle w:val="Heading3"/>
        <w:spacing w:before="200" w:after="120"/>
      </w:pPr>
      <w:r>
        <w:rPr>
          <w:rFonts w:ascii="Arial" w:cs="Arial" w:eastAsia="Arial" w:hAnsi="Arial"/>
          <w:b/>
          <w:bCs/>
          <w:color w:val="1B3A5C"/>
          <w:sz w:val="24"/>
          <w:szCs w:val="24"/>
        </w:rPr>
        <w:t xml:space="preserve">Data Pipeline Standards</w:t>
      </w:r>
    </w:p>
    <w:p>
      <w:pPr>
        <w:pStyle w:val="ListParagraph"/>
        <w:numPr>
          <w:ilvl w:val="0"/>
          <w:numId w:val="3"/>
        </w:numPr>
        <w:spacing w:after="60"/>
      </w:pPr>
      <w:r>
        <w:rPr>
          <w:rFonts w:ascii="Arial" w:cs="Arial" w:eastAsia="Arial" w:hAnsi="Arial"/>
          <w:b/>
          <w:bCs/>
          <w:sz w:val="22"/>
          <w:szCs w:val="22"/>
        </w:rPr>
        <w:t xml:space="preserve">Pipeline as Code: </w:t>
      </w:r>
      <w:r>
        <w:rPr>
          <w:rFonts w:ascii="Arial" w:cs="Arial" w:eastAsia="Arial" w:hAnsi="Arial"/>
          <w:sz w:val="22"/>
          <w:szCs w:val="22"/>
        </w:rPr>
        <w:t xml:space="preserve">All data pipelines defined in version-controlled configuration. Pipeline changes follow the same review and testing processes as application code. No manually configured ETL/ELT jobs.</w:t>
      </w:r>
    </w:p>
    <w:p>
      <w:pPr>
        <w:pStyle w:val="ListParagraph"/>
        <w:numPr>
          <w:ilvl w:val="0"/>
          <w:numId w:val="3"/>
        </w:numPr>
        <w:spacing w:after="60"/>
      </w:pPr>
      <w:r>
        <w:rPr>
          <w:rFonts w:ascii="Arial" w:cs="Arial" w:eastAsia="Arial" w:hAnsi="Arial"/>
          <w:b/>
          <w:bCs/>
          <w:sz w:val="22"/>
          <w:szCs w:val="22"/>
        </w:rPr>
        <w:t xml:space="preserve">Idempotent Processing: </w:t>
      </w:r>
      <w:r>
        <w:rPr>
          <w:rFonts w:ascii="Arial" w:cs="Arial" w:eastAsia="Arial" w:hAnsi="Arial"/>
          <w:sz w:val="22"/>
          <w:szCs w:val="22"/>
        </w:rPr>
        <w:t xml:space="preserve">All pipeline stages designed for safe re-execution. Deduplication logic at ingestion boundaries. Exactly-once semantics where supported by underlying infrastructure.</w:t>
      </w:r>
    </w:p>
    <w:p>
      <w:pPr>
        <w:pStyle w:val="ListParagraph"/>
        <w:numPr>
          <w:ilvl w:val="0"/>
          <w:numId w:val="3"/>
        </w:numPr>
        <w:spacing w:after="60"/>
      </w:pPr>
      <w:r>
        <w:rPr>
          <w:rFonts w:ascii="Arial" w:cs="Arial" w:eastAsia="Arial" w:hAnsi="Arial"/>
          <w:b/>
          <w:bCs/>
          <w:sz w:val="22"/>
          <w:szCs w:val="22"/>
        </w:rPr>
        <w:t xml:space="preserve">Schema Evolution: </w:t>
      </w:r>
      <w:r>
        <w:rPr>
          <w:rFonts w:ascii="Arial" w:cs="Arial" w:eastAsia="Arial" w:hAnsi="Arial"/>
          <w:sz w:val="22"/>
          <w:szCs w:val="22"/>
        </w:rPr>
        <w:t xml:space="preserve">Schema registry for all data contracts. Backward and forward compatibility validation before schema changes are deployed. Consumer notification for breaking changes.</w:t>
      </w:r>
    </w:p>
    <w:p>
      <w:pPr>
        <w:pStyle w:val="ListParagraph"/>
        <w:numPr>
          <w:ilvl w:val="0"/>
          <w:numId w:val="3"/>
        </w:numPr>
        <w:spacing w:after="60"/>
      </w:pPr>
      <w:r>
        <w:rPr>
          <w:rFonts w:ascii="Arial" w:cs="Arial" w:eastAsia="Arial" w:hAnsi="Arial"/>
          <w:b/>
          <w:bCs/>
          <w:sz w:val="22"/>
          <w:szCs w:val="22"/>
        </w:rPr>
        <w:t xml:space="preserve">Lineage Tracking: </w:t>
      </w:r>
      <w:r>
        <w:rPr>
          <w:rFonts w:ascii="Arial" w:cs="Arial" w:eastAsia="Arial" w:hAnsi="Arial"/>
          <w:sz w:val="22"/>
          <w:szCs w:val="22"/>
        </w:rPr>
        <w:t xml:space="preserve">Automated data lineage capture from source through transformation to consumption. Lineage metadata integrated with data catalog for impact analysis and compliance reporting.</w:t>
      </w:r>
    </w:p>
    <w:p>
      <w:pPr>
        <w:pStyle w:val="Heading3"/>
        <w:spacing w:before="200" w:after="120"/>
      </w:pPr>
      <w:r>
        <w:rPr>
          <w:rFonts w:ascii="Arial" w:cs="Arial" w:eastAsia="Arial" w:hAnsi="Arial"/>
          <w:b/>
          <w:bCs/>
          <w:color w:val="1B3A5C"/>
          <w:sz w:val="24"/>
          <w:szCs w:val="24"/>
        </w:rPr>
        <w:t xml:space="preserve">Data Quality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4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Validation Approach</w:t>
            </w:r>
          </w:p>
        </w:tc>
        <w:tc>
          <w:tcPr>
            <w:tcW w:type="dxa" w:w="3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Automation Level</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Completeness</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Null checks, required field validation, expected record counts</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Fully automated with SLA alerting</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Accuracy</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Cross-source validation, statistical distribution checks, business rule compliance</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Automated with anomaly-triggered human review</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Consistency</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Cross-dataset referential integrity, temporal consistency, format uniformity</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Fully automated with reconciliation reports</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Timeliness</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SLA monitoring for pipeline completion, freshness checks at consumption</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Automated with escalation workflows</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Uniqueness</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Primary key validation, deduplication checks, fuzzy match detection</w:t>
            </w:r>
          </w:p>
        </w:tc>
        <w:tc>
          <w:tcPr>
            <w:tcW w:type="dxa" w:w="3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Automated with quarantine for ambiguous records</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Validity</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Domain constraint validation, regex patterns, enumeration checks, range validation</w:t>
            </w:r>
          </w:p>
        </w:tc>
        <w:tc>
          <w:tcPr>
            <w:tcW w:type="dxa" w:w="3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Fully automated at ingestion boundaries</w:t>
            </w:r>
          </w:p>
        </w:tc>
      </w:tr>
    </w:tbl>
    <w:p>
      <w:pPr>
        <w:pStyle w:val="Heading3"/>
        <w:spacing w:before="200" w:after="120"/>
      </w:pPr>
      <w:r>
        <w:rPr>
          <w:rFonts w:ascii="Arial" w:cs="Arial" w:eastAsia="Arial" w:hAnsi="Arial"/>
          <w:b/>
          <w:bCs/>
          <w:color w:val="1B3A5C"/>
          <w:sz w:val="24"/>
          <w:szCs w:val="24"/>
        </w:rPr>
        <w:t xml:space="preserve">Data Governance Enforcement</w:t>
      </w:r>
    </w:p>
    <w:p>
      <w:pPr>
        <w:pStyle w:val="ListParagraph"/>
        <w:numPr>
          <w:ilvl w:val="0"/>
          <w:numId w:val="3"/>
        </w:numPr>
        <w:spacing w:after="60"/>
      </w:pPr>
      <w:r>
        <w:rPr>
          <w:rFonts w:ascii="Arial" w:cs="Arial" w:eastAsia="Arial" w:hAnsi="Arial"/>
          <w:b/>
          <w:bCs/>
          <w:sz w:val="22"/>
          <w:szCs w:val="22"/>
        </w:rPr>
        <w:t xml:space="preserve">Classification Enforcement: </w:t>
      </w:r>
      <w:r>
        <w:rPr>
          <w:rFonts w:ascii="Arial" w:cs="Arial" w:eastAsia="Arial" w:hAnsi="Arial"/>
          <w:sz w:val="22"/>
          <w:szCs w:val="22"/>
        </w:rPr>
        <w:t xml:space="preserve">Automated data classification scanning at ingestion. Sensitive data detection using pattern matching and ML-based classifiers. Misclassified data quarantined pending review.</w:t>
      </w:r>
    </w:p>
    <w:p>
      <w:pPr>
        <w:pStyle w:val="ListParagraph"/>
        <w:numPr>
          <w:ilvl w:val="0"/>
          <w:numId w:val="3"/>
        </w:numPr>
        <w:spacing w:after="60"/>
      </w:pPr>
      <w:r>
        <w:rPr>
          <w:rFonts w:ascii="Arial" w:cs="Arial" w:eastAsia="Arial" w:hAnsi="Arial"/>
          <w:b/>
          <w:bCs/>
          <w:sz w:val="22"/>
          <w:szCs w:val="22"/>
        </w:rPr>
        <w:t xml:space="preserve">Access Control: </w:t>
      </w:r>
      <w:r>
        <w:rPr>
          <w:rFonts w:ascii="Arial" w:cs="Arial" w:eastAsia="Arial" w:hAnsi="Arial"/>
          <w:sz w:val="22"/>
          <w:szCs w:val="22"/>
        </w:rPr>
        <w:t xml:space="preserve">Attribute-based access control (ABAC) for data assets. Access decisions incorporate data classification, user role, purpose of access, and geographic constraints.</w:t>
      </w:r>
    </w:p>
    <w:p>
      <w:pPr>
        <w:pStyle w:val="ListParagraph"/>
        <w:numPr>
          <w:ilvl w:val="0"/>
          <w:numId w:val="3"/>
        </w:numPr>
        <w:spacing w:after="60"/>
      </w:pPr>
      <w:r>
        <w:rPr>
          <w:rFonts w:ascii="Arial" w:cs="Arial" w:eastAsia="Arial" w:hAnsi="Arial"/>
          <w:b/>
          <w:bCs/>
          <w:sz w:val="22"/>
          <w:szCs w:val="22"/>
        </w:rPr>
        <w:t xml:space="preserve">Retention Management: </w:t>
      </w:r>
      <w:r>
        <w:rPr>
          <w:rFonts w:ascii="Arial" w:cs="Arial" w:eastAsia="Arial" w:hAnsi="Arial"/>
          <w:sz w:val="22"/>
          <w:szCs w:val="22"/>
        </w:rPr>
        <w:t xml:space="preserve">Automated retention policy enforcement. Data approaching retention limits flagged for review. Expired data archived or purged per policy with audit trail.</w:t>
      </w:r>
    </w:p>
    <w:p>
      <w:pPr>
        <w:pStyle w:val="ListParagraph"/>
        <w:numPr>
          <w:ilvl w:val="0"/>
          <w:numId w:val="3"/>
        </w:numPr>
        <w:spacing w:after="60"/>
      </w:pPr>
      <w:r>
        <w:rPr>
          <w:rFonts w:ascii="Arial" w:cs="Arial" w:eastAsia="Arial" w:hAnsi="Arial"/>
          <w:b/>
          <w:bCs/>
          <w:sz w:val="22"/>
          <w:szCs w:val="22"/>
        </w:rPr>
        <w:t xml:space="preserve">Privacy Compliance: </w:t>
      </w:r>
      <w:r>
        <w:rPr>
          <w:rFonts w:ascii="Arial" w:cs="Arial" w:eastAsia="Arial" w:hAnsi="Arial"/>
          <w:sz w:val="22"/>
          <w:szCs w:val="22"/>
        </w:rPr>
        <w:t xml:space="preserve">Automated PII detection and masking in non-production environments. Data subject request (DSR) fulfillment workflows with SLA tracking. Cross-border data transfer controls.</w:t>
      </w:r>
    </w:p>
    <w:p>
      <w:r>
        <w:br w:type="page"/>
      </w:r>
    </w:p>
    <w:p>
      <w:pPr>
        <w:pStyle w:val="Heading2"/>
        <w:spacing w:before="280" w:after="160"/>
      </w:pPr>
      <w:r>
        <w:rPr>
          <w:rFonts w:ascii="Arial" w:cs="Arial" w:eastAsia="Arial" w:hAnsi="Arial"/>
          <w:b/>
          <w:bCs/>
          <w:color w:val="2E75B6"/>
          <w:sz w:val="28"/>
          <w:szCs w:val="28"/>
        </w:rPr>
        <w:t xml:space="preserve">IX.5 — Security Operations Center Integration</w:t>
      </w:r>
    </w:p>
    <w:p>
      <w:pPr>
        <w:spacing w:after="120"/>
      </w:pPr>
      <w:r>
        <w:rPr>
          <w:rFonts w:ascii="Arial" w:cs="Arial" w:eastAsia="Arial" w:hAnsi="Arial"/>
          <w:sz w:val="22"/>
          <w:szCs w:val="22"/>
        </w:rPr>
        <w:t xml:space="preserve">Security operations integrate application-level security monitoring with enterprise Security Operations Center (SOC) capabilities, creating a unified threat detection and response framework that spans infrastructure, application, and data layers.</w:t>
      </w:r>
    </w:p>
    <w:p>
      <w:pPr>
        <w:pStyle w:val="Heading3"/>
        <w:spacing w:before="200" w:after="120"/>
      </w:pPr>
      <w:r>
        <w:rPr>
          <w:rFonts w:ascii="Arial" w:cs="Arial" w:eastAsia="Arial" w:hAnsi="Arial"/>
          <w:b/>
          <w:bCs/>
          <w:color w:val="1B3A5C"/>
          <w:sz w:val="24"/>
          <w:szCs w:val="24"/>
        </w:rPr>
        <w:t xml:space="preserve">Threat Detection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Detection Layer</w:t>
            </w:r>
          </w:p>
        </w:tc>
        <w:tc>
          <w:tcPr>
            <w:tcW w:type="dxa" w:w="3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Data Sources</w:t>
            </w:r>
          </w:p>
        </w:tc>
        <w:tc>
          <w:tcPr>
            <w:tcW w:type="dxa" w:w="3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AI/ML Capabilities</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Network Layer</w:t>
            </w:r>
          </w:p>
        </w:tc>
        <w:tc>
          <w:tcPr>
            <w:tcW w:type="dxa" w:w="3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Flow logs, DNS queries, packet captures, firewall logs</w:t>
            </w:r>
          </w:p>
        </w:tc>
        <w:tc>
          <w:tcPr>
            <w:tcW w:type="dxa" w:w="3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Traffic anomaly detection, DGA identification, lateral movement detection</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Infrastructure Layer</w:t>
            </w:r>
          </w:p>
        </w:tc>
        <w:tc>
          <w:tcPr>
            <w:tcW w:type="dxa" w:w="3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Cloud audit logs, configuration changes, access patterns</w:t>
            </w:r>
          </w:p>
        </w:tc>
        <w:tc>
          <w:tcPr>
            <w:tcW w:type="dxa" w:w="3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Privilege escalation detection, resource abuse identification</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Application Layer</w:t>
            </w:r>
          </w:p>
        </w:tc>
        <w:tc>
          <w:tcPr>
            <w:tcW w:type="dxa" w:w="3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Application logs, API access patterns, authentication events</w:t>
            </w:r>
          </w:p>
        </w:tc>
        <w:tc>
          <w:tcPr>
            <w:tcW w:type="dxa" w:w="3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Behavioral analytics, session anomaly detection, bot identification</w:t>
            </w:r>
          </w:p>
        </w:tc>
      </w:tr>
      <w:tr>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Data Layer</w:t>
            </w:r>
          </w:p>
        </w:tc>
        <w:tc>
          <w:tcPr>
            <w:tcW w:type="dxa" w:w="3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Database audit logs, data access patterns, export activities</w:t>
            </w:r>
          </w:p>
        </w:tc>
        <w:tc>
          <w:tcPr>
            <w:tcW w:type="dxa" w:w="3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Exfiltration detection, access pattern anomaly, privilege abuse</w:t>
            </w:r>
          </w:p>
        </w:tc>
      </w:tr>
      <w:tr>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Identity Layer</w:t>
            </w:r>
          </w:p>
        </w:tc>
        <w:tc>
          <w:tcPr>
            <w:tcW w:type="dxa" w:w="3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Authentication logs, SSO events, MFA challenges, token usage</w:t>
            </w:r>
          </w:p>
        </w:tc>
        <w:tc>
          <w:tcPr>
            <w:tcW w:type="dxa" w:w="3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Credential stuffing detection, impossible travel, session hijacking</w:t>
            </w:r>
          </w:p>
        </w:tc>
      </w:tr>
    </w:tbl>
    <w:p>
      <w:pPr>
        <w:pStyle w:val="Heading3"/>
        <w:spacing w:before="200" w:after="120"/>
      </w:pPr>
      <w:r>
        <w:rPr>
          <w:rFonts w:ascii="Arial" w:cs="Arial" w:eastAsia="Arial" w:hAnsi="Arial"/>
          <w:b/>
          <w:bCs/>
          <w:color w:val="1B3A5C"/>
          <w:sz w:val="24"/>
          <w:szCs w:val="24"/>
        </w:rPr>
        <w:t xml:space="preserve">Automated Response Playbooks</w:t>
      </w:r>
    </w:p>
    <w:p>
      <w:pPr>
        <w:spacing w:after="120"/>
      </w:pPr>
      <w:r>
        <w:rPr>
          <w:rFonts w:ascii="Arial" w:cs="Arial" w:eastAsia="Arial" w:hAnsi="Arial"/>
          <w:sz w:val="22"/>
          <w:szCs w:val="22"/>
        </w:rPr>
        <w:t xml:space="preserve">SOAR (Security Orchestration, Automation, and Response) playbooks automate response actions for classified threat scenarios:</w:t>
      </w:r>
    </w:p>
    <w:p>
      <w:pPr>
        <w:pStyle w:val="ListParagraph"/>
        <w:numPr>
          <w:ilvl w:val="0"/>
          <w:numId w:val="9"/>
        </w:numPr>
        <w:spacing w:after="60"/>
      </w:pPr>
      <w:r>
        <w:rPr>
          <w:rFonts w:ascii="Arial" w:cs="Arial" w:eastAsia="Arial" w:hAnsi="Arial"/>
          <w:b/>
          <w:bCs/>
          <w:sz w:val="22"/>
          <w:szCs w:val="22"/>
        </w:rPr>
        <w:t xml:space="preserve">Credential Compromise: </w:t>
      </w:r>
      <w:r>
        <w:rPr>
          <w:rFonts w:ascii="Arial" w:cs="Arial" w:eastAsia="Arial" w:hAnsi="Arial"/>
          <w:sz w:val="22"/>
          <w:szCs w:val="22"/>
        </w:rPr>
        <w:t xml:space="preserve">Automatic session invalidation, password reset enforcement, MFA re-enrollment, affected service isolation, and forensic evidence preservation.</w:t>
      </w:r>
    </w:p>
    <w:p>
      <w:pPr>
        <w:pStyle w:val="ListParagraph"/>
        <w:numPr>
          <w:ilvl w:val="0"/>
          <w:numId w:val="9"/>
        </w:numPr>
        <w:spacing w:after="60"/>
      </w:pPr>
      <w:r>
        <w:rPr>
          <w:rFonts w:ascii="Arial" w:cs="Arial" w:eastAsia="Arial" w:hAnsi="Arial"/>
          <w:b/>
          <w:bCs/>
          <w:sz w:val="22"/>
          <w:szCs w:val="22"/>
        </w:rPr>
        <w:t xml:space="preserve">Malware Detection: </w:t>
      </w:r>
      <w:r>
        <w:rPr>
          <w:rFonts w:ascii="Arial" w:cs="Arial" w:eastAsia="Arial" w:hAnsi="Arial"/>
          <w:sz w:val="22"/>
          <w:szCs w:val="22"/>
        </w:rPr>
        <w:t xml:space="preserve">Infected endpoint isolation, network quarantine, artifact collection, IOC extraction and distribution, affected user notification.</w:t>
      </w:r>
    </w:p>
    <w:p>
      <w:pPr>
        <w:pStyle w:val="ListParagraph"/>
        <w:numPr>
          <w:ilvl w:val="0"/>
          <w:numId w:val="9"/>
        </w:numPr>
        <w:spacing w:after="60"/>
      </w:pPr>
      <w:r>
        <w:rPr>
          <w:rFonts w:ascii="Arial" w:cs="Arial" w:eastAsia="Arial" w:hAnsi="Arial"/>
          <w:b/>
          <w:bCs/>
          <w:sz w:val="22"/>
          <w:szCs w:val="22"/>
        </w:rPr>
        <w:t xml:space="preserve">Data Exfiltration: </w:t>
      </w:r>
      <w:r>
        <w:rPr>
          <w:rFonts w:ascii="Arial" w:cs="Arial" w:eastAsia="Arial" w:hAnsi="Arial"/>
          <w:sz w:val="22"/>
          <w:szCs w:val="22"/>
        </w:rPr>
        <w:t xml:space="preserve">Egress blocking, account suspension, data flow analysis, impact assessment initiation, legal and compliance notification.</w:t>
      </w:r>
    </w:p>
    <w:p>
      <w:pPr>
        <w:pStyle w:val="ListParagraph"/>
        <w:numPr>
          <w:ilvl w:val="0"/>
          <w:numId w:val="9"/>
        </w:numPr>
        <w:spacing w:after="60"/>
      </w:pPr>
      <w:r>
        <w:rPr>
          <w:rFonts w:ascii="Arial" w:cs="Arial" w:eastAsia="Arial" w:hAnsi="Arial"/>
          <w:b/>
          <w:bCs/>
          <w:sz w:val="22"/>
          <w:szCs w:val="22"/>
        </w:rPr>
        <w:t xml:space="preserve">DDoS Attack: </w:t>
      </w:r>
      <w:r>
        <w:rPr>
          <w:rFonts w:ascii="Arial" w:cs="Arial" w:eastAsia="Arial" w:hAnsi="Arial"/>
          <w:sz w:val="22"/>
          <w:szCs w:val="22"/>
        </w:rPr>
        <w:t xml:space="preserve">Traffic scrubbing activation, CDN failover, origin shielding, rate limiting escalation, ISP coordination.</w:t>
      </w:r>
    </w:p>
    <w:p>
      <w:pPr>
        <w:pStyle w:val="ListParagraph"/>
        <w:numPr>
          <w:ilvl w:val="0"/>
          <w:numId w:val="9"/>
        </w:numPr>
        <w:spacing w:after="60"/>
      </w:pPr>
      <w:r>
        <w:rPr>
          <w:rFonts w:ascii="Arial" w:cs="Arial" w:eastAsia="Arial" w:hAnsi="Arial"/>
          <w:b/>
          <w:bCs/>
          <w:sz w:val="22"/>
          <w:szCs w:val="22"/>
        </w:rPr>
        <w:t xml:space="preserve">Insider Threat: </w:t>
      </w:r>
      <w:r>
        <w:rPr>
          <w:rFonts w:ascii="Arial" w:cs="Arial" w:eastAsia="Arial" w:hAnsi="Arial"/>
          <w:sz w:val="22"/>
          <w:szCs w:val="22"/>
        </w:rPr>
        <w:t xml:space="preserve">Access restriction, activity logging escalation, HR notification, legal preservation hold, behavioral analysis expansion.</w:t>
      </w:r>
    </w:p>
    <w:p>
      <w:pPr>
        <w:pStyle w:val="Heading3"/>
        <w:spacing w:before="200" w:after="120"/>
      </w:pPr>
      <w:r>
        <w:rPr>
          <w:rFonts w:ascii="Arial" w:cs="Arial" w:eastAsia="Arial" w:hAnsi="Arial"/>
          <w:b/>
          <w:bCs/>
          <w:color w:val="1B3A5C"/>
          <w:sz w:val="24"/>
          <w:szCs w:val="24"/>
        </w:rPr>
        <w:t xml:space="preserve">Security Metrics and Reporting</w:t>
      </w:r>
    </w:p>
    <w:p>
      <w:pPr>
        <w:pStyle w:val="ListParagraph"/>
        <w:numPr>
          <w:ilvl w:val="0"/>
          <w:numId w:val="3"/>
        </w:numPr>
        <w:spacing w:after="60"/>
      </w:pPr>
      <w:r>
        <w:rPr>
          <w:rFonts w:ascii="Arial" w:cs="Arial" w:eastAsia="Arial" w:hAnsi="Arial"/>
          <w:b/>
          <w:bCs/>
          <w:sz w:val="22"/>
          <w:szCs w:val="22"/>
        </w:rPr>
        <w:t xml:space="preserve">Mean Time to Detect (MTTD): </w:t>
      </w:r>
      <w:r>
        <w:rPr>
          <w:rFonts w:ascii="Arial" w:cs="Arial" w:eastAsia="Arial" w:hAnsi="Arial"/>
          <w:sz w:val="22"/>
          <w:szCs w:val="22"/>
        </w:rPr>
        <w:t xml:space="preserve">Target &lt; 15 minutes for critical threats, &lt; 1 hour for high-severity threats. AI-augmented detection continuously improves baselines.</w:t>
      </w:r>
    </w:p>
    <w:p>
      <w:pPr>
        <w:pStyle w:val="ListParagraph"/>
        <w:numPr>
          <w:ilvl w:val="0"/>
          <w:numId w:val="3"/>
        </w:numPr>
        <w:spacing w:after="60"/>
      </w:pPr>
      <w:r>
        <w:rPr>
          <w:rFonts w:ascii="Arial" w:cs="Arial" w:eastAsia="Arial" w:hAnsi="Arial"/>
          <w:b/>
          <w:bCs/>
          <w:sz w:val="22"/>
          <w:szCs w:val="22"/>
        </w:rPr>
        <w:t xml:space="preserve">Mean Time to Respond (MTTR): </w:t>
      </w:r>
      <w:r>
        <w:rPr>
          <w:rFonts w:ascii="Arial" w:cs="Arial" w:eastAsia="Arial" w:hAnsi="Arial"/>
          <w:sz w:val="22"/>
          <w:szCs w:val="22"/>
        </w:rPr>
        <w:t xml:space="preserve">Target &lt; 30 minutes for critical incidents with automated containment, &lt; 4 hours for full remediation.</w:t>
      </w:r>
    </w:p>
    <w:p>
      <w:pPr>
        <w:pStyle w:val="ListParagraph"/>
        <w:numPr>
          <w:ilvl w:val="0"/>
          <w:numId w:val="3"/>
        </w:numPr>
        <w:spacing w:after="60"/>
      </w:pPr>
      <w:r>
        <w:rPr>
          <w:rFonts w:ascii="Arial" w:cs="Arial" w:eastAsia="Arial" w:hAnsi="Arial"/>
          <w:b/>
          <w:bCs/>
          <w:sz w:val="22"/>
          <w:szCs w:val="22"/>
        </w:rPr>
        <w:t xml:space="preserve">False Positive Rate: </w:t>
      </w:r>
      <w:r>
        <w:rPr>
          <w:rFonts w:ascii="Arial" w:cs="Arial" w:eastAsia="Arial" w:hAnsi="Arial"/>
          <w:sz w:val="22"/>
          <w:szCs w:val="22"/>
        </w:rPr>
        <w:t xml:space="preserve">Target &lt; 5% for high-confidence alerts. AI models continuously tuned to reduce false positives while maintaining detection sensitivity.</w:t>
      </w:r>
    </w:p>
    <w:p>
      <w:pPr>
        <w:pStyle w:val="ListParagraph"/>
        <w:numPr>
          <w:ilvl w:val="0"/>
          <w:numId w:val="3"/>
        </w:numPr>
        <w:spacing w:after="60"/>
      </w:pPr>
      <w:r>
        <w:rPr>
          <w:rFonts w:ascii="Arial" w:cs="Arial" w:eastAsia="Arial" w:hAnsi="Arial"/>
          <w:b/>
          <w:bCs/>
          <w:sz w:val="22"/>
          <w:szCs w:val="22"/>
        </w:rPr>
        <w:t xml:space="preserve">Coverage Score: </w:t>
      </w:r>
      <w:r>
        <w:rPr>
          <w:rFonts w:ascii="Arial" w:cs="Arial" w:eastAsia="Arial" w:hAnsi="Arial"/>
          <w:sz w:val="22"/>
          <w:szCs w:val="22"/>
        </w:rPr>
        <w:t xml:space="preserve">Percentage of MITRE ATT&amp;CK techniques covered by detection rules. Target &gt; 80% coverage with quarterly gap analysis and rule development.</w:t>
      </w:r>
    </w:p>
    <w:p>
      <w:r>
        <w:br w:type="page"/>
      </w:r>
    </w:p>
    <w:p>
      <w:pPr>
        <w:pStyle w:val="Heading2"/>
        <w:spacing w:before="280" w:after="160"/>
      </w:pPr>
      <w:r>
        <w:rPr>
          <w:rFonts w:ascii="Arial" w:cs="Arial" w:eastAsia="Arial" w:hAnsi="Arial"/>
          <w:b/>
          <w:bCs/>
          <w:color w:val="2E75B6"/>
          <w:sz w:val="28"/>
          <w:szCs w:val="28"/>
        </w:rPr>
        <w:t xml:space="preserve">IX.6 — Reliability Engineering and SRE Practices</w:t>
      </w:r>
    </w:p>
    <w:p>
      <w:pPr>
        <w:spacing w:after="120"/>
      </w:pPr>
      <w:r>
        <w:rPr>
          <w:rFonts w:ascii="Arial" w:cs="Arial" w:eastAsia="Arial" w:hAnsi="Arial"/>
          <w:sz w:val="22"/>
          <w:szCs w:val="22"/>
        </w:rPr>
        <w:t xml:space="preserve">Site Reliability Engineering practices establish the operational discipline for maintaining service reliability at scale. SRE principles balance feature velocity with operational stability through error budgets, service level objectives, and systematic approaches to eliminating toil.</w:t>
      </w:r>
    </w:p>
    <w:p>
      <w:pPr>
        <w:pStyle w:val="Heading3"/>
        <w:spacing w:before="200" w:after="120"/>
      </w:pPr>
      <w:r>
        <w:rPr>
          <w:rFonts w:ascii="Arial" w:cs="Arial" w:eastAsia="Arial" w:hAnsi="Arial"/>
          <w:b/>
          <w:bCs/>
          <w:color w:val="1B3A5C"/>
          <w:sz w:val="24"/>
          <w:szCs w:val="24"/>
        </w:rPr>
        <w:t xml:space="preserve">Service Level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9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Governance</w:t>
            </w:r>
          </w:p>
        </w:tc>
      </w:tr>
      <w:tr>
        <w:tc>
          <w:tcPr>
            <w:tcW w:type="dxa" w:w="2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Service Level Indicators (SLIs)</w:t>
            </w:r>
          </w:p>
        </w:tc>
        <w:tc>
          <w:tcPr>
            <w:tcW w:type="dxa" w:w="3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Quantitative measures of service behavior (latency, availability, throughput, error rate)</w:t>
            </w:r>
          </w:p>
        </w:tc>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Defined per service, measured continuously, reported on dashboards</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Service Level Objectives (SLOs)</w:t>
            </w:r>
          </w:p>
        </w:tc>
        <w:tc>
          <w:tcPr>
            <w:tcW w:type="dxa" w:w="3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Target values for SLIs that represent acceptable service performance</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Negotiated with stakeholders, reviewed quarterly, tied to error budgets</w:t>
            </w:r>
          </w:p>
        </w:tc>
      </w:tr>
      <w:tr>
        <w:tc>
          <w:tcPr>
            <w:tcW w:type="dxa" w:w="2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Error Budgets</w:t>
            </w:r>
          </w:p>
        </w:tc>
        <w:tc>
          <w:tcPr>
            <w:tcW w:type="dxa" w:w="39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Allowed unreliability margin (1 - SLO target) that governs deployment velocity</w:t>
            </w:r>
          </w:p>
        </w:tc>
        <w:tc>
          <w:tcPr>
            <w:tcW w:type="dxa" w:w="2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Consumed by incidents and deployments; exhaustion triggers velocity freeze</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Service Level Agreements (SLAs)</w:t>
            </w:r>
          </w:p>
        </w:tc>
        <w:tc>
          <w:tcPr>
            <w:tcW w:type="dxa" w:w="3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Contractual commitments to external customers with financial consequences</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SLA targets set below SLO targets to provide operational buffer</w:t>
            </w:r>
          </w:p>
        </w:tc>
      </w:tr>
    </w:tbl>
    <w:p>
      <w:pPr>
        <w:pStyle w:val="Heading3"/>
        <w:spacing w:before="200" w:after="120"/>
      </w:pPr>
      <w:r>
        <w:rPr>
          <w:rFonts w:ascii="Arial" w:cs="Arial" w:eastAsia="Arial" w:hAnsi="Arial"/>
          <w:b/>
          <w:bCs/>
          <w:color w:val="1B3A5C"/>
          <w:sz w:val="24"/>
          <w:szCs w:val="24"/>
        </w:rPr>
        <w:t xml:space="preserve">Toil Reduction Framework</w:t>
      </w:r>
    </w:p>
    <w:p>
      <w:pPr>
        <w:spacing w:after="120"/>
      </w:pPr>
      <w:r>
        <w:rPr>
          <w:rFonts w:ascii="Arial" w:cs="Arial" w:eastAsia="Arial" w:hAnsi="Arial"/>
          <w:sz w:val="22"/>
          <w:szCs w:val="22"/>
        </w:rPr>
        <w:t xml:space="preserve">Toil is defined as work that is manual, repetitive, automatable, tactical, devoid of enduring value, and scales linearly with service growth. The SRE organization targets a maximum of 30% toil allocation:</w:t>
      </w:r>
    </w:p>
    <w:p>
      <w:pPr>
        <w:pStyle w:val="ListParagraph"/>
        <w:numPr>
          <w:ilvl w:val="0"/>
          <w:numId w:val="10"/>
        </w:numPr>
        <w:spacing w:after="60"/>
      </w:pPr>
      <w:r>
        <w:rPr>
          <w:rFonts w:ascii="Arial" w:cs="Arial" w:eastAsia="Arial" w:hAnsi="Arial"/>
          <w:b/>
          <w:bCs/>
          <w:sz w:val="22"/>
          <w:szCs w:val="22"/>
        </w:rPr>
        <w:t xml:space="preserve">Identification: </w:t>
      </w:r>
      <w:r>
        <w:rPr>
          <w:rFonts w:ascii="Arial" w:cs="Arial" w:eastAsia="Arial" w:hAnsi="Arial"/>
          <w:sz w:val="22"/>
          <w:szCs w:val="22"/>
        </w:rPr>
        <w:t xml:space="preserve">Toil tracking integrated into time management and incident reporting. AI analysis of operational patterns identifies automation opportunities.</w:t>
      </w:r>
    </w:p>
    <w:p>
      <w:pPr>
        <w:pStyle w:val="ListParagraph"/>
        <w:numPr>
          <w:ilvl w:val="0"/>
          <w:numId w:val="10"/>
        </w:numPr>
        <w:spacing w:after="60"/>
      </w:pPr>
      <w:r>
        <w:rPr>
          <w:rFonts w:ascii="Arial" w:cs="Arial" w:eastAsia="Arial" w:hAnsi="Arial"/>
          <w:b/>
          <w:bCs/>
          <w:sz w:val="22"/>
          <w:szCs w:val="22"/>
        </w:rPr>
        <w:t xml:space="preserve">Prioritization: </w:t>
      </w:r>
      <w:r>
        <w:rPr>
          <w:rFonts w:ascii="Arial" w:cs="Arial" w:eastAsia="Arial" w:hAnsi="Arial"/>
          <w:sz w:val="22"/>
          <w:szCs w:val="22"/>
        </w:rPr>
        <w:t xml:space="preserve">Toil reduction backlog maintained alongside feature backlog. Prioritization based on time savings, reliability impact, and developer satisfaction.</w:t>
      </w:r>
    </w:p>
    <w:p>
      <w:pPr>
        <w:pStyle w:val="ListParagraph"/>
        <w:numPr>
          <w:ilvl w:val="0"/>
          <w:numId w:val="10"/>
        </w:numPr>
        <w:spacing w:after="60"/>
      </w:pPr>
      <w:r>
        <w:rPr>
          <w:rFonts w:ascii="Arial" w:cs="Arial" w:eastAsia="Arial" w:hAnsi="Arial"/>
          <w:b/>
          <w:bCs/>
          <w:sz w:val="22"/>
          <w:szCs w:val="22"/>
        </w:rPr>
        <w:t xml:space="preserve">Automation: </w:t>
      </w:r>
      <w:r>
        <w:rPr>
          <w:rFonts w:ascii="Arial" w:cs="Arial" w:eastAsia="Arial" w:hAnsi="Arial"/>
          <w:sz w:val="22"/>
          <w:szCs w:val="22"/>
        </w:rPr>
        <w:t xml:space="preserve">Automation developed with the same quality standards as production code. Self-service tooling preferred over bespoke automation. Reusable automation shared across teams.</w:t>
      </w:r>
    </w:p>
    <w:p>
      <w:pPr>
        <w:pStyle w:val="ListParagraph"/>
        <w:numPr>
          <w:ilvl w:val="0"/>
          <w:numId w:val="10"/>
        </w:numPr>
        <w:spacing w:after="60"/>
      </w:pPr>
      <w:r>
        <w:rPr>
          <w:rFonts w:ascii="Arial" w:cs="Arial" w:eastAsia="Arial" w:hAnsi="Arial"/>
          <w:b/>
          <w:bCs/>
          <w:sz w:val="22"/>
          <w:szCs w:val="22"/>
        </w:rPr>
        <w:t xml:space="preserve">Measurement: </w:t>
      </w:r>
      <w:r>
        <w:rPr>
          <w:rFonts w:ascii="Arial" w:cs="Arial" w:eastAsia="Arial" w:hAnsi="Arial"/>
          <w:sz w:val="22"/>
          <w:szCs w:val="22"/>
        </w:rPr>
        <w:t xml:space="preserve">Toil percentage tracked monthly per team. Teams exceeding 50% toil trigger intervention from engineering leadership. Automation ROI calculated annually.</w:t>
      </w:r>
    </w:p>
    <w:p>
      <w:pPr>
        <w:pStyle w:val="Heading3"/>
        <w:spacing w:before="200" w:after="120"/>
      </w:pPr>
      <w:r>
        <w:rPr>
          <w:rFonts w:ascii="Arial" w:cs="Arial" w:eastAsia="Arial" w:hAnsi="Arial"/>
          <w:b/>
          <w:bCs/>
          <w:color w:val="1B3A5C"/>
          <w:sz w:val="24"/>
          <w:szCs w:val="24"/>
        </w:rPr>
        <w:t xml:space="preserve">Chaos Engineering Standards</w:t>
      </w:r>
    </w:p>
    <w:p>
      <w:pPr>
        <w:pStyle w:val="ListParagraph"/>
        <w:numPr>
          <w:ilvl w:val="0"/>
          <w:numId w:val="3"/>
        </w:numPr>
        <w:spacing w:after="60"/>
      </w:pPr>
      <w:r>
        <w:rPr>
          <w:rFonts w:ascii="Arial" w:cs="Arial" w:eastAsia="Arial" w:hAnsi="Arial"/>
          <w:b/>
          <w:bCs/>
          <w:sz w:val="22"/>
          <w:szCs w:val="22"/>
        </w:rPr>
        <w:t xml:space="preserve">Experiment Design: </w:t>
      </w:r>
      <w:r>
        <w:rPr>
          <w:rFonts w:ascii="Arial" w:cs="Arial" w:eastAsia="Arial" w:hAnsi="Arial"/>
          <w:sz w:val="22"/>
          <w:szCs w:val="22"/>
        </w:rPr>
        <w:t xml:space="preserve">Hypothesis-driven experiments with measurable success criteria. Blast radius controls limiting impact to defined boundaries. Automated rollback if steady-state deviates beyond threshold.</w:t>
      </w:r>
    </w:p>
    <w:p>
      <w:pPr>
        <w:pStyle w:val="ListParagraph"/>
        <w:numPr>
          <w:ilvl w:val="0"/>
          <w:numId w:val="3"/>
        </w:numPr>
        <w:spacing w:after="60"/>
      </w:pPr>
      <w:r>
        <w:rPr>
          <w:rFonts w:ascii="Arial" w:cs="Arial" w:eastAsia="Arial" w:hAnsi="Arial"/>
          <w:b/>
          <w:bCs/>
          <w:sz w:val="22"/>
          <w:szCs w:val="22"/>
        </w:rPr>
        <w:t xml:space="preserve">Progressive Complexity: </w:t>
      </w:r>
      <w:r>
        <w:rPr>
          <w:rFonts w:ascii="Arial" w:cs="Arial" w:eastAsia="Arial" w:hAnsi="Arial"/>
          <w:sz w:val="22"/>
          <w:szCs w:val="22"/>
        </w:rPr>
        <w:t xml:space="preserve">Experiments progress from known failure modes in non-production through unknown failure modes in production. Teams must demonstrate competency at each level before advancing.</w:t>
      </w:r>
    </w:p>
    <w:p>
      <w:pPr>
        <w:pStyle w:val="ListParagraph"/>
        <w:numPr>
          <w:ilvl w:val="0"/>
          <w:numId w:val="3"/>
        </w:numPr>
        <w:spacing w:after="60"/>
      </w:pPr>
      <w:r>
        <w:rPr>
          <w:rFonts w:ascii="Arial" w:cs="Arial" w:eastAsia="Arial" w:hAnsi="Arial"/>
          <w:b/>
          <w:bCs/>
          <w:sz w:val="22"/>
          <w:szCs w:val="22"/>
        </w:rPr>
        <w:t xml:space="preserve">Game Days: </w:t>
      </w:r>
      <w:r>
        <w:rPr>
          <w:rFonts w:ascii="Arial" w:cs="Arial" w:eastAsia="Arial" w:hAnsi="Arial"/>
          <w:sz w:val="22"/>
          <w:szCs w:val="22"/>
        </w:rPr>
        <w:t xml:space="preserve">Quarterly game days simulate multi-service failures with cross-team response. Findings drive reliability improvements and update operational runbooks.</w:t>
      </w:r>
    </w:p>
    <w:p>
      <w:r>
        <w:br w:type="page"/>
      </w:r>
    </w:p>
    <w:p>
      <w:pPr>
        <w:pStyle w:val="Heading2"/>
        <w:spacing w:before="280" w:after="160"/>
      </w:pPr>
      <w:r>
        <w:rPr>
          <w:rFonts w:ascii="Arial" w:cs="Arial" w:eastAsia="Arial" w:hAnsi="Arial"/>
          <w:b/>
          <w:bCs/>
          <w:color w:val="2E75B6"/>
          <w:sz w:val="28"/>
          <w:szCs w:val="28"/>
        </w:rPr>
        <w:t xml:space="preserve">IX.7 — Observability and Monitoring Architecture</w:t>
      </w:r>
    </w:p>
    <w:p>
      <w:pPr>
        <w:spacing w:after="120"/>
      </w:pPr>
      <w:r>
        <w:rPr>
          <w:rFonts w:ascii="Arial" w:cs="Arial" w:eastAsia="Arial" w:hAnsi="Arial"/>
          <w:sz w:val="22"/>
          <w:szCs w:val="22"/>
        </w:rPr>
        <w:t xml:space="preserve">The observability architecture provides comprehensive visibility into system behavior through correlated metrics, logs, and traces. AI-augmented observability transcends traditional monitoring by enabling predictive analysis, automated root cause identification, and intelligent alerting that reduces alert fatigue while improving detection accuracy.</w:t>
      </w:r>
    </w:p>
    <w:p>
      <w:pPr>
        <w:pStyle w:val="Heading3"/>
        <w:spacing w:before="200" w:after="120"/>
      </w:pPr>
      <w:r>
        <w:rPr>
          <w:rFonts w:ascii="Arial" w:cs="Arial" w:eastAsia="Arial" w:hAnsi="Arial"/>
          <w:b/>
          <w:bCs/>
          <w:color w:val="1B3A5C"/>
          <w:sz w:val="24"/>
          <w:szCs w:val="24"/>
        </w:rPr>
        <w:t xml:space="preserve">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Pillar</w:t>
            </w:r>
          </w:p>
        </w:tc>
        <w:tc>
          <w:tcPr>
            <w:tcW w:type="dxa" w:w="4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Standards</w:t>
            </w:r>
          </w:p>
        </w:tc>
        <w:tc>
          <w:tcPr>
            <w:tcW w:type="dxa" w:w="3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AI Enhancement</w:t>
            </w:r>
          </w:p>
        </w:tc>
      </w:tr>
      <w:tr>
        <w:tc>
          <w:tcPr>
            <w:tcW w:type="dxa" w:w="1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Metrics</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OpenMetrics format, standard naming conventions, cardinality limits, histogram buckets for latency</w:t>
            </w:r>
          </w:p>
        </w:tc>
        <w:tc>
          <w:tcPr>
            <w:tcW w:type="dxa" w:w="3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Anomaly detection, forecasting, correlation analysis across service boundaries</w:t>
            </w:r>
          </w:p>
        </w:tc>
      </w:tr>
      <w:tr>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Logs</w:t>
            </w:r>
          </w:p>
        </w:tc>
        <w:tc>
          <w:tcPr>
            <w:tcW w:type="dxa" w:w="4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Structured JSON logging, correlation IDs, severity levels, sensitive data redaction</w:t>
            </w:r>
          </w:p>
        </w:tc>
        <w:tc>
          <w:tcPr>
            <w:tcW w:type="dxa" w:w="3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Log clustering, pattern extraction, anomalous log sequence detection</w:t>
            </w:r>
          </w:p>
        </w:tc>
      </w:tr>
      <w:tr>
        <w:tc>
          <w:tcPr>
            <w:tcW w:type="dxa" w:w="1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Traces</w:t>
            </w:r>
          </w:p>
        </w:tc>
        <w:tc>
          <w:tcPr>
            <w:tcW w:type="dxa" w:w="43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OpenTelemetry instrumentation, context propagation, span annotations, sampling strategy</w:t>
            </w:r>
          </w:p>
        </w:tc>
        <w:tc>
          <w:tcPr>
            <w:tcW w:type="dxa" w:w="36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Critical path analysis, bottleneck identification, dependency impact prediction</w:t>
            </w:r>
          </w:p>
        </w:tc>
      </w:tr>
    </w:tbl>
    <w:p>
      <w:pPr>
        <w:pStyle w:val="Heading3"/>
        <w:spacing w:before="200" w:after="120"/>
      </w:pPr>
      <w:r>
        <w:rPr>
          <w:rFonts w:ascii="Arial" w:cs="Arial" w:eastAsia="Arial" w:hAnsi="Arial"/>
          <w:b/>
          <w:bCs/>
          <w:color w:val="1B3A5C"/>
          <w:sz w:val="24"/>
          <w:szCs w:val="24"/>
        </w:rPr>
        <w:t xml:space="preserve">Intelligent Alerting Framework</w:t>
      </w:r>
    </w:p>
    <w:p>
      <w:pPr>
        <w:spacing w:after="120"/>
      </w:pPr>
      <w:r>
        <w:rPr>
          <w:rFonts w:ascii="Arial" w:cs="Arial" w:eastAsia="Arial" w:hAnsi="Arial"/>
          <w:sz w:val="22"/>
          <w:szCs w:val="22"/>
        </w:rPr>
        <w:t xml:space="preserve">Alerting standards prevent alert fatigue while ensuring timely detection of genuine issues:</w:t>
      </w:r>
    </w:p>
    <w:p>
      <w:pPr>
        <w:pStyle w:val="ListParagraph"/>
        <w:numPr>
          <w:ilvl w:val="0"/>
          <w:numId w:val="3"/>
        </w:numPr>
        <w:spacing w:after="60"/>
      </w:pPr>
      <w:r>
        <w:rPr>
          <w:rFonts w:ascii="Arial" w:cs="Arial" w:eastAsia="Arial" w:hAnsi="Arial"/>
          <w:b/>
          <w:bCs/>
          <w:sz w:val="22"/>
          <w:szCs w:val="22"/>
        </w:rPr>
        <w:t xml:space="preserve">SLO-Based Alerting: </w:t>
      </w:r>
      <w:r>
        <w:rPr>
          <w:rFonts w:ascii="Arial" w:cs="Arial" w:eastAsia="Arial" w:hAnsi="Arial"/>
          <w:sz w:val="22"/>
          <w:szCs w:val="22"/>
        </w:rPr>
        <w:t xml:space="preserve">Alerts derived from error budget burn rate rather than raw threshold violations. Multi-window burn rate alerts distinguish between sudden spikes and gradual degradation.</w:t>
      </w:r>
    </w:p>
    <w:p>
      <w:pPr>
        <w:pStyle w:val="ListParagraph"/>
        <w:numPr>
          <w:ilvl w:val="0"/>
          <w:numId w:val="3"/>
        </w:numPr>
        <w:spacing w:after="60"/>
      </w:pPr>
      <w:r>
        <w:rPr>
          <w:rFonts w:ascii="Arial" w:cs="Arial" w:eastAsia="Arial" w:hAnsi="Arial"/>
          <w:b/>
          <w:bCs/>
          <w:sz w:val="22"/>
          <w:szCs w:val="22"/>
        </w:rPr>
        <w:t xml:space="preserve">Alert Correlation: </w:t>
      </w:r>
      <w:r>
        <w:rPr>
          <w:rFonts w:ascii="Arial" w:cs="Arial" w:eastAsia="Arial" w:hAnsi="Arial"/>
          <w:sz w:val="22"/>
          <w:szCs w:val="22"/>
        </w:rPr>
        <w:t xml:space="preserve">AI-driven correlation engine groups related alerts into incidents. Suppresses downstream alerts when upstream root cause is identified. Reduces alert volume by 60-80%.</w:t>
      </w:r>
    </w:p>
    <w:p>
      <w:pPr>
        <w:pStyle w:val="ListParagraph"/>
        <w:numPr>
          <w:ilvl w:val="0"/>
          <w:numId w:val="3"/>
        </w:numPr>
        <w:spacing w:after="60"/>
      </w:pPr>
      <w:r>
        <w:rPr>
          <w:rFonts w:ascii="Arial" w:cs="Arial" w:eastAsia="Arial" w:hAnsi="Arial"/>
          <w:b/>
          <w:bCs/>
          <w:sz w:val="22"/>
          <w:szCs w:val="22"/>
        </w:rPr>
        <w:t xml:space="preserve">Severity Classification: </w:t>
      </w:r>
      <w:r>
        <w:rPr>
          <w:rFonts w:ascii="Arial" w:cs="Arial" w:eastAsia="Arial" w:hAnsi="Arial"/>
          <w:sz w:val="22"/>
          <w:szCs w:val="22"/>
        </w:rPr>
        <w:t xml:space="preserve">Four-level severity (Critical, High, Medium, Low) with distinct notification channels and response expectations. Severity auto-adjusted based on business context and time of day.</w:t>
      </w:r>
    </w:p>
    <w:p>
      <w:pPr>
        <w:pStyle w:val="ListParagraph"/>
        <w:numPr>
          <w:ilvl w:val="0"/>
          <w:numId w:val="3"/>
        </w:numPr>
        <w:spacing w:after="60"/>
      </w:pPr>
      <w:r>
        <w:rPr>
          <w:rFonts w:ascii="Arial" w:cs="Arial" w:eastAsia="Arial" w:hAnsi="Arial"/>
          <w:b/>
          <w:bCs/>
          <w:sz w:val="22"/>
          <w:szCs w:val="22"/>
        </w:rPr>
        <w:t xml:space="preserve">Alert Quality Metrics: </w:t>
      </w:r>
      <w:r>
        <w:rPr>
          <w:rFonts w:ascii="Arial" w:cs="Arial" w:eastAsia="Arial" w:hAnsi="Arial"/>
          <w:sz w:val="22"/>
          <w:szCs w:val="22"/>
        </w:rPr>
        <w:t xml:space="preserve">Signal-to-noise ratio tracked per alert rule. Low-quality alerts (&gt; 50% false positive rate) automatically flagged for review and tuning.</w:t>
      </w:r>
    </w:p>
    <w:p>
      <w:pPr>
        <w:pStyle w:val="Heading3"/>
        <w:spacing w:before="200" w:after="120"/>
      </w:pPr>
      <w:r>
        <w:rPr>
          <w:rFonts w:ascii="Arial" w:cs="Arial" w:eastAsia="Arial" w:hAnsi="Arial"/>
          <w:b/>
          <w:bCs/>
          <w:color w:val="1B3A5C"/>
          <w:sz w:val="24"/>
          <w:szCs w:val="24"/>
        </w:rPr>
        <w:t xml:space="preserve">Observability Cost Optimization</w:t>
      </w:r>
    </w:p>
    <w:p>
      <w:pPr>
        <w:pStyle w:val="ListParagraph"/>
        <w:numPr>
          <w:ilvl w:val="0"/>
          <w:numId w:val="3"/>
        </w:numPr>
        <w:spacing w:after="60"/>
      </w:pPr>
      <w:r>
        <w:rPr>
          <w:rFonts w:ascii="Arial" w:cs="Arial" w:eastAsia="Arial" w:hAnsi="Arial"/>
          <w:b/>
          <w:bCs/>
          <w:sz w:val="22"/>
          <w:szCs w:val="22"/>
        </w:rPr>
        <w:t xml:space="preserve">Tiered Retention: </w:t>
      </w:r>
      <w:r>
        <w:rPr>
          <w:rFonts w:ascii="Arial" w:cs="Arial" w:eastAsia="Arial" w:hAnsi="Arial"/>
          <w:sz w:val="22"/>
          <w:szCs w:val="22"/>
        </w:rPr>
        <w:t xml:space="preserve">Hot storage (30 days) for full-resolution data. Warm storage (90 days) for downsampled metrics and indexed logs. Cold storage (1+ years) for compliance and audit data.</w:t>
      </w:r>
    </w:p>
    <w:p>
      <w:pPr>
        <w:pStyle w:val="ListParagraph"/>
        <w:numPr>
          <w:ilvl w:val="0"/>
          <w:numId w:val="3"/>
        </w:numPr>
        <w:spacing w:after="60"/>
      </w:pPr>
      <w:r>
        <w:rPr>
          <w:rFonts w:ascii="Arial" w:cs="Arial" w:eastAsia="Arial" w:hAnsi="Arial"/>
          <w:b/>
          <w:bCs/>
          <w:sz w:val="22"/>
          <w:szCs w:val="22"/>
        </w:rPr>
        <w:t xml:space="preserve">Intelligent Sampling: </w:t>
      </w:r>
      <w:r>
        <w:rPr>
          <w:rFonts w:ascii="Arial" w:cs="Arial" w:eastAsia="Arial" w:hAnsi="Arial"/>
          <w:sz w:val="22"/>
          <w:szCs w:val="22"/>
        </w:rPr>
        <w:t xml:space="preserve">Head-based and tail-based sampling strategies for traces. Error and latency-outlier traces always captured. Normal traces sampled at rates that balance visibility with cost.</w:t>
      </w:r>
    </w:p>
    <w:p>
      <w:pPr>
        <w:pStyle w:val="ListParagraph"/>
        <w:numPr>
          <w:ilvl w:val="0"/>
          <w:numId w:val="3"/>
        </w:numPr>
        <w:spacing w:after="60"/>
      </w:pPr>
      <w:r>
        <w:rPr>
          <w:rFonts w:ascii="Arial" w:cs="Arial" w:eastAsia="Arial" w:hAnsi="Arial"/>
          <w:b/>
          <w:bCs/>
          <w:sz w:val="22"/>
          <w:szCs w:val="22"/>
        </w:rPr>
        <w:t xml:space="preserve">Metric Cardinality Management: </w:t>
      </w:r>
      <w:r>
        <w:rPr>
          <w:rFonts w:ascii="Arial" w:cs="Arial" w:eastAsia="Arial" w:hAnsi="Arial"/>
          <w:sz w:val="22"/>
          <w:szCs w:val="22"/>
        </w:rPr>
        <w:t xml:space="preserve">Automated cardinality analysis identifying high-cardinality labels. Teams alerted when metric cardinality exceeds budgets. Unused metrics automatically archived.</w:t>
      </w:r>
    </w:p>
    <w:p>
      <w:r>
        <w:br w:type="page"/>
      </w:r>
    </w:p>
    <w:p>
      <w:pPr>
        <w:pStyle w:val="Heading2"/>
        <w:spacing w:before="280" w:after="160"/>
      </w:pPr>
      <w:r>
        <w:rPr>
          <w:rFonts w:ascii="Arial" w:cs="Arial" w:eastAsia="Arial" w:hAnsi="Arial"/>
          <w:b/>
          <w:bCs/>
          <w:color w:val="2E75B6"/>
          <w:sz w:val="28"/>
          <w:szCs w:val="28"/>
        </w:rPr>
        <w:t xml:space="preserve">IX.8 — Incident Management and Response</w:t>
      </w:r>
    </w:p>
    <w:p>
      <w:pPr>
        <w:spacing w:after="120"/>
      </w:pPr>
      <w:r>
        <w:rPr>
          <w:rFonts w:ascii="Arial" w:cs="Arial" w:eastAsia="Arial" w:hAnsi="Arial"/>
          <w:sz w:val="22"/>
          <w:szCs w:val="22"/>
        </w:rPr>
        <w:t xml:space="preserve">Incident management establishes standardized processes for detecting, triaging, responding to, resolving, and learning from service disruptions. The framework integrates AI-assisted triage and automation while maintaining clear human accountability for decision-making during critical incidents.</w:t>
      </w:r>
    </w:p>
    <w:p>
      <w:pPr>
        <w:pStyle w:val="Heading3"/>
        <w:spacing w:before="200" w:after="120"/>
      </w:pPr>
      <w:r>
        <w:rPr>
          <w:rFonts w:ascii="Arial" w:cs="Arial" w:eastAsia="Arial" w:hAnsi="Arial"/>
          <w:b/>
          <w:bCs/>
          <w:color w:val="1B3A5C"/>
          <w:sz w:val="24"/>
          <w:szCs w:val="24"/>
        </w:rPr>
        <w:t xml:space="preserve">Incident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60"/>
        <w:gridCol w:w="2700"/>
        <w:gridCol w:w="2000"/>
      </w:tblGrid>
      <w:tr>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8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 Criteria</w:t>
            </w:r>
          </w:p>
        </w:tc>
        <w:tc>
          <w:tcPr>
            <w:tcW w:type="dxa" w:w="27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Response SLA</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Communication Cadence</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SEV-1 (Critical)</w:t>
            </w:r>
          </w:p>
        </w:tc>
        <w:tc>
          <w:tcPr>
            <w:tcW w:type="dxa" w:w="28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Complete service outage or data breach affecting multiple customers</w:t>
            </w:r>
          </w:p>
        </w:tc>
        <w:tc>
          <w:tcPr>
            <w:tcW w:type="dxa" w:w="2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15-minute initial response, continuous staffing until resolved</w:t>
            </w:r>
          </w:p>
        </w:tc>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Every 30 minutes to all stakeholders</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SEV-2 (High)</w:t>
            </w:r>
          </w:p>
        </w:tc>
        <w:tc>
          <w:tcPr>
            <w:tcW w:type="dxa" w:w="28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Major feature degradation or partial outage affecting significant user population</w:t>
            </w:r>
          </w:p>
        </w:tc>
        <w:tc>
          <w:tcPr>
            <w:tcW w:type="dxa" w:w="2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30-minute initial response, dedicated responders</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Hourly to affected stakeholders</w:t>
            </w:r>
          </w:p>
        </w:tc>
      </w:tr>
      <w:tr>
        <w:tc>
          <w:tcPr>
            <w:tcW w:type="dxa" w:w="18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SEV-3 (Medium)</w:t>
            </w:r>
          </w:p>
        </w:tc>
        <w:tc>
          <w:tcPr>
            <w:tcW w:type="dxa" w:w="28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Minor feature degradation or performance issues with limited user impact</w:t>
            </w:r>
          </w:p>
        </w:tc>
        <w:tc>
          <w:tcPr>
            <w:tcW w:type="dxa" w:w="2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2-hour initial response during business hours</w:t>
            </w:r>
          </w:p>
        </w:tc>
        <w:tc>
          <w:tcPr>
            <w:tcW w:type="dxa" w:w="20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Daily status updates</w:t>
            </w:r>
          </w:p>
        </w:tc>
      </w:tr>
      <w:tr>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SEV-4 (Low)</w:t>
            </w:r>
          </w:p>
        </w:tc>
        <w:tc>
          <w:tcPr>
            <w:tcW w:type="dxa" w:w="28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Cosmetic issues, non-critical bugs, or planned degradation</w:t>
            </w:r>
          </w:p>
        </w:tc>
        <w:tc>
          <w:tcPr>
            <w:tcW w:type="dxa" w:w="2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Next business day acknowledgment</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Resolution notification only</w:t>
            </w:r>
          </w:p>
        </w:tc>
      </w:tr>
    </w:tbl>
    <w:p>
      <w:pPr>
        <w:pStyle w:val="Heading3"/>
        <w:spacing w:before="200" w:after="120"/>
      </w:pPr>
      <w:r>
        <w:rPr>
          <w:rFonts w:ascii="Arial" w:cs="Arial" w:eastAsia="Arial" w:hAnsi="Arial"/>
          <w:b/>
          <w:bCs/>
          <w:color w:val="1B3A5C"/>
          <w:sz w:val="24"/>
          <w:szCs w:val="24"/>
        </w:rPr>
        <w:t xml:space="preserve">Incident Response Workflow</w:t>
      </w:r>
    </w:p>
    <w:p>
      <w:pPr>
        <w:pStyle w:val="ListParagraph"/>
        <w:numPr>
          <w:ilvl w:val="0"/>
          <w:numId w:val="11"/>
        </w:numPr>
        <w:spacing w:after="60"/>
      </w:pPr>
      <w:r>
        <w:rPr>
          <w:rFonts w:ascii="Arial" w:cs="Arial" w:eastAsia="Arial" w:hAnsi="Arial"/>
          <w:b/>
          <w:bCs/>
          <w:sz w:val="22"/>
          <w:szCs w:val="22"/>
        </w:rPr>
        <w:t xml:space="preserve">Detection and Triage: </w:t>
      </w:r>
      <w:r>
        <w:rPr>
          <w:rFonts w:ascii="Arial" w:cs="Arial" w:eastAsia="Arial" w:hAnsi="Arial"/>
          <w:sz w:val="22"/>
          <w:szCs w:val="22"/>
        </w:rPr>
        <w:t xml:space="preserve">AI-assisted triage analyzes alert context, historical patterns, and system topology to recommend severity classification and identify likely affected services. Initial responder confirms or adjusts AI recommendation.</w:t>
      </w:r>
    </w:p>
    <w:p>
      <w:pPr>
        <w:pStyle w:val="ListParagraph"/>
        <w:numPr>
          <w:ilvl w:val="0"/>
          <w:numId w:val="11"/>
        </w:numPr>
        <w:spacing w:after="60"/>
      </w:pPr>
      <w:r>
        <w:rPr>
          <w:rFonts w:ascii="Arial" w:cs="Arial" w:eastAsia="Arial" w:hAnsi="Arial"/>
          <w:b/>
          <w:bCs/>
          <w:sz w:val="22"/>
          <w:szCs w:val="22"/>
        </w:rPr>
        <w:t xml:space="preserve">Mobilization: </w:t>
      </w:r>
      <w:r>
        <w:rPr>
          <w:rFonts w:ascii="Arial" w:cs="Arial" w:eastAsia="Arial" w:hAnsi="Arial"/>
          <w:sz w:val="22"/>
          <w:szCs w:val="22"/>
        </w:rPr>
        <w:t xml:space="preserve">Automated on-call paging based on service ownership and severity. War room creation with pre-configured communication channels. Stakeholder notification initiated per communication matrix.</w:t>
      </w:r>
    </w:p>
    <w:p>
      <w:pPr>
        <w:pStyle w:val="ListParagraph"/>
        <w:numPr>
          <w:ilvl w:val="0"/>
          <w:numId w:val="11"/>
        </w:numPr>
        <w:spacing w:after="60"/>
      </w:pPr>
      <w:r>
        <w:rPr>
          <w:rFonts w:ascii="Arial" w:cs="Arial" w:eastAsia="Arial" w:hAnsi="Arial"/>
          <w:b/>
          <w:bCs/>
          <w:sz w:val="22"/>
          <w:szCs w:val="22"/>
        </w:rPr>
        <w:t xml:space="preserve">Investigation: </w:t>
      </w:r>
      <w:r>
        <w:rPr>
          <w:rFonts w:ascii="Arial" w:cs="Arial" w:eastAsia="Arial" w:hAnsi="Arial"/>
          <w:sz w:val="22"/>
          <w:szCs w:val="22"/>
        </w:rPr>
        <w:t xml:space="preserve">AI-assisted root cause analysis correlates metrics, logs, and traces across affected services. Automated timeline reconstruction. Hypothesis generation from historical incident patterns.</w:t>
      </w:r>
    </w:p>
    <w:p>
      <w:pPr>
        <w:pStyle w:val="ListParagraph"/>
        <w:numPr>
          <w:ilvl w:val="0"/>
          <w:numId w:val="11"/>
        </w:numPr>
        <w:spacing w:after="60"/>
      </w:pPr>
      <w:r>
        <w:rPr>
          <w:rFonts w:ascii="Arial" w:cs="Arial" w:eastAsia="Arial" w:hAnsi="Arial"/>
          <w:b/>
          <w:bCs/>
          <w:sz w:val="22"/>
          <w:szCs w:val="22"/>
        </w:rPr>
        <w:t xml:space="preserve">Mitigation: </w:t>
      </w:r>
      <w:r>
        <w:rPr>
          <w:rFonts w:ascii="Arial" w:cs="Arial" w:eastAsia="Arial" w:hAnsi="Arial"/>
          <w:sz w:val="22"/>
          <w:szCs w:val="22"/>
        </w:rPr>
        <w:t xml:space="preserve">Immediate actions to restore service (rollback, failover, traffic shedding, circuit breaking). Mitigation actions documented in real-time incident log.</w:t>
      </w:r>
    </w:p>
    <w:p>
      <w:pPr>
        <w:pStyle w:val="ListParagraph"/>
        <w:numPr>
          <w:ilvl w:val="0"/>
          <w:numId w:val="11"/>
        </w:numPr>
        <w:spacing w:after="60"/>
      </w:pPr>
      <w:r>
        <w:rPr>
          <w:rFonts w:ascii="Arial" w:cs="Arial" w:eastAsia="Arial" w:hAnsi="Arial"/>
          <w:b/>
          <w:bCs/>
          <w:sz w:val="22"/>
          <w:szCs w:val="22"/>
        </w:rPr>
        <w:t xml:space="preserve">Resolution: </w:t>
      </w:r>
      <w:r>
        <w:rPr>
          <w:rFonts w:ascii="Arial" w:cs="Arial" w:eastAsia="Arial" w:hAnsi="Arial"/>
          <w:sz w:val="22"/>
          <w:szCs w:val="22"/>
        </w:rPr>
        <w:t xml:space="preserve">Root cause fix deployed through standard or expedited deployment pipeline. Verification testing confirms resolution. Monitoring enhanced for recurrence detection.</w:t>
      </w:r>
    </w:p>
    <w:p>
      <w:pPr>
        <w:pStyle w:val="ListParagraph"/>
        <w:numPr>
          <w:ilvl w:val="0"/>
          <w:numId w:val="11"/>
        </w:numPr>
        <w:spacing w:after="60"/>
      </w:pPr>
      <w:r>
        <w:rPr>
          <w:rFonts w:ascii="Arial" w:cs="Arial" w:eastAsia="Arial" w:hAnsi="Arial"/>
          <w:b/>
          <w:bCs/>
          <w:sz w:val="22"/>
          <w:szCs w:val="22"/>
        </w:rPr>
        <w:t xml:space="preserve">Post-Incident Review: </w:t>
      </w:r>
      <w:r>
        <w:rPr>
          <w:rFonts w:ascii="Arial" w:cs="Arial" w:eastAsia="Arial" w:hAnsi="Arial"/>
          <w:sz w:val="22"/>
          <w:szCs w:val="22"/>
        </w:rPr>
        <w:t xml:space="preserve">Blameless post-incident review conducted within 72 hours of resolution. Action items tracked to completion. Learnings shared across engineering organization.</w:t>
      </w:r>
    </w:p>
    <w:p>
      <w:pPr>
        <w:pStyle w:val="Heading3"/>
        <w:spacing w:before="200" w:after="120"/>
      </w:pPr>
      <w:r>
        <w:rPr>
          <w:rFonts w:ascii="Arial" w:cs="Arial" w:eastAsia="Arial" w:hAnsi="Arial"/>
          <w:b/>
          <w:bCs/>
          <w:color w:val="1B3A5C"/>
          <w:sz w:val="24"/>
          <w:szCs w:val="24"/>
        </w:rPr>
        <w:t xml:space="preserve">Post-Incident Review Standards</w:t>
      </w:r>
    </w:p>
    <w:p>
      <w:pPr>
        <w:pStyle w:val="ListParagraph"/>
        <w:numPr>
          <w:ilvl w:val="0"/>
          <w:numId w:val="3"/>
        </w:numPr>
        <w:spacing w:after="60"/>
      </w:pPr>
      <w:r>
        <w:rPr>
          <w:rFonts w:ascii="Arial" w:cs="Arial" w:eastAsia="Arial" w:hAnsi="Arial"/>
          <w:b/>
          <w:bCs/>
          <w:sz w:val="22"/>
          <w:szCs w:val="22"/>
        </w:rPr>
        <w:t xml:space="preserve">Blameless Culture: </w:t>
      </w:r>
      <w:r>
        <w:rPr>
          <w:rFonts w:ascii="Arial" w:cs="Arial" w:eastAsia="Arial" w:hAnsi="Arial"/>
          <w:sz w:val="22"/>
          <w:szCs w:val="22"/>
        </w:rPr>
        <w:t xml:space="preserve">Focus on systemic causes rather than individual fault. Investigation seeks to understand what systems and processes allowed the incident to occur and persist.</w:t>
      </w:r>
    </w:p>
    <w:p>
      <w:pPr>
        <w:pStyle w:val="ListParagraph"/>
        <w:numPr>
          <w:ilvl w:val="0"/>
          <w:numId w:val="3"/>
        </w:numPr>
        <w:spacing w:after="60"/>
      </w:pPr>
      <w:r>
        <w:rPr>
          <w:rFonts w:ascii="Arial" w:cs="Arial" w:eastAsia="Arial" w:hAnsi="Arial"/>
          <w:b/>
          <w:bCs/>
          <w:sz w:val="22"/>
          <w:szCs w:val="22"/>
        </w:rPr>
        <w:t xml:space="preserve">Action Item Quality: </w:t>
      </w:r>
      <w:r>
        <w:rPr>
          <w:rFonts w:ascii="Arial" w:cs="Arial" w:eastAsia="Arial" w:hAnsi="Arial"/>
          <w:sz w:val="22"/>
          <w:szCs w:val="22"/>
        </w:rPr>
        <w:t xml:space="preserve">Each action item must be specific, measurable, assigned, and time-bound. Systemic improvements prioritized over point fixes. Action items tracked in engineering backlog with dedicated capacity allocation.</w:t>
      </w:r>
    </w:p>
    <w:p>
      <w:pPr>
        <w:pStyle w:val="ListParagraph"/>
        <w:numPr>
          <w:ilvl w:val="0"/>
          <w:numId w:val="3"/>
        </w:numPr>
        <w:spacing w:after="60"/>
      </w:pPr>
      <w:r>
        <w:rPr>
          <w:rFonts w:ascii="Arial" w:cs="Arial" w:eastAsia="Arial" w:hAnsi="Arial"/>
          <w:b/>
          <w:bCs/>
          <w:sz w:val="22"/>
          <w:szCs w:val="22"/>
        </w:rPr>
        <w:t xml:space="preserve">Pattern Analysis: </w:t>
      </w:r>
      <w:r>
        <w:rPr>
          <w:rFonts w:ascii="Arial" w:cs="Arial" w:eastAsia="Arial" w:hAnsi="Arial"/>
          <w:sz w:val="22"/>
          <w:szCs w:val="22"/>
        </w:rPr>
        <w:t xml:space="preserve">AI-driven analysis of incident history identifies recurring patterns, common contributing factors, and systemic weaknesses. Quarterly trend reports inform reliability investment priorities.</w:t>
      </w:r>
    </w:p>
    <w:p>
      <w:r>
        <w:br w:type="page"/>
      </w:r>
    </w:p>
    <w:p>
      <w:pPr>
        <w:pStyle w:val="Heading2"/>
        <w:spacing w:before="280" w:after="160"/>
      </w:pPr>
      <w:r>
        <w:rPr>
          <w:rFonts w:ascii="Arial" w:cs="Arial" w:eastAsia="Arial" w:hAnsi="Arial"/>
          <w:b/>
          <w:bCs/>
          <w:color w:val="2E75B6"/>
          <w:sz w:val="28"/>
          <w:szCs w:val="28"/>
        </w:rPr>
        <w:t xml:space="preserve">IX.9 — Change Management and Release Governance</w:t>
      </w:r>
    </w:p>
    <w:p>
      <w:pPr>
        <w:spacing w:after="120"/>
      </w:pPr>
      <w:r>
        <w:rPr>
          <w:rFonts w:ascii="Arial" w:cs="Arial" w:eastAsia="Arial" w:hAnsi="Arial"/>
          <w:sz w:val="22"/>
          <w:szCs w:val="22"/>
        </w:rPr>
        <w:t xml:space="preserve">Change management governance balances the need for rapid delivery with operational stability, ensuring that all changes to production systems are assessed for risk, properly authorized, and validated post-implementation. AI-augmented risk assessment enables intelligent automation of change approval for low-risk changes while maintaining rigorous oversight for complex or high-impact modifications.</w:t>
      </w:r>
    </w:p>
    <w:p>
      <w:pPr>
        <w:pStyle w:val="Heading3"/>
        <w:spacing w:before="200" w:after="120"/>
      </w:pPr>
      <w:r>
        <w:rPr>
          <w:rFonts w:ascii="Arial" w:cs="Arial" w:eastAsia="Arial" w:hAnsi="Arial"/>
          <w:b/>
          <w:bCs/>
          <w:color w:val="1B3A5C"/>
          <w:sz w:val="24"/>
          <w:szCs w:val="24"/>
        </w:rPr>
        <w:t xml:space="preserve">Change Classification and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400"/>
        <w:gridCol w:w="220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 Assessment</w:t>
            </w:r>
          </w:p>
        </w:tc>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Approval Authority</w:t>
            </w:r>
          </w:p>
        </w:tc>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Implementation Window</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Standard (Pre-Approved)</w:t>
            </w:r>
          </w:p>
        </w:tc>
        <w:tc>
          <w:tcPr>
            <w:tcW w:type="dxa" w:w="2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AI risk score &lt; 20, matches approved pattern, no infrastructure changes</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Automated approval</w:t>
            </w:r>
          </w:p>
        </w:tc>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Anytime during business hours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Normal (Low Risk)</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AI risk score 20-50, limited blast radius, proven rollback</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Team lead + automated validation</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Scheduled maintenance window</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Normal (Medium Risk)</w:t>
            </w:r>
          </w:p>
        </w:tc>
        <w:tc>
          <w:tcPr>
            <w:tcW w:type="dxa" w:w="2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AI risk score 50-75, cross-service impact, database changes</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Change Advisory Board (CAB)</w:t>
            </w:r>
          </w:p>
        </w:tc>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Scheduled with enhanced monitoring</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Major (High Risk)</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AI risk score &gt; 75, infrastructure changes, security modifications</w:t>
            </w:r>
          </w:p>
        </w:tc>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CAB + VP Engineering approval</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Dedicated change window with full staffing</w:t>
            </w:r>
          </w:p>
        </w:tc>
      </w:tr>
      <w:tr>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Emergency</w:t>
            </w:r>
          </w:p>
        </w:tc>
        <w:tc>
          <w:tcPr>
            <w:tcW w:type="dxa" w:w="2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Production incident requiring immediate fix</w:t>
            </w:r>
          </w:p>
        </w:tc>
        <w:tc>
          <w:tcPr>
            <w:tcW w:type="dxa" w:w="24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Incident Commander + senior engineer</w:t>
            </w:r>
          </w:p>
        </w:tc>
        <w:tc>
          <w:tcPr>
            <w:tcW w:type="dxa" w:w="22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Immediate with retrospective CAB review</w:t>
            </w:r>
          </w:p>
        </w:tc>
      </w:tr>
    </w:tbl>
    <w:p>
      <w:pPr>
        <w:pStyle w:val="Heading3"/>
        <w:spacing w:before="200" w:after="120"/>
      </w:pPr>
      <w:r>
        <w:rPr>
          <w:rFonts w:ascii="Arial" w:cs="Arial" w:eastAsia="Arial" w:hAnsi="Arial"/>
          <w:b/>
          <w:bCs/>
          <w:color w:val="1B3A5C"/>
          <w:sz w:val="24"/>
          <w:szCs w:val="24"/>
        </w:rPr>
        <w:t xml:space="preserve">AI-Driven Change Risk Scoring</w:t>
      </w:r>
    </w:p>
    <w:p>
      <w:pPr>
        <w:spacing w:after="120"/>
      </w:pPr>
      <w:r>
        <w:rPr>
          <w:rFonts w:ascii="Arial" w:cs="Arial" w:eastAsia="Arial" w:hAnsi="Arial"/>
          <w:sz w:val="22"/>
          <w:szCs w:val="22"/>
        </w:rPr>
        <w:t xml:space="preserve">The change risk scoring model evaluates multiple factors to produce a composite risk score guiding the approval workflow:</w:t>
      </w:r>
    </w:p>
    <w:p>
      <w:pPr>
        <w:pStyle w:val="ListParagraph"/>
        <w:numPr>
          <w:ilvl w:val="0"/>
          <w:numId w:val="3"/>
        </w:numPr>
        <w:spacing w:after="60"/>
      </w:pPr>
      <w:r>
        <w:rPr>
          <w:rFonts w:ascii="Arial" w:cs="Arial" w:eastAsia="Arial" w:hAnsi="Arial"/>
          <w:b/>
          <w:bCs/>
          <w:sz w:val="22"/>
          <w:szCs w:val="22"/>
        </w:rPr>
        <w:t xml:space="preserve">Code Change Analysis: </w:t>
      </w:r>
      <w:r>
        <w:rPr>
          <w:rFonts w:ascii="Arial" w:cs="Arial" w:eastAsia="Arial" w:hAnsi="Arial"/>
          <w:sz w:val="22"/>
          <w:szCs w:val="22"/>
        </w:rPr>
        <w:t xml:space="preserve">Complexity of code changes, number of files modified, test coverage of changed code, historical defect density of modified modules.</w:t>
      </w:r>
    </w:p>
    <w:p>
      <w:pPr>
        <w:pStyle w:val="ListParagraph"/>
        <w:numPr>
          <w:ilvl w:val="0"/>
          <w:numId w:val="3"/>
        </w:numPr>
        <w:spacing w:after="60"/>
      </w:pPr>
      <w:r>
        <w:rPr>
          <w:rFonts w:ascii="Arial" w:cs="Arial" w:eastAsia="Arial" w:hAnsi="Arial"/>
          <w:b/>
          <w:bCs/>
          <w:sz w:val="22"/>
          <w:szCs w:val="22"/>
        </w:rPr>
        <w:t xml:space="preserve">Dependency Impact: </w:t>
      </w:r>
      <w:r>
        <w:rPr>
          <w:rFonts w:ascii="Arial" w:cs="Arial" w:eastAsia="Arial" w:hAnsi="Arial"/>
          <w:sz w:val="22"/>
          <w:szCs w:val="22"/>
        </w:rPr>
        <w:t xml:space="preserve">Number and criticality of downstream consumers, API contract changes, database schema modifications, configuration changes.</w:t>
      </w:r>
    </w:p>
    <w:p>
      <w:pPr>
        <w:pStyle w:val="ListParagraph"/>
        <w:numPr>
          <w:ilvl w:val="0"/>
          <w:numId w:val="3"/>
        </w:numPr>
        <w:spacing w:after="60"/>
      </w:pPr>
      <w:r>
        <w:rPr>
          <w:rFonts w:ascii="Arial" w:cs="Arial" w:eastAsia="Arial" w:hAnsi="Arial"/>
          <w:b/>
          <w:bCs/>
          <w:sz w:val="22"/>
          <w:szCs w:val="22"/>
        </w:rPr>
        <w:t xml:space="preserve">Deployment Context: </w:t>
      </w:r>
      <w:r>
        <w:rPr>
          <w:rFonts w:ascii="Arial" w:cs="Arial" w:eastAsia="Arial" w:hAnsi="Arial"/>
          <w:sz w:val="22"/>
          <w:szCs w:val="22"/>
        </w:rPr>
        <w:t xml:space="preserve">Time of deployment, concurrent changes in related services, proximity to business-critical periods, current error budget status.</w:t>
      </w:r>
    </w:p>
    <w:p>
      <w:pPr>
        <w:pStyle w:val="ListParagraph"/>
        <w:numPr>
          <w:ilvl w:val="0"/>
          <w:numId w:val="3"/>
        </w:numPr>
        <w:spacing w:after="60"/>
      </w:pPr>
      <w:r>
        <w:rPr>
          <w:rFonts w:ascii="Arial" w:cs="Arial" w:eastAsia="Arial" w:hAnsi="Arial"/>
          <w:b/>
          <w:bCs/>
          <w:sz w:val="22"/>
          <w:szCs w:val="22"/>
        </w:rPr>
        <w:t xml:space="preserve">Historical Patterns: </w:t>
      </w:r>
      <w:r>
        <w:rPr>
          <w:rFonts w:ascii="Arial" w:cs="Arial" w:eastAsia="Arial" w:hAnsi="Arial"/>
          <w:sz w:val="22"/>
          <w:szCs w:val="22"/>
        </w:rPr>
        <w:t xml:space="preserve">Past deployment success rate for similar changes, team deployment frequency, recent incident history, change contributor experience.</w:t>
      </w:r>
    </w:p>
    <w:p>
      <w:pPr>
        <w:pStyle w:val="ListParagraph"/>
        <w:numPr>
          <w:ilvl w:val="0"/>
          <w:numId w:val="3"/>
        </w:numPr>
        <w:spacing w:after="60"/>
      </w:pPr>
      <w:r>
        <w:rPr>
          <w:rFonts w:ascii="Arial" w:cs="Arial" w:eastAsia="Arial" w:hAnsi="Arial"/>
          <w:b/>
          <w:bCs/>
          <w:sz w:val="22"/>
          <w:szCs w:val="22"/>
        </w:rPr>
        <w:t xml:space="preserve">Rollback Complexity: </w:t>
      </w:r>
      <w:r>
        <w:rPr>
          <w:rFonts w:ascii="Arial" w:cs="Arial" w:eastAsia="Arial" w:hAnsi="Arial"/>
          <w:sz w:val="22"/>
          <w:szCs w:val="22"/>
        </w:rPr>
        <w:t xml:space="preserve">Availability of automated rollback, data migration reversibility, downstream state implications, estimated rollback duration.</w:t>
      </w:r>
    </w:p>
    <w:p>
      <w:pPr>
        <w:pStyle w:val="Heading3"/>
        <w:spacing w:before="200" w:after="120"/>
      </w:pPr>
      <w:r>
        <w:rPr>
          <w:rFonts w:ascii="Arial" w:cs="Arial" w:eastAsia="Arial" w:hAnsi="Arial"/>
          <w:b/>
          <w:bCs/>
          <w:color w:val="1B3A5C"/>
          <w:sz w:val="24"/>
          <w:szCs w:val="24"/>
        </w:rPr>
        <w:t xml:space="preserve">Release Train Governance</w:t>
      </w:r>
    </w:p>
    <w:p>
      <w:pPr>
        <w:spacing w:after="120"/>
      </w:pPr>
      <w:r>
        <w:rPr>
          <w:rFonts w:ascii="Arial" w:cs="Arial" w:eastAsia="Arial" w:hAnsi="Arial"/>
          <w:sz w:val="22"/>
          <w:szCs w:val="22"/>
        </w:rPr>
        <w:t xml:space="preserve">For organizations operating at scale, release trains coordinate cross-team deliveries:</w:t>
      </w:r>
    </w:p>
    <w:p>
      <w:pPr>
        <w:pStyle w:val="ListParagraph"/>
        <w:numPr>
          <w:ilvl w:val="0"/>
          <w:numId w:val="3"/>
        </w:numPr>
        <w:spacing w:after="60"/>
      </w:pPr>
      <w:r>
        <w:rPr>
          <w:rFonts w:ascii="Arial" w:cs="Arial" w:eastAsia="Arial" w:hAnsi="Arial"/>
          <w:b/>
          <w:bCs/>
          <w:sz w:val="22"/>
          <w:szCs w:val="22"/>
        </w:rPr>
        <w:t xml:space="preserve">Release Cadence: </w:t>
      </w:r>
      <w:r>
        <w:rPr>
          <w:rFonts w:ascii="Arial" w:cs="Arial" w:eastAsia="Arial" w:hAnsi="Arial"/>
          <w:sz w:val="22"/>
          <w:szCs w:val="22"/>
        </w:rPr>
        <w:t xml:space="preserve">Fixed release cadence (weekly, bi-weekly, or monthly) per product line. Off-cadence releases permitted with additional risk assessment and approval.</w:t>
      </w:r>
    </w:p>
    <w:p>
      <w:pPr>
        <w:pStyle w:val="ListParagraph"/>
        <w:numPr>
          <w:ilvl w:val="0"/>
          <w:numId w:val="3"/>
        </w:numPr>
        <w:spacing w:after="60"/>
      </w:pPr>
      <w:r>
        <w:rPr>
          <w:rFonts w:ascii="Arial" w:cs="Arial" w:eastAsia="Arial" w:hAnsi="Arial"/>
          <w:b/>
          <w:bCs/>
          <w:sz w:val="22"/>
          <w:szCs w:val="22"/>
        </w:rPr>
        <w:t xml:space="preserve">Release Readiness: </w:t>
      </w:r>
      <w:r>
        <w:rPr>
          <w:rFonts w:ascii="Arial" w:cs="Arial" w:eastAsia="Arial" w:hAnsi="Arial"/>
          <w:sz w:val="22"/>
          <w:szCs w:val="22"/>
        </w:rPr>
        <w:t xml:space="preserve">Automated release readiness checklist validates test completion, documentation updates, operational runbook currency, and monitoring configuration.</w:t>
      </w:r>
    </w:p>
    <w:p>
      <w:pPr>
        <w:pStyle w:val="ListParagraph"/>
        <w:numPr>
          <w:ilvl w:val="0"/>
          <w:numId w:val="3"/>
        </w:numPr>
        <w:spacing w:after="60"/>
      </w:pPr>
      <w:r>
        <w:rPr>
          <w:rFonts w:ascii="Arial" w:cs="Arial" w:eastAsia="Arial" w:hAnsi="Arial"/>
          <w:b/>
          <w:bCs/>
          <w:sz w:val="22"/>
          <w:szCs w:val="22"/>
        </w:rPr>
        <w:t xml:space="preserve">Release Notes: </w:t>
      </w:r>
      <w:r>
        <w:rPr>
          <w:rFonts w:ascii="Arial" w:cs="Arial" w:eastAsia="Arial" w:hAnsi="Arial"/>
          <w:sz w:val="22"/>
          <w:szCs w:val="22"/>
        </w:rPr>
        <w:t xml:space="preserve">Automated release note generation from commit messages and ticket metadata. Consumer-facing changelog maintained for API products.</w:t>
      </w:r>
    </w:p>
    <w:p>
      <w:r>
        <w:br w:type="page"/>
      </w:r>
    </w:p>
    <w:p>
      <w:pPr>
        <w:pStyle w:val="Heading2"/>
        <w:spacing w:before="280" w:after="160"/>
      </w:pPr>
      <w:r>
        <w:rPr>
          <w:rFonts w:ascii="Arial" w:cs="Arial" w:eastAsia="Arial" w:hAnsi="Arial"/>
          <w:b/>
          <w:bCs/>
          <w:color w:val="2E75B6"/>
          <w:sz w:val="28"/>
          <w:szCs w:val="28"/>
        </w:rPr>
        <w:t xml:space="preserve">IX.10 — Operational Maturity Model</w:t>
      </w:r>
    </w:p>
    <w:p>
      <w:pPr>
        <w:spacing w:after="120"/>
      </w:pPr>
      <w:r>
        <w:rPr>
          <w:rFonts w:ascii="Arial" w:cs="Arial" w:eastAsia="Arial" w:hAnsi="Arial"/>
          <w:sz w:val="22"/>
          <w:szCs w:val="22"/>
        </w:rPr>
        <w:t xml:space="preserve">The Operational Maturity Model provides a structured framework for assessing current operational capabilities and planning improvement investments across all operational domains. The model defines five maturity levels with specific criteria for each operational domain, enabling organizations to benchmark their current state and chart a progressive improvement path.</w:t>
      </w:r>
    </w:p>
    <w:p>
      <w:pPr>
        <w:pStyle w:val="Heading3"/>
        <w:spacing w:before="200" w:after="120"/>
      </w:pPr>
      <w:r>
        <w:rPr>
          <w:rFonts w:ascii="Arial" w:cs="Arial" w:eastAsia="Arial" w:hAnsi="Arial"/>
          <w:b/>
          <w:bCs/>
          <w:color w:val="1B3A5C"/>
          <w:sz w:val="24"/>
          <w:szCs w:val="24"/>
        </w:rPr>
        <w:t xml:space="preserve">Maturity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260"/>
        <w:gridCol w:w="3100"/>
      </w:tblGrid>
      <w:tr>
        <w:tc>
          <w:tcPr>
            <w:tcW w:type="dxa" w:w="7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13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42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Characteristics</w:t>
            </w:r>
          </w:p>
        </w:tc>
        <w:tc>
          <w:tcPr>
            <w:tcW w:type="dxa" w:w="31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AI Integration</w:t>
            </w:r>
          </w:p>
        </w:tc>
      </w:tr>
      <w:tr>
        <w:tc>
          <w:tcPr>
            <w:tcW w:type="dxa" w:w="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13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Reactive</w:t>
            </w:r>
          </w:p>
        </w:tc>
        <w:tc>
          <w:tcPr>
            <w:tcW w:type="dxa" w:w="42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Manual processes, tribal knowledge, hero-dependent operations, inconsistent practices</w:t>
            </w:r>
          </w:p>
        </w:tc>
        <w:tc>
          <w:tcPr>
            <w:tcW w:type="dxa" w:w="31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None — no AI/ML in operational workflows</w:t>
            </w:r>
          </w:p>
        </w:tc>
      </w:tr>
      <w:tr>
        <w:tc>
          <w:tcPr>
            <w:tcW w:type="dxa" w:w="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Managed</w:t>
            </w:r>
          </w:p>
        </w:tc>
        <w:tc>
          <w:tcPr>
            <w:tcW w:type="dxa" w:w="42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Documented procedures, basic monitoring, defined incident processes, some automation</w:t>
            </w:r>
          </w:p>
        </w:tc>
        <w:tc>
          <w:tcPr>
            <w:tcW w:type="dxa" w:w="31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Basic — threshold-based alerting with simple anomaly detection</w:t>
            </w:r>
          </w:p>
        </w:tc>
      </w:tr>
      <w:tr>
        <w:tc>
          <w:tcPr>
            <w:tcW w:type="dxa" w:w="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3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Defined</w:t>
            </w:r>
          </w:p>
        </w:tc>
        <w:tc>
          <w:tcPr>
            <w:tcW w:type="dxa" w:w="42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Standardized processes, comprehensive monitoring, IaC adoption, automated deployments</w:t>
            </w:r>
          </w:p>
        </w:tc>
        <w:tc>
          <w:tcPr>
            <w:tcW w:type="dxa" w:w="31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Moderate — AI-assisted triage, predictive scaling, automated remediation for known issues</w:t>
            </w:r>
          </w:p>
        </w:tc>
      </w:tr>
      <w:tr>
        <w:tc>
          <w:tcPr>
            <w:tcW w:type="dxa" w:w="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Measured</w:t>
            </w:r>
          </w:p>
        </w:tc>
        <w:tc>
          <w:tcPr>
            <w:tcW w:type="dxa" w:w="42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Data-driven decisions, SLO management, chaos engineering, proactive capacity planning</w:t>
            </w:r>
          </w:p>
        </w:tc>
        <w:tc>
          <w:tcPr>
            <w:tcW w:type="dxa" w:w="31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tcPr>
          <w:p>
            <w:r>
              <w:rPr>
                <w:rFonts w:ascii="Arial" w:cs="Arial" w:eastAsia="Arial" w:hAnsi="Arial"/>
                <w:sz w:val="20"/>
                <w:szCs w:val="20"/>
              </w:rPr>
              <w:t xml:space="preserve">Advanced — AI-driven root cause analysis, self-healing, intelligent change risk scoring</w:t>
            </w:r>
          </w:p>
        </w:tc>
      </w:tr>
      <w:tr>
        <w:tc>
          <w:tcPr>
            <w:tcW w:type="dxa" w:w="7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13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Optimizing</w:t>
            </w:r>
          </w:p>
        </w:tc>
        <w:tc>
          <w:tcPr>
            <w:tcW w:type="dxa" w:w="42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Continuous improvement, autonomous operations, predictive reliability, minimal toil</w:t>
            </w:r>
          </w:p>
        </w:tc>
        <w:tc>
          <w:tcPr>
            <w:tcW w:type="dxa" w:w="310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tcPr>
          <w:p>
            <w:r>
              <w:rPr>
                <w:rFonts w:ascii="Arial" w:cs="Arial" w:eastAsia="Arial" w:hAnsi="Arial"/>
                <w:sz w:val="20"/>
                <w:szCs w:val="20"/>
              </w:rPr>
              <w:t xml:space="preserve">Autonomous — AI-orchestrated operations with human oversight for policy decisions only</w:t>
            </w:r>
          </w:p>
        </w:tc>
      </w:tr>
    </w:tbl>
    <w:p>
      <w:pPr>
        <w:pStyle w:val="Heading3"/>
        <w:spacing w:before="200" w:after="120"/>
      </w:pPr>
      <w:r>
        <w:rPr>
          <w:rFonts w:ascii="Arial" w:cs="Arial" w:eastAsia="Arial" w:hAnsi="Arial"/>
          <w:b/>
          <w:bCs/>
          <w:color w:val="1B3A5C"/>
          <w:sz w:val="24"/>
          <w:szCs w:val="24"/>
        </w:rPr>
        <w:t xml:space="preserve">Domain-Specific Maturity Assessment</w:t>
      </w:r>
    </w:p>
    <w:p>
      <w:pPr>
        <w:spacing w:after="120"/>
      </w:pPr>
      <w:r>
        <w:rPr>
          <w:rFonts w:ascii="Arial" w:cs="Arial" w:eastAsia="Arial" w:hAnsi="Arial"/>
          <w:sz w:val="22"/>
          <w:szCs w:val="22"/>
        </w:rPr>
        <w:t xml:space="preserve">Each operational domain is assessed independently across eight dimensions:</w:t>
      </w:r>
    </w:p>
    <w:p>
      <w:pPr>
        <w:pStyle w:val="ListParagraph"/>
        <w:numPr>
          <w:ilvl w:val="0"/>
          <w:numId w:val="12"/>
        </w:numPr>
        <w:spacing w:after="60"/>
      </w:pPr>
      <w:r>
        <w:rPr>
          <w:rFonts w:ascii="Arial" w:cs="Arial" w:eastAsia="Arial" w:hAnsi="Arial"/>
          <w:b/>
          <w:bCs/>
          <w:sz w:val="22"/>
          <w:szCs w:val="22"/>
        </w:rPr>
        <w:t xml:space="preserve">Process Maturity: </w:t>
      </w:r>
      <w:r>
        <w:rPr>
          <w:rFonts w:ascii="Arial" w:cs="Arial" w:eastAsia="Arial" w:hAnsi="Arial"/>
          <w:sz w:val="22"/>
          <w:szCs w:val="22"/>
        </w:rPr>
        <w:t xml:space="preserve">Degree to which operational processes are documented, standardized, measured, and continuously improved.</w:t>
      </w:r>
    </w:p>
    <w:p>
      <w:pPr>
        <w:pStyle w:val="ListParagraph"/>
        <w:numPr>
          <w:ilvl w:val="0"/>
          <w:numId w:val="12"/>
        </w:numPr>
        <w:spacing w:after="60"/>
      </w:pPr>
      <w:r>
        <w:rPr>
          <w:rFonts w:ascii="Arial" w:cs="Arial" w:eastAsia="Arial" w:hAnsi="Arial"/>
          <w:b/>
          <w:bCs/>
          <w:sz w:val="22"/>
          <w:szCs w:val="22"/>
        </w:rPr>
        <w:t xml:space="preserve">Automation Coverage: </w:t>
      </w:r>
      <w:r>
        <w:rPr>
          <w:rFonts w:ascii="Arial" w:cs="Arial" w:eastAsia="Arial" w:hAnsi="Arial"/>
          <w:sz w:val="22"/>
          <w:szCs w:val="22"/>
        </w:rPr>
        <w:t xml:space="preserve">Percentage of operational tasks automated versus manual, weighted by frequency and impact.</w:t>
      </w:r>
    </w:p>
    <w:p>
      <w:pPr>
        <w:pStyle w:val="ListParagraph"/>
        <w:numPr>
          <w:ilvl w:val="0"/>
          <w:numId w:val="12"/>
        </w:numPr>
        <w:spacing w:after="60"/>
      </w:pPr>
      <w:r>
        <w:rPr>
          <w:rFonts w:ascii="Arial" w:cs="Arial" w:eastAsia="Arial" w:hAnsi="Arial"/>
          <w:b/>
          <w:bCs/>
          <w:sz w:val="22"/>
          <w:szCs w:val="22"/>
        </w:rPr>
        <w:t xml:space="preserve">Tooling Integration: </w:t>
      </w:r>
      <w:r>
        <w:rPr>
          <w:rFonts w:ascii="Arial" w:cs="Arial" w:eastAsia="Arial" w:hAnsi="Arial"/>
          <w:sz w:val="22"/>
          <w:szCs w:val="22"/>
        </w:rPr>
        <w:t xml:space="preserve">Degree of toolchain integration enabling end-to-end workflows without manual handoffs.</w:t>
      </w:r>
    </w:p>
    <w:p>
      <w:pPr>
        <w:pStyle w:val="ListParagraph"/>
        <w:numPr>
          <w:ilvl w:val="0"/>
          <w:numId w:val="12"/>
        </w:numPr>
        <w:spacing w:after="60"/>
      </w:pPr>
      <w:r>
        <w:rPr>
          <w:rFonts w:ascii="Arial" w:cs="Arial" w:eastAsia="Arial" w:hAnsi="Arial"/>
          <w:b/>
          <w:bCs/>
          <w:sz w:val="22"/>
          <w:szCs w:val="22"/>
        </w:rPr>
        <w:t xml:space="preserve">AI/ML Adoption: </w:t>
      </w:r>
      <w:r>
        <w:rPr>
          <w:rFonts w:ascii="Arial" w:cs="Arial" w:eastAsia="Arial" w:hAnsi="Arial"/>
          <w:sz w:val="22"/>
          <w:szCs w:val="22"/>
        </w:rPr>
        <w:t xml:space="preserve">Extent to which AI and ML capabilities are integrated into operational decision-making and execution.</w:t>
      </w:r>
    </w:p>
    <w:p>
      <w:pPr>
        <w:pStyle w:val="ListParagraph"/>
        <w:numPr>
          <w:ilvl w:val="0"/>
          <w:numId w:val="12"/>
        </w:numPr>
        <w:spacing w:after="60"/>
      </w:pPr>
      <w:r>
        <w:rPr>
          <w:rFonts w:ascii="Arial" w:cs="Arial" w:eastAsia="Arial" w:hAnsi="Arial"/>
          <w:b/>
          <w:bCs/>
          <w:sz w:val="22"/>
          <w:szCs w:val="22"/>
        </w:rPr>
        <w:t xml:space="preserve">Knowledge Management: </w:t>
      </w:r>
      <w:r>
        <w:rPr>
          <w:rFonts w:ascii="Arial" w:cs="Arial" w:eastAsia="Arial" w:hAnsi="Arial"/>
          <w:sz w:val="22"/>
          <w:szCs w:val="22"/>
        </w:rPr>
        <w:t xml:space="preserve">Quality and accessibility of operational knowledge including runbooks, architecture docs, and institutional memory.</w:t>
      </w:r>
    </w:p>
    <w:p>
      <w:pPr>
        <w:pStyle w:val="ListParagraph"/>
        <w:numPr>
          <w:ilvl w:val="0"/>
          <w:numId w:val="12"/>
        </w:numPr>
        <w:spacing w:after="60"/>
      </w:pPr>
      <w:r>
        <w:rPr>
          <w:rFonts w:ascii="Arial" w:cs="Arial" w:eastAsia="Arial" w:hAnsi="Arial"/>
          <w:b/>
          <w:bCs/>
          <w:sz w:val="22"/>
          <w:szCs w:val="22"/>
        </w:rPr>
        <w:t xml:space="preserve">Talent and Skills: </w:t>
      </w:r>
      <w:r>
        <w:rPr>
          <w:rFonts w:ascii="Arial" w:cs="Arial" w:eastAsia="Arial" w:hAnsi="Arial"/>
          <w:sz w:val="22"/>
          <w:szCs w:val="22"/>
        </w:rPr>
        <w:t xml:space="preserve">Team capabilities, training investment, and skill development aligned with operational domain requirements.</w:t>
      </w:r>
    </w:p>
    <w:p>
      <w:pPr>
        <w:pStyle w:val="ListParagraph"/>
        <w:numPr>
          <w:ilvl w:val="0"/>
          <w:numId w:val="12"/>
        </w:numPr>
        <w:spacing w:after="60"/>
      </w:pPr>
      <w:r>
        <w:rPr>
          <w:rFonts w:ascii="Arial" w:cs="Arial" w:eastAsia="Arial" w:hAnsi="Arial"/>
          <w:b/>
          <w:bCs/>
          <w:sz w:val="22"/>
          <w:szCs w:val="22"/>
        </w:rPr>
        <w:t xml:space="preserve">Governance and Compliance: </w:t>
      </w:r>
      <w:r>
        <w:rPr>
          <w:rFonts w:ascii="Arial" w:cs="Arial" w:eastAsia="Arial" w:hAnsi="Arial"/>
          <w:sz w:val="22"/>
          <w:szCs w:val="22"/>
        </w:rPr>
        <w:t xml:space="preserve">Strength of operational governance including change management, access controls, and audit readiness.</w:t>
      </w:r>
    </w:p>
    <w:p>
      <w:pPr>
        <w:pStyle w:val="ListParagraph"/>
        <w:numPr>
          <w:ilvl w:val="0"/>
          <w:numId w:val="12"/>
        </w:numPr>
        <w:spacing w:after="60"/>
      </w:pPr>
      <w:r>
        <w:rPr>
          <w:rFonts w:ascii="Arial" w:cs="Arial" w:eastAsia="Arial" w:hAnsi="Arial"/>
          <w:b/>
          <w:bCs/>
          <w:sz w:val="22"/>
          <w:szCs w:val="22"/>
        </w:rPr>
        <w:t xml:space="preserve">Continuous Improvement: </w:t>
      </w:r>
      <w:r>
        <w:rPr>
          <w:rFonts w:ascii="Arial" w:cs="Arial" w:eastAsia="Arial" w:hAnsi="Arial"/>
          <w:sz w:val="22"/>
          <w:szCs w:val="22"/>
        </w:rPr>
        <w:t xml:space="preserve">Systematic approach to learning from incidents, identifying improvement opportunities, and implementing enhancements.</w:t>
      </w:r>
    </w:p>
    <w:p>
      <w:pPr>
        <w:pStyle w:val="Heading3"/>
        <w:spacing w:before="200" w:after="120"/>
      </w:pPr>
      <w:r>
        <w:rPr>
          <w:rFonts w:ascii="Arial" w:cs="Arial" w:eastAsia="Arial" w:hAnsi="Arial"/>
          <w:b/>
          <w:bCs/>
          <w:color w:val="1B3A5C"/>
          <w:sz w:val="24"/>
          <w:szCs w:val="24"/>
        </w:rPr>
        <w:t xml:space="preserve">Maturity Advancement Framework</w:t>
      </w:r>
    </w:p>
    <w:p>
      <w:pPr>
        <w:spacing w:after="120"/>
      </w:pPr>
      <w:r>
        <w:rPr>
          <w:rFonts w:ascii="Arial" w:cs="Arial" w:eastAsia="Arial" w:hAnsi="Arial"/>
          <w:sz w:val="22"/>
          <w:szCs w:val="22"/>
        </w:rPr>
        <w:t xml:space="preserve">Organizations advance through maturity levels by meeting criteria across all assessment dimensions within a domain. Investment priorities are guided by:</w:t>
      </w:r>
    </w:p>
    <w:p>
      <w:pPr>
        <w:pStyle w:val="ListParagraph"/>
        <w:numPr>
          <w:ilvl w:val="0"/>
          <w:numId w:val="3"/>
        </w:numPr>
        <w:spacing w:after="60"/>
      </w:pPr>
      <w:r>
        <w:rPr>
          <w:rFonts w:ascii="Arial" w:cs="Arial" w:eastAsia="Arial" w:hAnsi="Arial"/>
          <w:b/>
          <w:bCs/>
          <w:sz w:val="22"/>
          <w:szCs w:val="22"/>
        </w:rPr>
        <w:t xml:space="preserve">Business Impact Analysis: </w:t>
      </w:r>
      <w:r>
        <w:rPr>
          <w:rFonts w:ascii="Arial" w:cs="Arial" w:eastAsia="Arial" w:hAnsi="Arial"/>
          <w:sz w:val="22"/>
          <w:szCs w:val="22"/>
        </w:rPr>
        <w:t xml:space="preserve">Domains supporting highest-revenue or most-regulated services receive priority investment in maturity advancement.</w:t>
      </w:r>
    </w:p>
    <w:p>
      <w:pPr>
        <w:pStyle w:val="ListParagraph"/>
        <w:numPr>
          <w:ilvl w:val="0"/>
          <w:numId w:val="3"/>
        </w:numPr>
        <w:spacing w:after="60"/>
      </w:pPr>
      <w:r>
        <w:rPr>
          <w:rFonts w:ascii="Arial" w:cs="Arial" w:eastAsia="Arial" w:hAnsi="Arial"/>
          <w:b/>
          <w:bCs/>
          <w:sz w:val="22"/>
          <w:szCs w:val="22"/>
        </w:rPr>
        <w:t xml:space="preserve">Dependency Mapping: </w:t>
      </w:r>
      <w:r>
        <w:rPr>
          <w:rFonts w:ascii="Arial" w:cs="Arial" w:eastAsia="Arial" w:hAnsi="Arial"/>
          <w:sz w:val="22"/>
          <w:szCs w:val="22"/>
        </w:rPr>
        <w:t xml:space="preserve">Maturity advancement sequenced to address foundational dependencies first (e.g., observability maturity enables reliability engineering advancement).</w:t>
      </w:r>
    </w:p>
    <w:p>
      <w:pPr>
        <w:pStyle w:val="ListParagraph"/>
        <w:numPr>
          <w:ilvl w:val="0"/>
          <w:numId w:val="3"/>
        </w:numPr>
        <w:spacing w:after="60"/>
      </w:pPr>
      <w:r>
        <w:rPr>
          <w:rFonts w:ascii="Arial" w:cs="Arial" w:eastAsia="Arial" w:hAnsi="Arial"/>
          <w:b/>
          <w:bCs/>
          <w:sz w:val="22"/>
          <w:szCs w:val="22"/>
        </w:rPr>
        <w:t xml:space="preserve">ROI Modeling: </w:t>
      </w:r>
      <w:r>
        <w:rPr>
          <w:rFonts w:ascii="Arial" w:cs="Arial" w:eastAsia="Arial" w:hAnsi="Arial"/>
          <w:sz w:val="22"/>
          <w:szCs w:val="22"/>
        </w:rPr>
        <w:t xml:space="preserve">Expected return on investment calculated for each maturity level advancement, incorporating reduced incident frequency, faster recovery, decreased toil, and improved developer productivity.</w:t>
      </w:r>
    </w:p>
    <w:p>
      <w:pPr>
        <w:pStyle w:val="ListParagraph"/>
        <w:numPr>
          <w:ilvl w:val="0"/>
          <w:numId w:val="3"/>
        </w:numPr>
        <w:spacing w:after="60"/>
      </w:pPr>
      <w:r>
        <w:rPr>
          <w:rFonts w:ascii="Arial" w:cs="Arial" w:eastAsia="Arial" w:hAnsi="Arial"/>
          <w:b/>
          <w:bCs/>
          <w:sz w:val="22"/>
          <w:szCs w:val="22"/>
        </w:rPr>
        <w:t xml:space="preserve">Quarterly Reviews: </w:t>
      </w:r>
      <w:r>
        <w:rPr>
          <w:rFonts w:ascii="Arial" w:cs="Arial" w:eastAsia="Arial" w:hAnsi="Arial"/>
          <w:sz w:val="22"/>
          <w:szCs w:val="22"/>
        </w:rPr>
        <w:t xml:space="preserve">Maturity assessments conducted quarterly with results reported to engineering leadership. Gap analysis drives investment decisions and team development plans.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2E75B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2E75B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i/>
        <w:iCs/>
        <w:color w:val="2E75B6"/>
        <w:sz w:val="16"/>
        <w:szCs w:val="16"/>
      </w:rPr>
      <w:t xml:space="preserve">Enterprise Software Governance — Intake to Retirement Lifecycle Playbook</w:t>
    </w:r>
    <w:r>
      <w:rPr>
        <w:rFonts w:ascii="Arial" w:cs="Arial" w:eastAsia="Arial" w:hAnsi="Arial"/>
        <w:i/>
        <w:iCs/>
        <w:color w:val="2E75B6"/>
        <w:sz w:val="16"/>
        <w:szCs w:val="16"/>
      </w:rPr>
      <w:t xml:space="preserve">	Section 6: Development Standards &amp; Operational Domains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2026-03-03T00:01:28.602Z</dcterms:created>
  <dcterms:modified xsi:type="dcterms:W3CDTF">2026-03-03T00:01:28.603Z</dcterms:modified>
</cp:coreProperties>
</file>

<file path=docProps/custom.xml><?xml version="1.0" encoding="utf-8"?>
<Properties xmlns="http://schemas.openxmlformats.org/officeDocument/2006/custom-properties" xmlns:vt="http://schemas.openxmlformats.org/officeDocument/2006/docPropsVTypes"/>
</file>