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000"/>
      </w:pPr>
    </w:p>
    <w:p>
      <w:pPr>
        <w:spacing w:after="200"/>
        <w:jc w:val="center"/>
      </w:pPr>
      <w:r>
        <w:rPr>
          <w:rFonts w:ascii="Arial" w:cs="Arial" w:eastAsia="Arial" w:hAnsi="Arial"/>
          <w:b/>
          <w:bCs/>
          <w:color w:val="1F3864"/>
          <w:sz w:val="44"/>
          <w:szCs w:val="44"/>
        </w:rPr>
        <w:t xml:space="preserve">ENTERPRISE SOFTWARE GOVERNANCE PLAYBOOK</w:t>
      </w:r>
    </w:p>
    <w:p>
      <w:pPr>
        <w:spacing w:after="120"/>
        <w:jc w:val="center"/>
      </w:pPr>
      <w:r>
        <w:rPr>
          <w:rFonts w:ascii="Arial" w:cs="Arial" w:eastAsia="Arial" w:hAnsi="Arial"/>
          <w:color w:val="2E75B6"/>
          <w:sz w:val="36"/>
          <w:szCs w:val="36"/>
        </w:rPr>
        <w:t xml:space="preserve">Intake-to-Retirement Lifecycle</w:t>
      </w:r>
    </w:p>
    <w:p>
      <w:pPr>
        <w:pBdr>
          <w:bottom w:val="single" w:color="2E75B6" w:sz="8" w:space="1"/>
        </w:pBdr>
        <w:spacing w:after="600"/>
        <w:jc w:val="center"/>
      </w:pPr>
      <w:r>
        <w:rPr>
          <w:rFonts w:ascii="Arial" w:cs="Arial" w:eastAsia="Arial" w:hAnsi="Arial"/>
          <w:b/>
          <w:bCs/>
          <w:color w:val="1F3864"/>
          <w:sz w:val="30"/>
          <w:szCs w:val="30"/>
        </w:rPr>
        <w:t xml:space="preserve">Section 7: Acceleration, Measurement, and Operating Model</w:t>
      </w:r>
    </w:p>
    <w:p>
      <w:pPr>
        <w:spacing w:after="120"/>
        <w:jc w:val="center"/>
      </w:pPr>
      <w:r>
        <w:rPr>
          <w:rFonts w:ascii="Arial" w:cs="Arial" w:eastAsia="Arial" w:hAnsi="Arial"/>
          <w:color w:val="2E75B6"/>
          <w:sz w:val="28"/>
          <w:szCs w:val="28"/>
        </w:rPr>
        <w:t xml:space="preserve">Parts X - XI</w:t>
      </w:r>
    </w:p>
    <w:p>
      <w:pPr>
        <w:spacing w:after="120"/>
        <w:jc w:val="center"/>
      </w:pPr>
      <w:r>
        <w:rPr>
          <w:rFonts w:ascii="Arial" w:cs="Arial" w:eastAsia="Arial" w:hAnsi="Arial"/>
          <w:color w:val="666666"/>
          <w:sz w:val="22"/>
          <w:szCs w:val="22"/>
        </w:rPr>
        <w:t xml:space="preserve">Version 4.0  |  March 2026  |  Confidential</w:t>
      </w:r>
    </w:p>
    <w:p>
      <w:r>
        <w:br w:type="page"/>
      </w:r>
    </w:p>
    <w:p>
      <w:pPr>
        <w:spacing w:after="400" w:before="600"/>
        <w:jc w:val="center"/>
      </w:pPr>
      <w:r>
        <w:rPr>
          <w:rFonts w:ascii="Arial" w:cs="Arial" w:eastAsia="Arial" w:hAnsi="Arial"/>
          <w:b/>
          <w:bCs/>
          <w:color w:val="1F3864"/>
          <w:sz w:val="40"/>
          <w:szCs w:val="40"/>
        </w:rPr>
        <w:t xml:space="preserve">PART X</w:t>
      </w:r>
    </w:p>
    <w:p>
      <w:pPr>
        <w:pBdr>
          <w:bottom w:val="single" w:color="2E75B6" w:sz="8" w:space="1"/>
        </w:pBdr>
        <w:spacing w:after="400"/>
        <w:jc w:val="center"/>
      </w:pPr>
      <w:r>
        <w:rPr>
          <w:rFonts w:ascii="Arial" w:cs="Arial" w:eastAsia="Arial" w:hAnsi="Arial"/>
          <w:color w:val="2E75B6"/>
          <w:sz w:val="34"/>
          <w:szCs w:val="34"/>
        </w:rPr>
        <w:t xml:space="preserve">Acceleration and Adoption Framework</w:t>
      </w:r>
    </w:p>
    <w:p>
      <w:r>
        <w:br w:type="page"/>
      </w:r>
    </w:p>
    <w:p>
      <w:pPr>
        <w:pStyle w:val="Heading1"/>
        <w:spacing w:after="200" w:before="360"/>
      </w:pPr>
      <w:r>
        <w:rPr>
          <w:rFonts w:ascii="Arial" w:cs="Arial" w:eastAsia="Arial" w:hAnsi="Arial"/>
          <w:b/>
          <w:bCs/>
          <w:color w:val="1F3864"/>
          <w:sz w:val="32"/>
          <w:szCs w:val="32"/>
        </w:rPr>
        <w:t xml:space="preserve">X.1 Executive Overview and Strategic Acceleration Context</w:t>
      </w:r>
    </w:p>
    <w:p>
      <w:pPr>
        <w:pBdr>
          <w:bottom w:val="single" w:color="2E75B6" w:sz="6" w:space="1"/>
        </w:pBdr>
        <w:spacing w:after="200" w:before="200"/>
      </w:pPr>
    </w:p>
    <w:p>
      <w:pPr>
        <w:pStyle w:val="Heading2"/>
        <w:spacing w:after="160" w:before="280"/>
      </w:pPr>
      <w:r>
        <w:rPr>
          <w:rFonts w:ascii="Arial" w:cs="Arial" w:eastAsia="Arial" w:hAnsi="Arial"/>
          <w:b/>
          <w:bCs/>
          <w:color w:val="2E75B6"/>
          <w:sz w:val="28"/>
          <w:szCs w:val="28"/>
        </w:rPr>
        <w:t xml:space="preserve">X.1.1 Purpose and Strategic Intent</w:t>
      </w:r>
    </w:p>
    <w:p>
      <w:pPr>
        <w:spacing w:after="120"/>
      </w:pPr>
      <w:r>
        <w:rPr>
          <w:rFonts w:ascii="Arial" w:cs="Arial" w:eastAsia="Arial" w:hAnsi="Arial"/>
          <w:sz w:val="22"/>
          <w:szCs w:val="22"/>
        </w:rPr>
        <w:t xml:space="preserve">The Acceleration and Adoption Framework establishes the organizational mechanisms, cultural enablers, and structured programs required to drive rapid, sustainable adoption of the governance capabilities defined throughout this playbook. Enterprise software governance succeeds only when the frameworks, standards, and automated capabilities described in Parts I through IX translate from documented policy into embedded organizational behavior. This part defines how organizations bridge the gap between framework definition and operational reality.</w:t>
      </w:r>
    </w:p>
    <w:p>
      <w:pPr>
        <w:spacing w:after="120"/>
      </w:pPr>
      <w:r>
        <w:rPr>
          <w:rFonts w:ascii="Arial" w:cs="Arial" w:eastAsia="Arial" w:hAnsi="Arial"/>
          <w:sz w:val="22"/>
          <w:szCs w:val="22"/>
        </w:rPr>
        <w:t xml:space="preserve">Modern enterprises face a fundamental paradox: the pace of technological change demands increasingly sophisticated governance, while the complexity of that governance creates adoption friction that slows organizational velocity. This framework resolves that tension through intelligent automation, progressive adoption models, and measurement-driven optimization that make governance an accelerator rather than an impediment.</w:t>
      </w:r>
    </w:p>
    <w:p>
      <w:pPr>
        <w:pStyle w:val="Heading2"/>
        <w:spacing w:after="160" w:before="280"/>
      </w:pPr>
      <w:r>
        <w:rPr>
          <w:rFonts w:ascii="Arial" w:cs="Arial" w:eastAsia="Arial" w:hAnsi="Arial"/>
          <w:b/>
          <w:bCs/>
          <w:color w:val="2E75B6"/>
          <w:sz w:val="28"/>
          <w:szCs w:val="28"/>
        </w:rPr>
        <w:t xml:space="preserve">X.1.2 Framework Objectives</w:t>
      </w:r>
    </w:p>
    <w:p>
      <w:pPr>
        <w:pStyle w:val="ListParagraph"/>
        <w:numPr>
          <w:ilvl w:val="0"/>
          <w:numId w:val="2"/>
        </w:numPr>
        <w:spacing w:after="80"/>
      </w:pPr>
      <w:r>
        <w:rPr>
          <w:rFonts w:ascii="Arial" w:cs="Arial" w:eastAsia="Arial" w:hAnsi="Arial"/>
          <w:sz w:val="22"/>
          <w:szCs w:val="22"/>
        </w:rPr>
        <w:t xml:space="preserve">Reduce governance adoption cycle time from 18-24 months to 6-9 months through structured acceleration programs, automated onboarding workflows, and progressive rollout strategies.</w:t>
      </w:r>
    </w:p>
    <w:p>
      <w:pPr>
        <w:pStyle w:val="ListParagraph"/>
        <w:numPr>
          <w:ilvl w:val="0"/>
          <w:numId w:val="2"/>
        </w:numPr>
        <w:spacing w:after="80"/>
      </w:pPr>
      <w:r>
        <w:rPr>
          <w:rFonts w:ascii="Arial" w:cs="Arial" w:eastAsia="Arial" w:hAnsi="Arial"/>
          <w:sz w:val="22"/>
          <w:szCs w:val="22"/>
        </w:rPr>
        <w:t xml:space="preserve">Achieve 85%+ voluntary compliance rates within 12 months by making governed pathways the easiest and fastest option for development teams.</w:t>
      </w:r>
    </w:p>
    <w:p>
      <w:pPr>
        <w:pStyle w:val="ListParagraph"/>
        <w:numPr>
          <w:ilvl w:val="0"/>
          <w:numId w:val="2"/>
        </w:numPr>
        <w:spacing w:after="80"/>
      </w:pPr>
      <w:r>
        <w:rPr>
          <w:rFonts w:ascii="Arial" w:cs="Arial" w:eastAsia="Arial" w:hAnsi="Arial"/>
          <w:sz w:val="22"/>
          <w:szCs w:val="22"/>
        </w:rPr>
        <w:t xml:space="preserve">Build self-sustaining governance communities that evolve practices organically through Centers of Excellence, champion networks, and collaborative feedback mechanisms.</w:t>
      </w:r>
    </w:p>
    <w:p>
      <w:pPr>
        <w:pStyle w:val="ListParagraph"/>
        <w:numPr>
          <w:ilvl w:val="0"/>
          <w:numId w:val="2"/>
        </w:numPr>
        <w:spacing w:after="80"/>
      </w:pPr>
      <w:r>
        <w:rPr>
          <w:rFonts w:ascii="Arial" w:cs="Arial" w:eastAsia="Arial" w:hAnsi="Arial"/>
          <w:sz w:val="22"/>
          <w:szCs w:val="22"/>
        </w:rPr>
        <w:t xml:space="preserve">Establish measurable ROI for governance investments with clear linkage between governance maturity and business outcome improvements.</w:t>
      </w:r>
    </w:p>
    <w:p>
      <w:pPr>
        <w:pStyle w:val="ListParagraph"/>
        <w:numPr>
          <w:ilvl w:val="0"/>
          <w:numId w:val="2"/>
        </w:numPr>
        <w:spacing w:after="80"/>
      </w:pPr>
      <w:r>
        <w:rPr>
          <w:rFonts w:ascii="Arial" w:cs="Arial" w:eastAsia="Arial" w:hAnsi="Arial"/>
          <w:sz w:val="22"/>
          <w:szCs w:val="22"/>
        </w:rPr>
        <w:t xml:space="preserve">Create a culture of continuous improvement where governance is perceived as a competitive advantage rather than bureaucratic overhead.</w:t>
      </w:r>
    </w:p>
    <w:p>
      <w:pPr>
        <w:pStyle w:val="Heading2"/>
        <w:spacing w:after="160" w:before="280"/>
      </w:pPr>
      <w:r>
        <w:rPr>
          <w:rFonts w:ascii="Arial" w:cs="Arial" w:eastAsia="Arial" w:hAnsi="Arial"/>
          <w:b/>
          <w:bCs/>
          <w:color w:val="2E75B6"/>
          <w:sz w:val="28"/>
          <w:szCs w:val="28"/>
        </w:rPr>
        <w:t xml:space="preserve">X.1.3 Acceleration Maturity Spectrum</w:t>
      </w:r>
    </w:p>
    <w:p>
      <w:pPr>
        <w:spacing w:after="120"/>
      </w:pPr>
      <w:r>
        <w:rPr>
          <w:rFonts w:ascii="Arial" w:cs="Arial" w:eastAsia="Arial" w:hAnsi="Arial"/>
          <w:sz w:val="22"/>
          <w:szCs w:val="22"/>
        </w:rPr>
        <w:t xml:space="preserve">Organizations progress through five distinct acceleration stages, each building upon the capabilities of the previous level while introducing new mechanisms for scaling adoption velocity.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600"/>
        <w:gridCol w:w="4760"/>
        <w:gridCol w:w="1800"/>
      </w:tblGrid>
      <w:tr>
        <w:tc>
          <w:tcPr>
            <w:tcW w:type="dxa" w:w="1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F3864"/>
                <w:sz w:val="20"/>
                <w:szCs w:val="20"/>
              </w:rPr>
              <w:t xml:space="preserve">Maturity Level</w:t>
            </w:r>
          </w:p>
        </w:tc>
        <w:tc>
          <w:tcPr>
            <w:tcW w:type="dxa" w:w="1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F3864"/>
                <w:sz w:val="20"/>
                <w:szCs w:val="20"/>
              </w:rPr>
              <w:t xml:space="preserve">Stage Name</w:t>
            </w:r>
          </w:p>
        </w:tc>
        <w:tc>
          <w:tcPr>
            <w:tcW w:type="dxa" w:w="47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F3864"/>
                <w:sz w:val="20"/>
                <w:szCs w:val="20"/>
              </w:rPr>
              <w:t xml:space="preserve">Characteristics</w:t>
            </w:r>
          </w:p>
        </w:tc>
        <w:tc>
          <w:tcPr>
            <w:tcW w:type="dxa" w:w="1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F3864"/>
                <w:sz w:val="20"/>
                <w:szCs w:val="20"/>
              </w:rPr>
              <w:t xml:space="preserve">Target Timeline</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Level 1</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Ad-Hoc Adoption</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Individual teams adopt selectively; no coordination; compliance varies widely across the organization</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Months 0-3</w:t>
            </w:r>
          </w:p>
        </w:tc>
      </w:tr>
      <w:tr>
        <w:tc>
          <w:tcPr>
            <w:tcW w:type="dxa" w:w="1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Level 2</w:t>
            </w:r>
          </w:p>
        </w:tc>
        <w:tc>
          <w:tcPr>
            <w:tcW w:type="dxa" w:w="16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Structured Rollout</w:t>
            </w:r>
          </w:p>
        </w:tc>
        <w:tc>
          <w:tcPr>
            <w:tcW w:type="dxa" w:w="47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Formal adoption plans; designated champions; standardized onboarding; initial metrics tracking</w:t>
            </w:r>
          </w:p>
        </w:tc>
        <w:tc>
          <w:tcPr>
            <w:tcW w:type="dxa" w:w="1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Months 3-6</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Level 3</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Managed Acceleration</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CoE-driven programs; automated compliance; integrated training; governance embedded in CI/CD</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Months 6-12</w:t>
            </w:r>
          </w:p>
        </w:tc>
      </w:tr>
      <w:tr>
        <w:tc>
          <w:tcPr>
            <w:tcW w:type="dxa" w:w="1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Level 4</w:t>
            </w:r>
          </w:p>
        </w:tc>
        <w:tc>
          <w:tcPr>
            <w:tcW w:type="dxa" w:w="16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Optimized Velocity</w:t>
            </w:r>
          </w:p>
        </w:tc>
        <w:tc>
          <w:tcPr>
            <w:tcW w:type="dxa" w:w="47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AI-assisted adoption; predictive friction detection; self-service governance; continuous optimization</w:t>
            </w:r>
          </w:p>
        </w:tc>
        <w:tc>
          <w:tcPr>
            <w:tcW w:type="dxa" w:w="1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Months 12-18</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Level 5</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Autonomous Evolution</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Self-governing teams; governance evolves through collective intelligence; industry-leading practices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Months 18+</w:t>
            </w:r>
          </w:p>
        </w:tc>
      </w:tr>
    </w:tbl>
    <w:p>
      <w:r>
        <w:br w:type="page"/>
      </w:r>
    </w:p>
    <w:p>
      <w:pPr>
        <w:pStyle w:val="Heading1"/>
        <w:spacing w:after="200" w:before="360"/>
      </w:pPr>
      <w:r>
        <w:rPr>
          <w:rFonts w:ascii="Arial" w:cs="Arial" w:eastAsia="Arial" w:hAnsi="Arial"/>
          <w:b/>
          <w:bCs/>
          <w:color w:val="1F3864"/>
          <w:sz w:val="32"/>
          <w:szCs w:val="32"/>
        </w:rPr>
        <w:t xml:space="preserve">X.2 Innovation Lab and Sandbox Program</w:t>
      </w:r>
    </w:p>
    <w:p>
      <w:pPr>
        <w:pBdr>
          <w:bottom w:val="single" w:color="2E75B6" w:sz="6" w:space="1"/>
        </w:pBdr>
        <w:spacing w:after="200" w:before="200"/>
      </w:pPr>
    </w:p>
    <w:p>
      <w:pPr>
        <w:pStyle w:val="Heading2"/>
        <w:spacing w:after="160" w:before="280"/>
      </w:pPr>
      <w:r>
        <w:rPr>
          <w:rFonts w:ascii="Arial" w:cs="Arial" w:eastAsia="Arial" w:hAnsi="Arial"/>
          <w:b/>
          <w:bCs/>
          <w:color w:val="2E75B6"/>
          <w:sz w:val="28"/>
          <w:szCs w:val="28"/>
        </w:rPr>
        <w:t xml:space="preserve">X.2.1 Innovation Lab Architecture</w:t>
      </w:r>
    </w:p>
    <w:p>
      <w:pPr>
        <w:spacing w:after="120"/>
      </w:pPr>
      <w:r>
        <w:rPr>
          <w:rFonts w:ascii="Arial" w:cs="Arial" w:eastAsia="Arial" w:hAnsi="Arial"/>
          <w:sz w:val="22"/>
          <w:szCs w:val="22"/>
        </w:rPr>
        <w:t xml:space="preserve">Innovation Labs provide controlled environments where teams can experiment with emerging technologies, novel architectural patterns, and new governance approaches without risking production stability or compliance posture. The lab infrastructure is designed to balance creative freedom with sufficient guardrails to generate actionable insights that translate into production-ready capabilities.</w:t>
      </w:r>
    </w:p>
    <w:p>
      <w:pPr>
        <w:pStyle w:val="Heading3"/>
        <w:spacing w:after="120" w:before="200"/>
      </w:pPr>
      <w:r>
        <w:rPr>
          <w:rFonts w:ascii="Arial" w:cs="Arial" w:eastAsia="Arial" w:hAnsi="Arial"/>
          <w:b/>
          <w:bCs/>
          <w:color w:val="1F3864"/>
          <w:sz w:val="24"/>
          <w:szCs w:val="24"/>
        </w:rPr>
        <w:t xml:space="preserve">Lab Environment Tiers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200"/>
        <w:gridCol w:w="2400"/>
        <w:gridCol w:w="1200"/>
        <w:gridCol w:w="1960"/>
      </w:tblGrid>
      <w:tr>
        <w:tc>
          <w:tcPr>
            <w:tcW w:type="dxa" w:w="1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F3864"/>
                <w:sz w:val="20"/>
                <w:szCs w:val="20"/>
              </w:rPr>
              <w:t xml:space="preserve">Tier</w:t>
            </w:r>
          </w:p>
        </w:tc>
        <w:tc>
          <w:tcPr>
            <w:tcW w:type="dxa" w:w="2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F3864"/>
                <w:sz w:val="20"/>
                <w:szCs w:val="20"/>
              </w:rPr>
              <w:t xml:space="preserve">Environment</w:t>
            </w:r>
          </w:p>
        </w:tc>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F3864"/>
                <w:sz w:val="20"/>
                <w:szCs w:val="20"/>
              </w:rPr>
              <w:t xml:space="preserve">Governance Level</w:t>
            </w:r>
          </w:p>
        </w:tc>
        <w:tc>
          <w:tcPr>
            <w:tcW w:type="dxa" w:w="1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F3864"/>
                <w:sz w:val="20"/>
                <w:szCs w:val="20"/>
              </w:rPr>
              <w:t xml:space="preserve">Duration</w:t>
            </w:r>
          </w:p>
        </w:tc>
        <w:tc>
          <w:tcPr>
            <w:tcW w:type="dxa" w:w="19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F3864"/>
                <w:sz w:val="20"/>
                <w:szCs w:val="20"/>
              </w:rPr>
              <w:t xml:space="preserve">Approval</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Tier 1 - Exploration</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Fully isolated sandbox with synthetic data</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Minimal - logging and time-boxing only</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1-2 weeks</w:t>
            </w:r>
          </w:p>
        </w:tc>
        <w:tc>
          <w:tcPr>
            <w:tcW w:type="dxa" w:w="1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Team lead</w:t>
            </w:r>
          </w:p>
        </w:tc>
      </w:tr>
      <w:tr>
        <w:tc>
          <w:tcPr>
            <w:tcW w:type="dxa" w:w="16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Tier 2 - Validation</w:t>
            </w:r>
          </w:p>
        </w:tc>
        <w:tc>
          <w:tcPr>
            <w:tcW w:type="dxa" w:w="2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Isolated with anonymized production data mirrors</w:t>
            </w:r>
          </w:p>
        </w:tc>
        <w:tc>
          <w:tcPr>
            <w:tcW w:type="dxa" w:w="24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Moderate - security scanning, code review</w:t>
            </w:r>
          </w:p>
        </w:tc>
        <w:tc>
          <w:tcPr>
            <w:tcW w:type="dxa" w:w="1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2-4 weeks</w:t>
            </w:r>
          </w:p>
        </w:tc>
        <w:tc>
          <w:tcPr>
            <w:tcW w:type="dxa" w:w="19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Architecture board</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Tier 3 - Integration</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Connected to non-production services with API contracts</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Standard - full DevSecOps pipeline applies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4-8 weeks</w:t>
            </w:r>
          </w:p>
        </w:tc>
        <w:tc>
          <w:tcPr>
            <w:tcW w:type="dxa" w:w="1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Governance council</w:t>
            </w:r>
          </w:p>
        </w:tc>
      </w:tr>
      <w:tr>
        <w:tc>
          <w:tcPr>
            <w:tcW w:type="dxa" w:w="16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Tier 4 - Pilot</w:t>
            </w:r>
          </w:p>
        </w:tc>
        <w:tc>
          <w:tcPr>
            <w:tcW w:type="dxa" w:w="2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Production-adjacent with feature flags and traffic shaping</w:t>
            </w:r>
          </w:p>
        </w:tc>
        <w:tc>
          <w:tcPr>
            <w:tcW w:type="dxa" w:w="24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Full production governance with enhanced monitoring</w:t>
            </w:r>
          </w:p>
        </w:tc>
        <w:tc>
          <w:tcPr>
            <w:tcW w:type="dxa" w:w="1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8-12 weeks</w:t>
            </w:r>
          </w:p>
        </w:tc>
        <w:tc>
          <w:tcPr>
            <w:tcW w:type="dxa" w:w="19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Executive sponsor</w:t>
            </w:r>
          </w:p>
        </w:tc>
      </w:tr>
    </w:tbl>
    <w:p>
      <w:pPr>
        <w:pStyle w:val="Heading2"/>
        <w:spacing w:after="160" w:before="280"/>
      </w:pPr>
      <w:r>
        <w:rPr>
          <w:rFonts w:ascii="Arial" w:cs="Arial" w:eastAsia="Arial" w:hAnsi="Arial"/>
          <w:b/>
          <w:bCs/>
          <w:color w:val="2E75B6"/>
          <w:sz w:val="28"/>
          <w:szCs w:val="28"/>
        </w:rPr>
        <w:t xml:space="preserve">X.2.2 Sandbox Provisioning and Lifecycle</w:t>
      </w:r>
    </w:p>
    <w:p>
      <w:pPr>
        <w:spacing w:after="120"/>
      </w:pPr>
      <w:r>
        <w:rPr>
          <w:rFonts w:ascii="Arial" w:cs="Arial" w:eastAsia="Arial" w:hAnsi="Arial"/>
          <w:sz w:val="22"/>
          <w:szCs w:val="22"/>
        </w:rPr>
        <w:t xml:space="preserve">Sandbox environments are provisioned through an automated self-service portal that enforces resource quotas, cost ceilings, and automatic expiration policies. Every sandbox instance includes pre-configured telemetry that captures experiment metadata, resource utilization patterns, and outcome metrics without requiring manual instrumentation by experiment teams.</w:t>
      </w:r>
    </w:p>
    <w:p>
      <w:pPr>
        <w:pStyle w:val="Heading3"/>
        <w:spacing w:after="120" w:before="200"/>
      </w:pPr>
      <w:r>
        <w:rPr>
          <w:rFonts w:ascii="Arial" w:cs="Arial" w:eastAsia="Arial" w:hAnsi="Arial"/>
          <w:b/>
          <w:bCs/>
          <w:color w:val="1F3864"/>
          <w:sz w:val="24"/>
          <w:szCs w:val="24"/>
        </w:rPr>
        <w:t xml:space="preserve">Sandbox Lifecycle Stages</w:t>
      </w:r>
    </w:p>
    <w:p>
      <w:pPr>
        <w:pStyle w:val="ListParagraph"/>
        <w:numPr>
          <w:ilvl w:val="0"/>
          <w:numId w:val="3"/>
        </w:numPr>
        <w:spacing w:after="80"/>
      </w:pPr>
      <w:r>
        <w:rPr>
          <w:rFonts w:ascii="Arial" w:cs="Arial" w:eastAsia="Arial" w:hAnsi="Arial"/>
          <w:sz w:val="22"/>
          <w:szCs w:val="22"/>
        </w:rPr>
        <w:t xml:space="preserve">Request and Approval: Team submits experiment hypothesis, resource requirements, and success criteria through the governance portal. AI-assisted routing directs requests to appropriate approvers based on tier classification.</w:t>
      </w:r>
    </w:p>
    <w:p>
      <w:pPr>
        <w:pStyle w:val="ListParagraph"/>
        <w:numPr>
          <w:ilvl w:val="0"/>
          <w:numId w:val="3"/>
        </w:numPr>
        <w:spacing w:after="80"/>
      </w:pPr>
      <w:r>
        <w:rPr>
          <w:rFonts w:ascii="Arial" w:cs="Arial" w:eastAsia="Arial" w:hAnsi="Arial"/>
          <w:sz w:val="22"/>
          <w:szCs w:val="22"/>
        </w:rPr>
        <w:t xml:space="preserve">Provisioning: Automated infrastructure-as-code templates deploy sandbox environments within 30 minutes for Tier 1 and within 4 hours for Tier 3 environments, including all monitoring and compliance instrumentation.</w:t>
      </w:r>
    </w:p>
    <w:p>
      <w:pPr>
        <w:pStyle w:val="ListParagraph"/>
        <w:numPr>
          <w:ilvl w:val="0"/>
          <w:numId w:val="3"/>
        </w:numPr>
        <w:spacing w:after="80"/>
      </w:pPr>
      <w:r>
        <w:rPr>
          <w:rFonts w:ascii="Arial" w:cs="Arial" w:eastAsia="Arial" w:hAnsi="Arial"/>
          <w:sz w:val="22"/>
          <w:szCs w:val="22"/>
        </w:rPr>
        <w:t xml:space="preserve">Experimentation: Teams execute against defined hypotheses with automated checkpoints at 25%, 50%, and 75% of allocated duration to assess progress and enable early termination or extension decisions.</w:t>
      </w:r>
    </w:p>
    <w:p>
      <w:pPr>
        <w:pStyle w:val="ListParagraph"/>
        <w:numPr>
          <w:ilvl w:val="0"/>
          <w:numId w:val="3"/>
        </w:numPr>
        <w:spacing w:after="80"/>
      </w:pPr>
      <w:r>
        <w:rPr>
          <w:rFonts w:ascii="Arial" w:cs="Arial" w:eastAsia="Arial" w:hAnsi="Arial"/>
          <w:sz w:val="22"/>
          <w:szCs w:val="22"/>
        </w:rPr>
        <w:t xml:space="preserve">Evaluation: Structured outcome assessment against pre-defined success criteria with automated collection of technical metrics, security scan results, and team feedback.</w:t>
      </w:r>
    </w:p>
    <w:p>
      <w:pPr>
        <w:pStyle w:val="ListParagraph"/>
        <w:numPr>
          <w:ilvl w:val="0"/>
          <w:numId w:val="3"/>
        </w:numPr>
        <w:spacing w:after="80"/>
      </w:pPr>
      <w:r>
        <w:rPr>
          <w:rFonts w:ascii="Arial" w:cs="Arial" w:eastAsia="Arial" w:hAnsi="Arial"/>
          <w:sz w:val="22"/>
          <w:szCs w:val="22"/>
        </w:rPr>
        <w:t xml:space="preserve">Transition or Teardown: Successful experiments receive a production pathway assessment with gap analysis against full governance requirements. Failed experiments are documented with lessons learned and environments are decommissioned.</w:t>
      </w:r>
    </w:p>
    <w:p>
      <w:pPr>
        <w:pStyle w:val="Heading2"/>
        <w:spacing w:after="160" w:before="280"/>
      </w:pPr>
      <w:r>
        <w:rPr>
          <w:rFonts w:ascii="Arial" w:cs="Arial" w:eastAsia="Arial" w:hAnsi="Arial"/>
          <w:b/>
          <w:bCs/>
          <w:color w:val="2E75B6"/>
          <w:sz w:val="28"/>
          <w:szCs w:val="28"/>
        </w:rPr>
        <w:t xml:space="preserve">X.2.3 Innovation Pipeline Governance</w:t>
      </w:r>
    </w:p>
    <w:p>
      <w:pPr>
        <w:spacing w:after="120"/>
      </w:pPr>
      <w:r>
        <w:rPr>
          <w:rFonts w:ascii="Arial" w:cs="Arial" w:eastAsia="Arial" w:hAnsi="Arial"/>
          <w:sz w:val="22"/>
          <w:szCs w:val="22"/>
        </w:rPr>
        <w:t xml:space="preserve">The innovation pipeline maintains a structured funnel from ideation through production adoption. Each stage gate ensures that promising innovations receive increasing investment while non-viable concepts are eliminated efficiently without consuming excessive organizational resources.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200"/>
        <w:gridCol w:w="2000"/>
        <w:gridCol w:w="2360"/>
      </w:tblGrid>
      <w:tr>
        <w:tc>
          <w:tcPr>
            <w:tcW w:type="dxa" w:w="1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F3864"/>
                <w:sz w:val="20"/>
                <w:szCs w:val="20"/>
              </w:rPr>
              <w:t xml:space="preserve">Stage Gate</w:t>
            </w:r>
          </w:p>
        </w:tc>
        <w:tc>
          <w:tcPr>
            <w:tcW w:type="dxa" w:w="3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F3864"/>
                <w:sz w:val="20"/>
                <w:szCs w:val="20"/>
              </w:rPr>
              <w:t xml:space="preserve">Criteria</w:t>
            </w:r>
          </w:p>
        </w:tc>
        <w:tc>
          <w:tcPr>
            <w:tcW w:type="dxa" w:w="2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F3864"/>
                <w:sz w:val="20"/>
                <w:szCs w:val="20"/>
              </w:rPr>
              <w:t xml:space="preserve">Investment Limit</w:t>
            </w:r>
          </w:p>
        </w:tc>
        <w:tc>
          <w:tcPr>
            <w:tcW w:type="dxa" w:w="23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F3864"/>
                <w:sz w:val="20"/>
                <w:szCs w:val="20"/>
              </w:rPr>
              <w:t xml:space="preserve">Success Rate Target</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Ideation Screen</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Strategic alignment, technical feasibility, resource availability</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40 engineering hours</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30-40% pass rate</w:t>
            </w:r>
          </w:p>
        </w:tc>
      </w:tr>
      <w:tr>
        <w:tc>
          <w:tcPr>
            <w:tcW w:type="dxa" w:w="1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Proof of Concept</w:t>
            </w:r>
          </w:p>
        </w:tc>
        <w:tc>
          <w:tcPr>
            <w:tcW w:type="dxa" w:w="3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Working prototype, initial performance data, security assessment</w:t>
            </w:r>
          </w:p>
        </w:tc>
        <w:tc>
          <w:tcPr>
            <w:tcW w:type="dxa" w:w="2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200 engineering hours</w:t>
            </w:r>
          </w:p>
        </w:tc>
        <w:tc>
          <w:tcPr>
            <w:tcW w:type="dxa" w:w="23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40-50% pass rate</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Viability Assessment</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Cost-benefit analysis, integration complexity, compliance pathway</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500 engineering hours</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50-60% pass rate</w:t>
            </w:r>
          </w:p>
        </w:tc>
      </w:tr>
      <w:tr>
        <w:tc>
          <w:tcPr>
            <w:tcW w:type="dxa" w:w="1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Pilot Program</w:t>
            </w:r>
          </w:p>
        </w:tc>
        <w:tc>
          <w:tcPr>
            <w:tcW w:type="dxa" w:w="3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Production-grade quality, full governance compliance, user acceptance</w:t>
            </w:r>
          </w:p>
        </w:tc>
        <w:tc>
          <w:tcPr>
            <w:tcW w:type="dxa" w:w="2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2,000 engineering hours</w:t>
            </w:r>
          </w:p>
        </w:tc>
        <w:tc>
          <w:tcPr>
            <w:tcW w:type="dxa" w:w="23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60-70% pass rate</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Production Rollout</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Scalability validation, operational readiness, support model</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Full project funding</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80-90% pass rate</w:t>
            </w:r>
          </w:p>
        </w:tc>
      </w:tr>
    </w:tbl>
    <w:p>
      <w:r>
        <w:br w:type="page"/>
      </w:r>
    </w:p>
    <w:p>
      <w:pPr>
        <w:pStyle w:val="Heading1"/>
        <w:spacing w:after="200" w:before="360"/>
      </w:pPr>
      <w:r>
        <w:rPr>
          <w:rFonts w:ascii="Arial" w:cs="Arial" w:eastAsia="Arial" w:hAnsi="Arial"/>
          <w:b/>
          <w:bCs/>
          <w:color w:val="1F3864"/>
          <w:sz w:val="32"/>
          <w:szCs w:val="32"/>
        </w:rPr>
        <w:t xml:space="preserve">X.3 Rapid Prototyping and MVP Framework</w:t>
      </w:r>
    </w:p>
    <w:p>
      <w:pPr>
        <w:pBdr>
          <w:bottom w:val="single" w:color="2E75B6" w:sz="6" w:space="1"/>
        </w:pBdr>
        <w:spacing w:after="200" w:before="200"/>
      </w:pPr>
    </w:p>
    <w:p>
      <w:pPr>
        <w:pStyle w:val="Heading2"/>
        <w:spacing w:after="160" w:before="280"/>
      </w:pPr>
      <w:r>
        <w:rPr>
          <w:rFonts w:ascii="Arial" w:cs="Arial" w:eastAsia="Arial" w:hAnsi="Arial"/>
          <w:b/>
          <w:bCs/>
          <w:color w:val="2E75B6"/>
          <w:sz w:val="28"/>
          <w:szCs w:val="28"/>
        </w:rPr>
        <w:t xml:space="preserve">X.3.1 Prototyping Methodology</w:t>
      </w:r>
    </w:p>
    <w:p>
      <w:pPr>
        <w:spacing w:after="120"/>
      </w:pPr>
      <w:r>
        <w:rPr>
          <w:rFonts w:ascii="Arial" w:cs="Arial" w:eastAsia="Arial" w:hAnsi="Arial"/>
          <w:sz w:val="22"/>
          <w:szCs w:val="22"/>
        </w:rPr>
        <w:t xml:space="preserve">The rapid prototyping framework enables teams to validate technical hypotheses and business assumptions within compressed timescales while maintaining sufficient governance to ensure prototype learnings translate reliably into production decisions. The methodology integrates design thinking principles with lean engineering practices and governance-aware architecture patterns.</w:t>
      </w:r>
    </w:p>
    <w:p>
      <w:pPr>
        <w:pStyle w:val="Heading3"/>
        <w:spacing w:after="120" w:before="200"/>
      </w:pPr>
      <w:r>
        <w:rPr>
          <w:rFonts w:ascii="Arial" w:cs="Arial" w:eastAsia="Arial" w:hAnsi="Arial"/>
          <w:b/>
          <w:bCs/>
          <w:color w:val="1F3864"/>
          <w:sz w:val="24"/>
          <w:szCs w:val="24"/>
        </w:rPr>
        <w:t xml:space="preserve">Prototype Classification and Governance Mapping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600"/>
        <w:gridCol w:w="1200"/>
        <w:gridCol w:w="3760"/>
      </w:tblGrid>
      <w:tr>
        <w:tc>
          <w:tcPr>
            <w:tcW w:type="dxa" w:w="1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F3864"/>
                <w:sz w:val="20"/>
                <w:szCs w:val="20"/>
              </w:rPr>
              <w:t xml:space="preserve">Prototype Type</w:t>
            </w:r>
          </w:p>
        </w:tc>
        <w:tc>
          <w:tcPr>
            <w:tcW w:type="dxa" w:w="2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F3864"/>
                <w:sz w:val="20"/>
                <w:szCs w:val="20"/>
              </w:rPr>
              <w:t xml:space="preserve">Purpose</w:t>
            </w:r>
          </w:p>
        </w:tc>
        <w:tc>
          <w:tcPr>
            <w:tcW w:type="dxa" w:w="1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F3864"/>
                <w:sz w:val="20"/>
                <w:szCs w:val="20"/>
              </w:rPr>
              <w:t xml:space="preserve">Timeline</w:t>
            </w:r>
          </w:p>
        </w:tc>
        <w:tc>
          <w:tcPr>
            <w:tcW w:type="dxa" w:w="37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F3864"/>
                <w:sz w:val="20"/>
                <w:szCs w:val="20"/>
              </w:rPr>
              <w:t xml:space="preserve">Governance Requirements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Throwaway Spike</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Technical feasibility validation for a single question</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1-3 days</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Experiment logging only; no code quality standards</w:t>
            </w:r>
          </w:p>
        </w:tc>
      </w:tr>
      <w:tr>
        <w:tc>
          <w:tcPr>
            <w:tcW w:type="dxa" w:w="1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Evolutionary Prototype</w:t>
            </w:r>
          </w:p>
        </w:tc>
        <w:tc>
          <w:tcPr>
            <w:tcW w:type="dxa" w:w="26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Iterative feature development intended for production path</w:t>
            </w:r>
          </w:p>
        </w:tc>
        <w:tc>
          <w:tcPr>
            <w:tcW w:type="dxa" w:w="1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1-4 weeks</w:t>
            </w:r>
          </w:p>
        </w:tc>
        <w:tc>
          <w:tcPr>
            <w:tcW w:type="dxa" w:w="37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Core coding standards; automated testing; security scanning</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Architecture Prototype</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Validate system design, integration patterns, performance</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2-6 weeks</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Full architecture review; performance benchmarks; threat model</w:t>
            </w:r>
          </w:p>
        </w:tc>
      </w:tr>
      <w:tr>
        <w:tc>
          <w:tcPr>
            <w:tcW w:type="dxa" w:w="1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Business Pilot</w:t>
            </w:r>
          </w:p>
        </w:tc>
        <w:tc>
          <w:tcPr>
            <w:tcW w:type="dxa" w:w="26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End-to-end business process validation with real users</w:t>
            </w:r>
          </w:p>
        </w:tc>
        <w:tc>
          <w:tcPr>
            <w:tcW w:type="dxa" w:w="1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4-12 weeks</w:t>
            </w:r>
          </w:p>
        </w:tc>
        <w:tc>
          <w:tcPr>
            <w:tcW w:type="dxa" w:w="37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Full governance pipeline; accessibility; data privacy compliance</w:t>
            </w:r>
          </w:p>
        </w:tc>
      </w:tr>
    </w:tbl>
    <w:p>
      <w:pPr>
        <w:pStyle w:val="Heading2"/>
        <w:spacing w:after="160" w:before="280"/>
      </w:pPr>
      <w:r>
        <w:rPr>
          <w:rFonts w:ascii="Arial" w:cs="Arial" w:eastAsia="Arial" w:hAnsi="Arial"/>
          <w:b/>
          <w:bCs/>
          <w:color w:val="2E75B6"/>
          <w:sz w:val="28"/>
          <w:szCs w:val="28"/>
        </w:rPr>
        <w:t xml:space="preserve">X.3.2 MVP Definition and Scoping Standards</w:t>
      </w:r>
    </w:p>
    <w:p>
      <w:pPr>
        <w:spacing w:after="120"/>
      </w:pPr>
      <w:r>
        <w:rPr>
          <w:rFonts w:ascii="Arial" w:cs="Arial" w:eastAsia="Arial" w:hAnsi="Arial"/>
          <w:sz w:val="22"/>
          <w:szCs w:val="22"/>
        </w:rPr>
        <w:t xml:space="preserve">Minimum Viable Product definitions follow a structured scoping process that explicitly identifies the minimum governance requirements alongside minimum feature requirements. This dual-minimum approach prevents the common failure mode where MVPs accumulate governance debt that creates prohibitive remediation costs during production hardening.</w:t>
      </w:r>
    </w:p>
    <w:p>
      <w:pPr>
        <w:pStyle w:val="Heading3"/>
        <w:spacing w:after="120" w:before="200"/>
      </w:pPr>
      <w:r>
        <w:rPr>
          <w:rFonts w:ascii="Arial" w:cs="Arial" w:eastAsia="Arial" w:hAnsi="Arial"/>
          <w:b/>
          <w:bCs/>
          <w:color w:val="1F3864"/>
          <w:sz w:val="24"/>
          <w:szCs w:val="24"/>
        </w:rPr>
        <w:t xml:space="preserve">MVP Governance Minimum Requirements by Application Tier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520"/>
        <w:gridCol w:w="2520"/>
        <w:gridCol w:w="2520"/>
      </w:tblGrid>
      <w:tr>
        <w:tc>
          <w:tcPr>
            <w:tcW w:type="dxa" w:w="1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F3864"/>
                <w:sz w:val="20"/>
                <w:szCs w:val="20"/>
              </w:rPr>
              <w:t xml:space="preserve">Governance Domain</w:t>
            </w:r>
          </w:p>
        </w:tc>
        <w:tc>
          <w:tcPr>
            <w:tcW w:type="dxa" w:w="252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F3864"/>
                <w:sz w:val="20"/>
                <w:szCs w:val="20"/>
              </w:rPr>
              <w:t xml:space="preserve">Tier 1 (Critical)</w:t>
            </w:r>
          </w:p>
        </w:tc>
        <w:tc>
          <w:tcPr>
            <w:tcW w:type="dxa" w:w="252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F3864"/>
                <w:sz w:val="20"/>
                <w:szCs w:val="20"/>
              </w:rPr>
              <w:t xml:space="preserve">Tier 2 (Standard)</w:t>
            </w:r>
          </w:p>
        </w:tc>
        <w:tc>
          <w:tcPr>
            <w:tcW w:type="dxa" w:w="252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F3864"/>
                <w:sz w:val="20"/>
                <w:szCs w:val="20"/>
              </w:rPr>
              <w:t xml:space="preserve">Tier 3 (Low Risk)</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Authentication</w:t>
            </w:r>
          </w:p>
        </w:tc>
        <w:tc>
          <w:tcPr>
            <w:tcW w:type="dxa" w:w="25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Full SSO/MFA integration</w:t>
            </w:r>
          </w:p>
        </w:tc>
        <w:tc>
          <w:tcPr>
            <w:tcW w:type="dxa" w:w="25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SSO integration</w:t>
            </w:r>
          </w:p>
        </w:tc>
        <w:tc>
          <w:tcPr>
            <w:tcW w:type="dxa" w:w="25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Basic authentication</w:t>
            </w:r>
          </w:p>
        </w:tc>
      </w:tr>
      <w:tr>
        <w:tc>
          <w:tcPr>
            <w:tcW w:type="dxa" w:w="1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Authorization</w:t>
            </w:r>
          </w:p>
        </w:tc>
        <w:tc>
          <w:tcPr>
            <w:tcW w:type="dxa" w:w="252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RBAC with audit logging</w:t>
            </w:r>
          </w:p>
        </w:tc>
        <w:tc>
          <w:tcPr>
            <w:tcW w:type="dxa" w:w="252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RBAC</w:t>
            </w:r>
          </w:p>
        </w:tc>
        <w:tc>
          <w:tcPr>
            <w:tcW w:type="dxa" w:w="252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Simple role checks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Data Protection</w:t>
            </w:r>
          </w:p>
        </w:tc>
        <w:tc>
          <w:tcPr>
            <w:tcW w:type="dxa" w:w="25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Encryption at rest and in transit; DLP</w:t>
            </w:r>
          </w:p>
        </w:tc>
        <w:tc>
          <w:tcPr>
            <w:tcW w:type="dxa" w:w="25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Encryption at rest and in transit</w:t>
            </w:r>
          </w:p>
        </w:tc>
        <w:tc>
          <w:tcPr>
            <w:tcW w:type="dxa" w:w="25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Encryption in transit</w:t>
            </w:r>
          </w:p>
        </w:tc>
      </w:tr>
      <w:tr>
        <w:tc>
          <w:tcPr>
            <w:tcW w:type="dxa" w:w="1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Security Scanning</w:t>
            </w:r>
          </w:p>
        </w:tc>
        <w:tc>
          <w:tcPr>
            <w:tcW w:type="dxa" w:w="252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Full SAST/DAST/SCA pipeline</w:t>
            </w:r>
          </w:p>
        </w:tc>
        <w:tc>
          <w:tcPr>
            <w:tcW w:type="dxa" w:w="252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SAST and SCA</w:t>
            </w:r>
          </w:p>
        </w:tc>
        <w:tc>
          <w:tcPr>
            <w:tcW w:type="dxa" w:w="252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SCA only</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Testing</w:t>
            </w:r>
          </w:p>
        </w:tc>
        <w:tc>
          <w:tcPr>
            <w:tcW w:type="dxa" w:w="25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80%+ coverage; integration tests</w:t>
            </w:r>
          </w:p>
        </w:tc>
        <w:tc>
          <w:tcPr>
            <w:tcW w:type="dxa" w:w="25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70%+ coverage; unit tests</w:t>
            </w:r>
          </w:p>
        </w:tc>
        <w:tc>
          <w:tcPr>
            <w:tcW w:type="dxa" w:w="25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60%+ coverage</w:t>
            </w:r>
          </w:p>
        </w:tc>
      </w:tr>
      <w:tr>
        <w:tc>
          <w:tcPr>
            <w:tcW w:type="dxa" w:w="1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Monitoring</w:t>
            </w:r>
          </w:p>
        </w:tc>
        <w:tc>
          <w:tcPr>
            <w:tcW w:type="dxa" w:w="252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Full observability stack</w:t>
            </w:r>
          </w:p>
        </w:tc>
        <w:tc>
          <w:tcPr>
            <w:tcW w:type="dxa" w:w="252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Metrics and logging</w:t>
            </w:r>
          </w:p>
        </w:tc>
        <w:tc>
          <w:tcPr>
            <w:tcW w:type="dxa" w:w="252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Basic health checks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Documentation</w:t>
            </w:r>
          </w:p>
        </w:tc>
        <w:tc>
          <w:tcPr>
            <w:tcW w:type="dxa" w:w="25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Architecture decision records; API docs; runbooks</w:t>
            </w:r>
          </w:p>
        </w:tc>
        <w:tc>
          <w:tcPr>
            <w:tcW w:type="dxa" w:w="25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API docs; basic runbooks</w:t>
            </w:r>
          </w:p>
        </w:tc>
        <w:tc>
          <w:tcPr>
            <w:tcW w:type="dxa" w:w="25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README only</w:t>
            </w:r>
          </w:p>
        </w:tc>
      </w:tr>
    </w:tbl>
    <w:p>
      <w:pPr>
        <w:pStyle w:val="Heading2"/>
        <w:spacing w:after="160" w:before="280"/>
      </w:pPr>
      <w:r>
        <w:rPr>
          <w:rFonts w:ascii="Arial" w:cs="Arial" w:eastAsia="Arial" w:hAnsi="Arial"/>
          <w:b/>
          <w:bCs/>
          <w:color w:val="2E75B6"/>
          <w:sz w:val="28"/>
          <w:szCs w:val="28"/>
        </w:rPr>
        <w:t xml:space="preserve">X.3.3 Prototype-to-Production Transition Framework</w:t>
      </w:r>
    </w:p>
    <w:p>
      <w:pPr>
        <w:spacing w:after="120"/>
      </w:pPr>
      <w:r>
        <w:rPr>
          <w:rFonts w:ascii="Arial" w:cs="Arial" w:eastAsia="Arial" w:hAnsi="Arial"/>
          <w:sz w:val="22"/>
          <w:szCs w:val="22"/>
        </w:rPr>
        <w:t xml:space="preserve">The transition from prototype to production represents one of the highest-risk phases in the software lifecycle. Organizations frequently underestimate the engineering effort required to bridge the gap between a working prototype and a production-ready system, leading to either premature production deployment of prototype-quality code or abandonment of viable innovations due to perceived transition complexity.</w:t>
      </w:r>
    </w:p>
    <w:p>
      <w:pPr>
        <w:spacing w:after="120"/>
      </w:pPr>
      <w:r>
        <w:rPr>
          <w:rFonts w:ascii="Arial" w:cs="Arial" w:eastAsia="Arial" w:hAnsi="Arial"/>
          <w:b/>
          <w:bCs/>
          <w:sz w:val="22"/>
          <w:szCs w:val="22"/>
        </w:rPr>
        <w:t xml:space="preserve">Transition Readiness Assessment: </w:t>
      </w:r>
      <w:r>
        <w:rPr>
          <w:rFonts w:ascii="Arial" w:cs="Arial" w:eastAsia="Arial" w:hAnsi="Arial"/>
          <w:sz w:val="22"/>
          <w:szCs w:val="22"/>
        </w:rPr>
        <w:t xml:space="preserve">Every prototype targeting production must complete a structured readiness assessment across eight dimensions: functional completeness, non-functional requirements coverage, security posture, operational readiness, data governance compliance, integration stability, documentation adequacy, and support model definition. Each dimension is scored on a five-point scale with minimum thresholds by application tier.</w:t>
      </w:r>
    </w:p>
    <w:p>
      <w:pPr>
        <w:spacing w:after="120"/>
      </w:pPr>
      <w:r>
        <w:rPr>
          <w:rFonts w:ascii="Arial" w:cs="Arial" w:eastAsia="Arial" w:hAnsi="Arial"/>
          <w:b/>
          <w:bCs/>
          <w:sz w:val="22"/>
          <w:szCs w:val="22"/>
        </w:rPr>
        <w:t xml:space="preserve">Governance Gap Analysis: </w:t>
      </w:r>
      <w:r>
        <w:rPr>
          <w:rFonts w:ascii="Arial" w:cs="Arial" w:eastAsia="Arial" w:hAnsi="Arial"/>
          <w:sz w:val="22"/>
          <w:szCs w:val="22"/>
        </w:rPr>
        <w:t xml:space="preserve">Automated tooling compares the prototype's current governance posture against target-state requirements for its application tier, generating a prioritized remediation backlog with estimated effort for each gap. AI-assisted estimation leverages historical transition data to improve accuracy.</w:t>
      </w:r>
    </w:p>
    <w:p>
      <w:pPr>
        <w:spacing w:after="120"/>
      </w:pPr>
      <w:r>
        <w:rPr>
          <w:rFonts w:ascii="Arial" w:cs="Arial" w:eastAsia="Arial" w:hAnsi="Arial"/>
          <w:b/>
          <w:bCs/>
          <w:sz w:val="22"/>
          <w:szCs w:val="22"/>
        </w:rPr>
        <w:t xml:space="preserve">Incremental Hardening Strategy: </w:t>
      </w:r>
      <w:r>
        <w:rPr>
          <w:rFonts w:ascii="Arial" w:cs="Arial" w:eastAsia="Arial" w:hAnsi="Arial"/>
          <w:sz w:val="22"/>
          <w:szCs w:val="22"/>
        </w:rPr>
        <w:t xml:space="preserve">Rather than requiring all governance gaps to be resolved before production deployment, the framework supports incremental hardening through a risk-based prioritization model. Critical security and compliance requirements must be met before initial production deployment, while lower-priority governance enhancements can be scheduled across subsequent sprints with explicit tracking and SLA commitments.</w:t>
      </w:r>
    </w:p>
    <w:p>
      <w:r>
        <w:br w:type="page"/>
      </w:r>
    </w:p>
    <w:p>
      <w:pPr>
        <w:pStyle w:val="Heading1"/>
        <w:spacing w:after="200" w:before="360"/>
      </w:pPr>
      <w:r>
        <w:rPr>
          <w:rFonts w:ascii="Arial" w:cs="Arial" w:eastAsia="Arial" w:hAnsi="Arial"/>
          <w:b/>
          <w:bCs/>
          <w:color w:val="1F3864"/>
          <w:sz w:val="32"/>
          <w:szCs w:val="32"/>
        </w:rPr>
        <w:t xml:space="preserve">X.4 Technology Adoption Framework</w:t>
      </w:r>
    </w:p>
    <w:p>
      <w:pPr>
        <w:pBdr>
          <w:bottom w:val="single" w:color="2E75B6" w:sz="6" w:space="1"/>
        </w:pBdr>
        <w:spacing w:after="200" w:before="200"/>
      </w:pPr>
    </w:p>
    <w:p>
      <w:pPr>
        <w:pStyle w:val="Heading2"/>
        <w:spacing w:after="160" w:before="280"/>
      </w:pPr>
      <w:r>
        <w:rPr>
          <w:rFonts w:ascii="Arial" w:cs="Arial" w:eastAsia="Arial" w:hAnsi="Arial"/>
          <w:b/>
          <w:bCs/>
          <w:color w:val="2E75B6"/>
          <w:sz w:val="28"/>
          <w:szCs w:val="28"/>
        </w:rPr>
        <w:t xml:space="preserve">X.4.1 Enterprise Technology Radar</w:t>
      </w:r>
    </w:p>
    <w:p>
      <w:pPr>
        <w:spacing w:after="120"/>
      </w:pPr>
      <w:r>
        <w:rPr>
          <w:rFonts w:ascii="Arial" w:cs="Arial" w:eastAsia="Arial" w:hAnsi="Arial"/>
          <w:sz w:val="22"/>
          <w:szCs w:val="22"/>
        </w:rPr>
        <w:t xml:space="preserve">The Enterprise Technology Radar provides a structured mechanism for evaluating, categorizing, and communicating the organization's position on emerging and existing technologies. Updated quarterly through a collaborative process involving architecture, engineering, security, and business stakeholders, the radar informs investment decisions, training priorities, and governance scope adjustments.</w:t>
      </w:r>
    </w:p>
    <w:p>
      <w:pPr>
        <w:pStyle w:val="Heading3"/>
        <w:spacing w:after="120" w:before="200"/>
      </w:pPr>
      <w:r>
        <w:rPr>
          <w:rFonts w:ascii="Arial" w:cs="Arial" w:eastAsia="Arial" w:hAnsi="Arial"/>
          <w:b/>
          <w:bCs/>
          <w:color w:val="1F3864"/>
          <w:sz w:val="24"/>
          <w:szCs w:val="24"/>
        </w:rPr>
        <w:t xml:space="preserve">Technology Radar Ring Definitions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2200"/>
        <w:gridCol w:w="2800"/>
        <w:gridCol w:w="3260"/>
      </w:tblGrid>
      <w:tr>
        <w:tc>
          <w:tcPr>
            <w:tcW w:type="dxa" w:w="11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F3864"/>
                <w:sz w:val="20"/>
                <w:szCs w:val="20"/>
              </w:rPr>
              <w:t xml:space="preserve">Ring</w:t>
            </w:r>
          </w:p>
        </w:tc>
        <w:tc>
          <w:tcPr>
            <w:tcW w:type="dxa" w:w="2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F3864"/>
                <w:sz w:val="20"/>
                <w:szCs w:val="20"/>
              </w:rPr>
              <w:t xml:space="preserve">Definition</w:t>
            </w:r>
          </w:p>
        </w:tc>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F3864"/>
                <w:sz w:val="20"/>
                <w:szCs w:val="20"/>
              </w:rPr>
              <w:t xml:space="preserve">Governance Implications</w:t>
            </w:r>
          </w:p>
        </w:tc>
        <w:tc>
          <w:tcPr>
            <w:tcW w:type="dxa" w:w="32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F3864"/>
                <w:sz w:val="20"/>
                <w:szCs w:val="20"/>
              </w:rPr>
              <w:t xml:space="preserve">Usage Policy</w:t>
            </w:r>
          </w:p>
        </w:tc>
      </w:tr>
      <w:tr>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Adopt</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Proven at scale; recommended as default choice</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Full governance integration; automated pipeline support</w:t>
            </w:r>
          </w:p>
        </w:tc>
        <w:tc>
          <w:tcPr>
            <w:tcW w:type="dxa" w:w="3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Preferred for all new projects</w:t>
            </w:r>
          </w:p>
        </w:tc>
      </w:tr>
      <w:tr>
        <w:tc>
          <w:tcPr>
            <w:tcW w:type="dxa" w:w="11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Trial</w:t>
            </w:r>
          </w:p>
        </w:tc>
        <w:tc>
          <w:tcPr>
            <w:tcW w:type="dxa" w:w="2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Promising; approved for non-critical production use</w:t>
            </w:r>
          </w:p>
        </w:tc>
        <w:tc>
          <w:tcPr>
            <w:tcW w:type="dxa" w:w="2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Standard governance with enhanced monitoring</w:t>
            </w:r>
          </w:p>
        </w:tc>
        <w:tc>
          <w:tcPr>
            <w:tcW w:type="dxa" w:w="32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Approved with architecture review</w:t>
            </w:r>
          </w:p>
        </w:tc>
      </w:tr>
      <w:tr>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Assess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Interesting; approved for sandbox and PoC only</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Sandbox governance only; no production deployment</w:t>
            </w:r>
          </w:p>
        </w:tc>
        <w:tc>
          <w:tcPr>
            <w:tcW w:type="dxa" w:w="3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Requires innovation lab approval</w:t>
            </w:r>
          </w:p>
        </w:tc>
      </w:tr>
      <w:tr>
        <w:tc>
          <w:tcPr>
            <w:tcW w:type="dxa" w:w="11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Hold</w:t>
            </w:r>
          </w:p>
        </w:tc>
        <w:tc>
          <w:tcPr>
            <w:tcW w:type="dxa" w:w="2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Concerns identified; avoid for new projects</w:t>
            </w:r>
          </w:p>
        </w:tc>
        <w:tc>
          <w:tcPr>
            <w:tcW w:type="dxa" w:w="2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Legacy governance applies; migration planning required</w:t>
            </w:r>
          </w:p>
        </w:tc>
        <w:tc>
          <w:tcPr>
            <w:tcW w:type="dxa" w:w="32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No new adoption; sunset planning</w:t>
            </w:r>
          </w:p>
        </w:tc>
      </w:tr>
      <w:tr>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Retire</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End-of-life; active migration required</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Security-only updates; hardened monitoring</w:t>
            </w:r>
          </w:p>
        </w:tc>
        <w:tc>
          <w:tcPr>
            <w:tcW w:type="dxa" w:w="3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Mandatory migration within defined timeline</w:t>
            </w:r>
          </w:p>
        </w:tc>
      </w:tr>
    </w:tbl>
    <w:p>
      <w:pPr>
        <w:pStyle w:val="Heading2"/>
        <w:spacing w:after="160" w:before="280"/>
      </w:pPr>
      <w:r>
        <w:rPr>
          <w:rFonts w:ascii="Arial" w:cs="Arial" w:eastAsia="Arial" w:hAnsi="Arial"/>
          <w:b/>
          <w:bCs/>
          <w:color w:val="2E75B6"/>
          <w:sz w:val="28"/>
          <w:szCs w:val="28"/>
        </w:rPr>
        <w:t xml:space="preserve">X.4.2 Adoption Decision Framework</w:t>
      </w:r>
    </w:p>
    <w:p>
      <w:pPr>
        <w:spacing w:after="120"/>
      </w:pPr>
      <w:r>
        <w:rPr>
          <w:rFonts w:ascii="Arial" w:cs="Arial" w:eastAsia="Arial" w:hAnsi="Arial"/>
          <w:sz w:val="22"/>
          <w:szCs w:val="22"/>
        </w:rPr>
        <w:t xml:space="preserve">Technology adoption decisions follow a structured evaluation process that balances innovation velocity with risk management. The framework uses a weighted scoring model across six evaluation dimensions to produce a quantitative adoption recommendation that supplements qualitative expert judgment.</w:t>
      </w:r>
    </w:p>
    <w:p>
      <w:pPr>
        <w:pStyle w:val="Heading3"/>
        <w:spacing w:after="120" w:before="200"/>
      </w:pPr>
      <w:r>
        <w:rPr>
          <w:rFonts w:ascii="Arial" w:cs="Arial" w:eastAsia="Arial" w:hAnsi="Arial"/>
          <w:b/>
          <w:bCs/>
          <w:color w:val="1F3864"/>
          <w:sz w:val="24"/>
          <w:szCs w:val="24"/>
        </w:rPr>
        <w:t xml:space="preserve">Technology Evaluation Scoring Model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900"/>
        <w:gridCol w:w="4260"/>
        <w:gridCol w:w="2400"/>
      </w:tblGrid>
      <w:tr>
        <w:tc>
          <w:tcPr>
            <w:tcW w:type="dxa" w:w="1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F3864"/>
                <w:sz w:val="20"/>
                <w:szCs w:val="20"/>
              </w:rPr>
              <w:t xml:space="preserve">Dimension</w:t>
            </w:r>
          </w:p>
        </w:tc>
        <w:tc>
          <w:tcPr>
            <w:tcW w:type="dxa" w:w="9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F3864"/>
                <w:sz w:val="20"/>
                <w:szCs w:val="20"/>
              </w:rPr>
              <w:t xml:space="preserve">Weight</w:t>
            </w:r>
          </w:p>
        </w:tc>
        <w:tc>
          <w:tcPr>
            <w:tcW w:type="dxa" w:w="42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F3864"/>
                <w:sz w:val="20"/>
                <w:szCs w:val="20"/>
              </w:rPr>
              <w:t xml:space="preserve">Assessment Criteria</w:t>
            </w:r>
          </w:p>
        </w:tc>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F3864"/>
                <w:sz w:val="20"/>
                <w:szCs w:val="20"/>
              </w:rPr>
              <w:t xml:space="preserve">Scoring Scale</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Strategic Alignment</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20%</w:t>
            </w:r>
          </w:p>
        </w:tc>
        <w:tc>
          <w:tcPr>
            <w:tcW w:type="dxa" w:w="4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Fit with enterprise architecture; roadmap alignment; business capability mapping</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1-5 (5 = perfect alignment)</w:t>
            </w:r>
          </w:p>
        </w:tc>
      </w:tr>
      <w:tr>
        <w:tc>
          <w:tcPr>
            <w:tcW w:type="dxa" w:w="1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Technical Maturity</w:t>
            </w:r>
          </w:p>
        </w:tc>
        <w:tc>
          <w:tcPr>
            <w:tcW w:type="dxa" w:w="9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20%</w:t>
            </w:r>
          </w:p>
        </w:tc>
        <w:tc>
          <w:tcPr>
            <w:tcW w:type="dxa" w:w="42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Community activity; release cadence; documentation quality; production references</w:t>
            </w:r>
          </w:p>
        </w:tc>
        <w:tc>
          <w:tcPr>
            <w:tcW w:type="dxa" w:w="24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1-5 (5 = proven at scale)</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Security Posture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20%</w:t>
            </w:r>
          </w:p>
        </w:tc>
        <w:tc>
          <w:tcPr>
            <w:tcW w:type="dxa" w:w="4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Vulnerability history; security audit results; compliance certification availability</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1-5 (5 = exemplary security)</w:t>
            </w:r>
          </w:p>
        </w:tc>
      </w:tr>
      <w:tr>
        <w:tc>
          <w:tcPr>
            <w:tcW w:type="dxa" w:w="1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Operational Readiness</w:t>
            </w:r>
          </w:p>
        </w:tc>
        <w:tc>
          <w:tcPr>
            <w:tcW w:type="dxa" w:w="9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15%</w:t>
            </w:r>
          </w:p>
        </w:tc>
        <w:tc>
          <w:tcPr>
            <w:tcW w:type="dxa" w:w="42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Monitoring support; logging; debugging tooling; team expertise availability</w:t>
            </w:r>
          </w:p>
        </w:tc>
        <w:tc>
          <w:tcPr>
            <w:tcW w:type="dxa" w:w="24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1-5 (5 = fully supported)</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Total Cost of Ownership</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15%</w:t>
            </w:r>
          </w:p>
        </w:tc>
        <w:tc>
          <w:tcPr>
            <w:tcW w:type="dxa" w:w="4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Licensing; infrastructure; training; migration; ongoing maintenance</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1-5 (5 = minimal cost)</w:t>
            </w:r>
          </w:p>
        </w:tc>
      </w:tr>
      <w:tr>
        <w:tc>
          <w:tcPr>
            <w:tcW w:type="dxa" w:w="1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Innovation Potential</w:t>
            </w:r>
          </w:p>
        </w:tc>
        <w:tc>
          <w:tcPr>
            <w:tcW w:type="dxa" w:w="9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10%</w:t>
            </w:r>
          </w:p>
        </w:tc>
        <w:tc>
          <w:tcPr>
            <w:tcW w:type="dxa" w:w="42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Capability differentiation; future roadmap; ecosystem growth trajectory</w:t>
            </w:r>
          </w:p>
        </w:tc>
        <w:tc>
          <w:tcPr>
            <w:tcW w:type="dxa" w:w="24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1-5 (5 = transformative)</w:t>
            </w:r>
          </w:p>
        </w:tc>
      </w:tr>
    </w:tbl>
    <w:p>
      <w:pPr>
        <w:pStyle w:val="Heading2"/>
        <w:spacing w:after="160" w:before="280"/>
      </w:pPr>
      <w:r>
        <w:rPr>
          <w:rFonts w:ascii="Arial" w:cs="Arial" w:eastAsia="Arial" w:hAnsi="Arial"/>
          <w:b/>
          <w:bCs/>
          <w:color w:val="2E75B6"/>
          <w:sz w:val="28"/>
          <w:szCs w:val="28"/>
        </w:rPr>
        <w:t xml:space="preserve">X.4.3 Adoption Wave Planning</w:t>
      </w:r>
    </w:p>
    <w:p>
      <w:pPr>
        <w:spacing w:after="120"/>
      </w:pPr>
      <w:r>
        <w:rPr>
          <w:rFonts w:ascii="Arial" w:cs="Arial" w:eastAsia="Arial" w:hAnsi="Arial"/>
          <w:sz w:val="22"/>
          <w:szCs w:val="22"/>
        </w:rPr>
        <w:t xml:space="preserve">Large-scale technology adoptions are executed through structured waves that manage organizational change capacity and enable learning from early cohorts. Wave planning balances the desire for rapid adoption with the reality of finite change management bandwidth and the need for stable reference implementations.</w:t>
      </w:r>
    </w:p>
    <w:p>
      <w:pPr>
        <w:pStyle w:val="ListParagraph"/>
        <w:numPr>
          <w:ilvl w:val="0"/>
          <w:numId w:val="4"/>
        </w:numPr>
        <w:spacing w:after="80"/>
      </w:pPr>
      <w:r>
        <w:rPr>
          <w:rFonts w:ascii="Arial" w:cs="Arial" w:eastAsia="Arial" w:hAnsi="Arial"/>
          <w:sz w:val="22"/>
          <w:szCs w:val="22"/>
        </w:rPr>
        <w:t xml:space="preserve">Wave 0 - Foundation (Weeks 1-4): Core platform team establishes reference implementation, creates golden path templates, develops training materials, and validates governance integration. No production workloads.</w:t>
      </w:r>
    </w:p>
    <w:p>
      <w:pPr>
        <w:pStyle w:val="ListParagraph"/>
        <w:numPr>
          <w:ilvl w:val="0"/>
          <w:numId w:val="4"/>
        </w:numPr>
        <w:spacing w:after="80"/>
      </w:pPr>
      <w:r>
        <w:rPr>
          <w:rFonts w:ascii="Arial" w:cs="Arial" w:eastAsia="Arial" w:hAnsi="Arial"/>
          <w:sz w:val="22"/>
          <w:szCs w:val="22"/>
        </w:rPr>
        <w:t xml:space="preserve">Wave 1 - Pioneers (Weeks 4-8): Two to three volunteer teams with high technical maturity adopt the technology for production workloads. These teams provide detailed feedback on documentation gaps, tooling friction, and governance integration issues.</w:t>
      </w:r>
    </w:p>
    <w:p>
      <w:pPr>
        <w:pStyle w:val="ListParagraph"/>
        <w:numPr>
          <w:ilvl w:val="0"/>
          <w:numId w:val="4"/>
        </w:numPr>
        <w:spacing w:after="80"/>
      </w:pPr>
      <w:r>
        <w:rPr>
          <w:rFonts w:ascii="Arial" w:cs="Arial" w:eastAsia="Arial" w:hAnsi="Arial"/>
          <w:sz w:val="22"/>
          <w:szCs w:val="22"/>
        </w:rPr>
        <w:t xml:space="preserve">Wave 2 - Early Majority (Weeks 8-16): Ten to fifteen teams adopt based on refined materials and proven patterns from Wave 1. Champions from pioneer teams provide peer support. Automated compliance checking is fully operational.</w:t>
      </w:r>
    </w:p>
    <w:p>
      <w:pPr>
        <w:pStyle w:val="ListParagraph"/>
        <w:numPr>
          <w:ilvl w:val="0"/>
          <w:numId w:val="4"/>
        </w:numPr>
        <w:spacing w:after="80"/>
      </w:pPr>
      <w:r>
        <w:rPr>
          <w:rFonts w:ascii="Arial" w:cs="Arial" w:eastAsia="Arial" w:hAnsi="Arial"/>
          <w:sz w:val="22"/>
          <w:szCs w:val="22"/>
        </w:rPr>
        <w:t xml:space="preserve">Wave 3 - Broad Adoption (Weeks 16-24): Remaining teams adopt through self-service channels with automated onboarding. AI-assisted migration tooling handles routine conversion tasks. Governance is fully automated.</w:t>
      </w:r>
    </w:p>
    <w:p>
      <w:pPr>
        <w:pStyle w:val="ListParagraph"/>
        <w:numPr>
          <w:ilvl w:val="0"/>
          <w:numId w:val="4"/>
        </w:numPr>
        <w:spacing w:after="80"/>
      </w:pPr>
      <w:r>
        <w:rPr>
          <w:rFonts w:ascii="Arial" w:cs="Arial" w:eastAsia="Arial" w:hAnsi="Arial"/>
          <w:sz w:val="22"/>
          <w:szCs w:val="22"/>
        </w:rPr>
        <w:t xml:space="preserve">Wave 4 - Optimization (Weeks 24+): Focus shifts from adoption to optimization. Advanced capabilities are enabled. Legacy technology migration timelines are enforced. Cost optimization programs activate.</w:t>
      </w:r>
    </w:p>
    <w:p>
      <w:r>
        <w:br w:type="page"/>
      </w:r>
    </w:p>
    <w:p>
      <w:pPr>
        <w:pStyle w:val="Heading1"/>
        <w:spacing w:after="200" w:before="360"/>
      </w:pPr>
      <w:r>
        <w:rPr>
          <w:rFonts w:ascii="Arial" w:cs="Arial" w:eastAsia="Arial" w:hAnsi="Arial"/>
          <w:b/>
          <w:bCs/>
          <w:color w:val="1F3864"/>
          <w:sz w:val="32"/>
          <w:szCs w:val="32"/>
        </w:rPr>
        <w:t xml:space="preserve">X.5 Organizational Change Management</w:t>
      </w:r>
    </w:p>
    <w:p>
      <w:pPr>
        <w:pBdr>
          <w:bottom w:val="single" w:color="2E75B6" w:sz="6" w:space="1"/>
        </w:pBdr>
        <w:spacing w:after="200" w:before="200"/>
      </w:pPr>
    </w:p>
    <w:p>
      <w:pPr>
        <w:pStyle w:val="Heading2"/>
        <w:spacing w:after="160" w:before="280"/>
      </w:pPr>
      <w:r>
        <w:rPr>
          <w:rFonts w:ascii="Arial" w:cs="Arial" w:eastAsia="Arial" w:hAnsi="Arial"/>
          <w:b/>
          <w:bCs/>
          <w:color w:val="2E75B6"/>
          <w:sz w:val="28"/>
          <w:szCs w:val="28"/>
        </w:rPr>
        <w:t xml:space="preserve">X.5.1 Change Management Strategy</w:t>
      </w:r>
    </w:p>
    <w:p>
      <w:pPr>
        <w:spacing w:after="120"/>
      </w:pPr>
      <w:r>
        <w:rPr>
          <w:rFonts w:ascii="Arial" w:cs="Arial" w:eastAsia="Arial" w:hAnsi="Arial"/>
          <w:sz w:val="22"/>
          <w:szCs w:val="22"/>
        </w:rPr>
        <w:t xml:space="preserve">Successful governance adoption requires deliberate organizational change management that addresses the human dimensions of technology and process transformation. The change management strategy integrates established frameworks with governance-specific adaptations that recognize the unique challenges of changing how engineers work, how decisions are made, and how compliance is achieved.</w:t>
      </w:r>
    </w:p>
    <w:p>
      <w:pPr>
        <w:pStyle w:val="Heading3"/>
        <w:spacing w:after="120" w:before="200"/>
      </w:pPr>
      <w:r>
        <w:rPr>
          <w:rFonts w:ascii="Arial" w:cs="Arial" w:eastAsia="Arial" w:hAnsi="Arial"/>
          <w:b/>
          <w:bCs/>
          <w:color w:val="1F3864"/>
          <w:sz w:val="24"/>
          <w:szCs w:val="24"/>
        </w:rPr>
        <w:t xml:space="preserve">Change Impact Assessment Matrix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500"/>
        <w:gridCol w:w="2600"/>
        <w:gridCol w:w="2660"/>
      </w:tblGrid>
      <w:tr>
        <w:tc>
          <w:tcPr>
            <w:tcW w:type="dxa" w:w="1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F3864"/>
                <w:sz w:val="20"/>
                <w:szCs w:val="20"/>
              </w:rPr>
              <w:t xml:space="preserve">Impact Dimension</w:t>
            </w:r>
          </w:p>
        </w:tc>
        <w:tc>
          <w:tcPr>
            <w:tcW w:type="dxa" w:w="25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F3864"/>
                <w:sz w:val="20"/>
                <w:szCs w:val="20"/>
              </w:rPr>
              <w:t xml:space="preserve">Low Impact</w:t>
            </w:r>
          </w:p>
        </w:tc>
        <w:tc>
          <w:tcPr>
            <w:tcW w:type="dxa" w:w="2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F3864"/>
                <w:sz w:val="20"/>
                <w:szCs w:val="20"/>
              </w:rPr>
              <w:t xml:space="preserve">Medium Impact</w:t>
            </w:r>
          </w:p>
        </w:tc>
        <w:tc>
          <w:tcPr>
            <w:tcW w:type="dxa" w:w="26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F3864"/>
                <w:sz w:val="20"/>
                <w:szCs w:val="20"/>
              </w:rPr>
              <w:t xml:space="preserve">High Impact</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Process Change</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Minor workflow adjustments within existing tools</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New steps added to established workflows</w:t>
            </w:r>
          </w:p>
        </w:tc>
        <w:tc>
          <w:tcPr>
            <w:tcW w:type="dxa" w:w="2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Fundamental redesign of development processes</w:t>
            </w:r>
          </w:p>
        </w:tc>
      </w:tr>
      <w:tr>
        <w:tc>
          <w:tcPr>
            <w:tcW w:type="dxa" w:w="16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Tool Change</w:t>
            </w:r>
          </w:p>
        </w:tc>
        <w:tc>
          <w:tcPr>
            <w:tcW w:type="dxa" w:w="25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Configuration updates to current tooling</w:t>
            </w:r>
          </w:p>
        </w:tc>
        <w:tc>
          <w:tcPr>
            <w:tcW w:type="dxa" w:w="26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New tool adoption alongside existing tools</w:t>
            </w:r>
          </w:p>
        </w:tc>
        <w:tc>
          <w:tcPr>
            <w:tcW w:type="dxa" w:w="26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Complete toolchain replacement</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Skill Requirements</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Training on incremental feature updates</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New competency development within current roles</w:t>
            </w:r>
          </w:p>
        </w:tc>
        <w:tc>
          <w:tcPr>
            <w:tcW w:type="dxa" w:w="2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New roles or significant role redefinition</w:t>
            </w:r>
          </w:p>
        </w:tc>
      </w:tr>
      <w:tr>
        <w:tc>
          <w:tcPr>
            <w:tcW w:type="dxa" w:w="16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Decision Authority</w:t>
            </w:r>
          </w:p>
        </w:tc>
        <w:tc>
          <w:tcPr>
            <w:tcW w:type="dxa" w:w="25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Minor approval threshold adjustments</w:t>
            </w:r>
          </w:p>
        </w:tc>
        <w:tc>
          <w:tcPr>
            <w:tcW w:type="dxa" w:w="26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New review gates or decision checkpoints</w:t>
            </w:r>
          </w:p>
        </w:tc>
        <w:tc>
          <w:tcPr>
            <w:tcW w:type="dxa" w:w="26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Governance model restructuring</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Cultural Shift</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Reinforcement of existing values</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New behavioral expectations introduced</w:t>
            </w:r>
          </w:p>
        </w:tc>
        <w:tc>
          <w:tcPr>
            <w:tcW w:type="dxa" w:w="2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Fundamental mindset transformation required</w:t>
            </w:r>
          </w:p>
        </w:tc>
      </w:tr>
    </w:tbl>
    <w:p>
      <w:pPr>
        <w:pStyle w:val="Heading2"/>
        <w:spacing w:after="160" w:before="280"/>
      </w:pPr>
      <w:r>
        <w:rPr>
          <w:rFonts w:ascii="Arial" w:cs="Arial" w:eastAsia="Arial" w:hAnsi="Arial"/>
          <w:b/>
          <w:bCs/>
          <w:color w:val="2E75B6"/>
          <w:sz w:val="28"/>
          <w:szCs w:val="28"/>
        </w:rPr>
        <w:t xml:space="preserve">X.5.2 Stakeholder Engagement Model</w:t>
      </w:r>
    </w:p>
    <w:p>
      <w:pPr>
        <w:spacing w:after="120"/>
      </w:pPr>
      <w:r>
        <w:rPr>
          <w:rFonts w:ascii="Arial" w:cs="Arial" w:eastAsia="Arial" w:hAnsi="Arial"/>
          <w:sz w:val="22"/>
          <w:szCs w:val="22"/>
        </w:rPr>
        <w:t xml:space="preserve">Effective change management requires differentiated engagement strategies for each stakeholder segment, recognizing that different groups have different concerns, influence levels, and adoption motivations. The stakeholder model identifies six primary segments with tailored engagement approaches.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200"/>
        <w:gridCol w:w="3200"/>
        <w:gridCol w:w="2160"/>
      </w:tblGrid>
      <w:tr>
        <w:tc>
          <w:tcPr>
            <w:tcW w:type="dxa" w:w="1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F3864"/>
                <w:sz w:val="20"/>
                <w:szCs w:val="20"/>
              </w:rPr>
              <w:t xml:space="preserve">Stakeholder Segment</w:t>
            </w:r>
          </w:p>
        </w:tc>
        <w:tc>
          <w:tcPr>
            <w:tcW w:type="dxa" w:w="2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F3864"/>
                <w:sz w:val="20"/>
                <w:szCs w:val="20"/>
              </w:rPr>
              <w:t xml:space="preserve">Primary Concern</w:t>
            </w:r>
          </w:p>
        </w:tc>
        <w:tc>
          <w:tcPr>
            <w:tcW w:type="dxa" w:w="3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F3864"/>
                <w:sz w:val="20"/>
                <w:szCs w:val="20"/>
              </w:rPr>
              <w:t xml:space="preserve">Engagement Strategy</w:t>
            </w:r>
          </w:p>
        </w:tc>
        <w:tc>
          <w:tcPr>
            <w:tcW w:type="dxa" w:w="21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F3864"/>
                <w:sz w:val="20"/>
                <w:szCs w:val="20"/>
              </w:rPr>
              <w:t xml:space="preserve">Cadence</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Executive Leadership</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ROI, risk reduction, competitive positioning</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Quarterly executive dashboards; strategic briefings; peer benchmarking</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Quarterly</w:t>
            </w:r>
          </w:p>
        </w:tc>
      </w:tr>
      <w:tr>
        <w:tc>
          <w:tcPr>
            <w:tcW w:type="dxa" w:w="1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Engineering Leadership</w:t>
            </w:r>
          </w:p>
        </w:tc>
        <w:tc>
          <w:tcPr>
            <w:tcW w:type="dxa" w:w="2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Team productivity, talent retention, delivery velocity</w:t>
            </w:r>
          </w:p>
        </w:tc>
        <w:tc>
          <w:tcPr>
            <w:tcW w:type="dxa" w:w="3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Monthly metrics reviews; architecture forums; tool demonstrations</w:t>
            </w:r>
          </w:p>
        </w:tc>
        <w:tc>
          <w:tcPr>
            <w:tcW w:type="dxa" w:w="21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Monthly</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Development Teams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Day-to-day workflow impact, learning curve, autonomy</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Sprint-aligned training; hands-on workshops; champion network access</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Bi-weekly</w:t>
            </w:r>
          </w:p>
        </w:tc>
      </w:tr>
      <w:tr>
        <w:tc>
          <w:tcPr>
            <w:tcW w:type="dxa" w:w="1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Security and Compliance</w:t>
            </w:r>
          </w:p>
        </w:tc>
        <w:tc>
          <w:tcPr>
            <w:tcW w:type="dxa" w:w="2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Risk posture, audit readiness, regulatory exposure</w:t>
            </w:r>
          </w:p>
        </w:tc>
        <w:tc>
          <w:tcPr>
            <w:tcW w:type="dxa" w:w="3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Compliance dashboard reviews; control mapping sessions; audit preparation</w:t>
            </w:r>
          </w:p>
        </w:tc>
        <w:tc>
          <w:tcPr>
            <w:tcW w:type="dxa" w:w="21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Monthly</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Operations Teams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System stability, on-call burden, incident reduction</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Runbook reviews; incident trend analysis; automation demonstrations</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Bi-weekly</w:t>
            </w:r>
          </w:p>
        </w:tc>
      </w:tr>
      <w:tr>
        <w:tc>
          <w:tcPr>
            <w:tcW w:type="dxa" w:w="1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Business Stakeholders</w:t>
            </w:r>
          </w:p>
        </w:tc>
        <w:tc>
          <w:tcPr>
            <w:tcW w:type="dxa" w:w="2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Delivery predictability, cost transparency, feature velocity</w:t>
            </w:r>
          </w:p>
        </w:tc>
        <w:tc>
          <w:tcPr>
            <w:tcW w:type="dxa" w:w="3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Portfolio reviews; value stream mapping; business outcome reporting</w:t>
            </w:r>
          </w:p>
        </w:tc>
        <w:tc>
          <w:tcPr>
            <w:tcW w:type="dxa" w:w="21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Monthly</w:t>
            </w:r>
          </w:p>
        </w:tc>
      </w:tr>
    </w:tbl>
    <w:p>
      <w:pPr>
        <w:pStyle w:val="Heading2"/>
        <w:spacing w:after="160" w:before="280"/>
      </w:pPr>
      <w:r>
        <w:rPr>
          <w:rFonts w:ascii="Arial" w:cs="Arial" w:eastAsia="Arial" w:hAnsi="Arial"/>
          <w:b/>
          <w:bCs/>
          <w:color w:val="2E75B6"/>
          <w:sz w:val="28"/>
          <w:szCs w:val="28"/>
        </w:rPr>
        <w:t xml:space="preserve">X.5.3 Resistance Management Framework</w:t>
      </w:r>
    </w:p>
    <w:p>
      <w:pPr>
        <w:spacing w:after="120"/>
      </w:pPr>
      <w:r>
        <w:rPr>
          <w:rFonts w:ascii="Arial" w:cs="Arial" w:eastAsia="Arial" w:hAnsi="Arial"/>
          <w:sz w:val="22"/>
          <w:szCs w:val="22"/>
        </w:rPr>
        <w:t xml:space="preserve">Resistance to governance adoption is a natural organizational response that, when properly understood and addressed, provides valuable feedback for improving adoption strategies. The resistance management framework categorizes common resistance patterns and provides evidence-based intervention strategies.</w:t>
      </w:r>
    </w:p>
    <w:p>
      <w:pPr>
        <w:pStyle w:val="Heading3"/>
        <w:spacing w:after="120" w:before="200"/>
      </w:pPr>
      <w:r>
        <w:rPr>
          <w:rFonts w:ascii="Arial" w:cs="Arial" w:eastAsia="Arial" w:hAnsi="Arial"/>
          <w:b/>
          <w:bCs/>
          <w:color w:val="1F3864"/>
          <w:sz w:val="24"/>
          <w:szCs w:val="24"/>
        </w:rPr>
        <w:t xml:space="preserve">Resistance Pattern Identification and Response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900"/>
        <w:gridCol w:w="2200"/>
        <w:gridCol w:w="3860"/>
      </w:tblGrid>
      <w:tr>
        <w:tc>
          <w:tcPr>
            <w:tcW w:type="dxa" w:w="1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F3864"/>
                <w:sz w:val="20"/>
                <w:szCs w:val="20"/>
              </w:rPr>
              <w:t xml:space="preserve">Resistance Pattern</w:t>
            </w:r>
          </w:p>
        </w:tc>
        <w:tc>
          <w:tcPr>
            <w:tcW w:type="dxa" w:w="19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F3864"/>
                <w:sz w:val="20"/>
                <w:szCs w:val="20"/>
              </w:rPr>
              <w:t xml:space="preserve">Root Cause</w:t>
            </w:r>
          </w:p>
        </w:tc>
        <w:tc>
          <w:tcPr>
            <w:tcW w:type="dxa" w:w="2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F3864"/>
                <w:sz w:val="20"/>
                <w:szCs w:val="20"/>
              </w:rPr>
              <w:t xml:space="preserve">Indicators</w:t>
            </w:r>
          </w:p>
        </w:tc>
        <w:tc>
          <w:tcPr>
            <w:tcW w:type="dxa" w:w="38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F3864"/>
                <w:sz w:val="20"/>
                <w:szCs w:val="20"/>
              </w:rPr>
              <w:t xml:space="preserve">Intervention Strategy</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Velocity Concern</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Fear that governance slows delivery</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Governance bypass attempts; pipeline override requests</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Demonstrate automated governance speed; publish cycle time comparisons</w:t>
            </w:r>
          </w:p>
        </w:tc>
      </w:tr>
      <w:tr>
        <w:tc>
          <w:tcPr>
            <w:tcW w:type="dxa" w:w="14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Autonomy Threat</w:t>
            </w:r>
          </w:p>
        </w:tc>
        <w:tc>
          <w:tcPr>
            <w:tcW w:type="dxa" w:w="19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Perceived loss of technical decision authority</w:t>
            </w:r>
          </w:p>
        </w:tc>
        <w:tc>
          <w:tcPr>
            <w:tcW w:type="dxa" w:w="2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Architecture deviation requests; shadow technology adoption</w:t>
            </w:r>
          </w:p>
        </w:tc>
        <w:tc>
          <w:tcPr>
            <w:tcW w:type="dxa" w:w="38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Involve teams in governance design; provide controlled flexibility zones</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Skill Anxiety</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Uncertainty about ability to meet new standards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Delayed adoption; excessive support requests</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Graduated skill-building; pair programming; mentorship programs</w:t>
            </w:r>
          </w:p>
        </w:tc>
      </w:tr>
      <w:tr>
        <w:tc>
          <w:tcPr>
            <w:tcW w:type="dxa" w:w="14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Value Skepticism</w:t>
            </w:r>
          </w:p>
        </w:tc>
        <w:tc>
          <w:tcPr>
            <w:tcW w:type="dxa" w:w="19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Disbelief that governance adds value</w:t>
            </w:r>
          </w:p>
        </w:tc>
        <w:tc>
          <w:tcPr>
            <w:tcW w:type="dxa" w:w="2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Minimal compliance effort; vocal criticism</w:t>
            </w:r>
          </w:p>
        </w:tc>
        <w:tc>
          <w:tcPr>
            <w:tcW w:type="dxa" w:w="38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Share incident data from ungoverned systems; publish quality metrics</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Change Fatigue</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Exhaustion from continuous organizational changes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Low engagement; passive non-compliance</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Consolidate initiatives; extend timelines; celebrate progress milestones</w:t>
            </w:r>
          </w:p>
        </w:tc>
      </w:tr>
    </w:tbl>
    <w:p>
      <w:pPr>
        <w:pStyle w:val="Heading2"/>
        <w:spacing w:after="160" w:before="280"/>
      </w:pPr>
      <w:r>
        <w:rPr>
          <w:rFonts w:ascii="Arial" w:cs="Arial" w:eastAsia="Arial" w:hAnsi="Arial"/>
          <w:b/>
          <w:bCs/>
          <w:color w:val="2E75B6"/>
          <w:sz w:val="28"/>
          <w:szCs w:val="28"/>
        </w:rPr>
        <w:t xml:space="preserve">X.5.4 Communication Architecture</w:t>
      </w:r>
    </w:p>
    <w:p>
      <w:pPr>
        <w:spacing w:after="120"/>
      </w:pPr>
      <w:r>
        <w:rPr>
          <w:rFonts w:ascii="Arial" w:cs="Arial" w:eastAsia="Arial" w:hAnsi="Arial"/>
          <w:sz w:val="22"/>
          <w:szCs w:val="22"/>
        </w:rPr>
        <w:t xml:space="preserve">The communication architecture ensures consistent, targeted messaging across all stakeholder segments through multiple channels and formats. Communication follows the principle of progressive disclosure, where stakeholders receive the level of detail appropriate to their role and engagement level.</w:t>
      </w:r>
    </w:p>
    <w:p>
      <w:pPr>
        <w:pStyle w:val="ListParagraph"/>
        <w:numPr>
          <w:ilvl w:val="0"/>
          <w:numId w:val="5"/>
        </w:numPr>
        <w:spacing w:after="80"/>
      </w:pPr>
      <w:r>
        <w:rPr>
          <w:rFonts w:ascii="Arial" w:cs="Arial" w:eastAsia="Arial" w:hAnsi="Arial"/>
          <w:b/>
          <w:bCs/>
          <w:sz w:val="22"/>
          <w:szCs w:val="22"/>
        </w:rPr>
        <w:t xml:space="preserve">Executive Channel: </w:t>
      </w:r>
      <w:r>
        <w:rPr>
          <w:rFonts w:ascii="Arial" w:cs="Arial" w:eastAsia="Arial" w:hAnsi="Arial"/>
          <w:sz w:val="22"/>
          <w:szCs w:val="22"/>
        </w:rPr>
        <w:t xml:space="preserve">Monthly governance digest with three key metrics, one success story, and one upcoming decision requiring executive input. Delivered as a single-page dashboard with drill-down capability.</w:t>
      </w:r>
    </w:p>
    <w:p>
      <w:pPr>
        <w:pStyle w:val="ListParagraph"/>
        <w:numPr>
          <w:ilvl w:val="0"/>
          <w:numId w:val="5"/>
        </w:numPr>
        <w:spacing w:after="80"/>
      </w:pPr>
      <w:r>
        <w:rPr>
          <w:rFonts w:ascii="Arial" w:cs="Arial" w:eastAsia="Arial" w:hAnsi="Arial"/>
          <w:b/>
          <w:bCs/>
          <w:sz w:val="22"/>
          <w:szCs w:val="22"/>
        </w:rPr>
        <w:t xml:space="preserve">Engineering Channel: </w:t>
      </w:r>
      <w:r>
        <w:rPr>
          <w:rFonts w:ascii="Arial" w:cs="Arial" w:eastAsia="Arial" w:hAnsi="Arial"/>
          <w:sz w:val="22"/>
          <w:szCs w:val="22"/>
        </w:rPr>
        <w:t xml:space="preserve">Weekly technical updates via engineering Slack channels and sprint retrospective integration. Includes tool updates, new golden path templates, and upcoming governance changes with migration guides.</w:t>
      </w:r>
    </w:p>
    <w:p>
      <w:pPr>
        <w:pStyle w:val="ListParagraph"/>
        <w:numPr>
          <w:ilvl w:val="0"/>
          <w:numId w:val="5"/>
        </w:numPr>
        <w:spacing w:after="80"/>
      </w:pPr>
      <w:r>
        <w:rPr>
          <w:rFonts w:ascii="Arial" w:cs="Arial" w:eastAsia="Arial" w:hAnsi="Arial"/>
          <w:b/>
          <w:bCs/>
          <w:sz w:val="22"/>
          <w:szCs w:val="22"/>
        </w:rPr>
        <w:t xml:space="preserve">Broadcast Channel: </w:t>
      </w:r>
      <w:r>
        <w:rPr>
          <w:rFonts w:ascii="Arial" w:cs="Arial" w:eastAsia="Arial" w:hAnsi="Arial"/>
          <w:sz w:val="22"/>
          <w:szCs w:val="22"/>
        </w:rPr>
        <w:t xml:space="preserve">Quarterly all-hands presentations showcasing governance impact on delivery velocity, security posture, and cost optimization. Includes recognition of champion contributions and team achievements.</w:t>
      </w:r>
    </w:p>
    <w:p>
      <w:pPr>
        <w:pStyle w:val="ListParagraph"/>
        <w:numPr>
          <w:ilvl w:val="0"/>
          <w:numId w:val="5"/>
        </w:numPr>
        <w:spacing w:after="80"/>
      </w:pPr>
      <w:r>
        <w:rPr>
          <w:rFonts w:ascii="Arial" w:cs="Arial" w:eastAsia="Arial" w:hAnsi="Arial"/>
          <w:b/>
          <w:bCs/>
          <w:sz w:val="22"/>
          <w:szCs w:val="22"/>
        </w:rPr>
        <w:t xml:space="preserve">Self-Service Channel: </w:t>
      </w:r>
      <w:r>
        <w:rPr>
          <w:rFonts w:ascii="Arial" w:cs="Arial" w:eastAsia="Arial" w:hAnsi="Arial"/>
          <w:sz w:val="22"/>
          <w:szCs w:val="22"/>
        </w:rPr>
        <w:t xml:space="preserve">Continuously updated knowledge base with searchable governance documentation, decision records, FAQ sections, and AI-powered chat assistance for governance questions.</w:t>
      </w:r>
    </w:p>
    <w:p>
      <w:r>
        <w:br w:type="page"/>
      </w:r>
    </w:p>
    <w:p>
      <w:pPr>
        <w:pStyle w:val="Heading1"/>
        <w:spacing w:after="200" w:before="360"/>
      </w:pPr>
      <w:r>
        <w:rPr>
          <w:rFonts w:ascii="Arial" w:cs="Arial" w:eastAsia="Arial" w:hAnsi="Arial"/>
          <w:b/>
          <w:bCs/>
          <w:color w:val="1F3864"/>
          <w:sz w:val="32"/>
          <w:szCs w:val="32"/>
        </w:rPr>
        <w:t xml:space="preserve">X.6 Training and Capability Development</w:t>
      </w:r>
    </w:p>
    <w:p>
      <w:pPr>
        <w:pBdr>
          <w:bottom w:val="single" w:color="2E75B6" w:sz="6" w:space="1"/>
        </w:pBdr>
        <w:spacing w:after="200" w:before="200"/>
      </w:pPr>
    </w:p>
    <w:p>
      <w:pPr>
        <w:pStyle w:val="Heading2"/>
        <w:spacing w:after="160" w:before="280"/>
      </w:pPr>
      <w:r>
        <w:rPr>
          <w:rFonts w:ascii="Arial" w:cs="Arial" w:eastAsia="Arial" w:hAnsi="Arial"/>
          <w:b/>
          <w:bCs/>
          <w:color w:val="2E75B6"/>
          <w:sz w:val="28"/>
          <w:szCs w:val="28"/>
        </w:rPr>
        <w:t xml:space="preserve">X.6.1 Competency Framework</w:t>
      </w:r>
    </w:p>
    <w:p>
      <w:pPr>
        <w:spacing w:after="120"/>
      </w:pPr>
      <w:r>
        <w:rPr>
          <w:rFonts w:ascii="Arial" w:cs="Arial" w:eastAsia="Arial" w:hAnsi="Arial"/>
          <w:sz w:val="22"/>
          <w:szCs w:val="22"/>
        </w:rPr>
        <w:t xml:space="preserve">The competency framework defines the knowledge, skills, and abilities required for effective governance participation across all organizational roles. Competencies are organized in a progressive model that enables personalized learning paths aligned to role requirements and career development goals.</w:t>
      </w:r>
    </w:p>
    <w:p>
      <w:pPr>
        <w:pStyle w:val="Heading3"/>
        <w:spacing w:after="120" w:before="200"/>
      </w:pPr>
      <w:r>
        <w:rPr>
          <w:rFonts w:ascii="Arial" w:cs="Arial" w:eastAsia="Arial" w:hAnsi="Arial"/>
          <w:b/>
          <w:bCs/>
          <w:color w:val="1F3864"/>
          <w:sz w:val="24"/>
          <w:szCs w:val="24"/>
        </w:rPr>
        <w:t xml:space="preserve">Governance Competency Matrix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500"/>
        <w:gridCol w:w="2600"/>
        <w:gridCol w:w="2660"/>
      </w:tblGrid>
      <w:tr>
        <w:tc>
          <w:tcPr>
            <w:tcW w:type="dxa" w:w="1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F3864"/>
                <w:sz w:val="20"/>
                <w:szCs w:val="20"/>
              </w:rPr>
              <w:t xml:space="preserve">Competency Domain</w:t>
            </w:r>
          </w:p>
        </w:tc>
        <w:tc>
          <w:tcPr>
            <w:tcW w:type="dxa" w:w="25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F3864"/>
                <w:sz w:val="20"/>
                <w:szCs w:val="20"/>
              </w:rPr>
              <w:t xml:space="preserve">Foundation Level</w:t>
            </w:r>
          </w:p>
        </w:tc>
        <w:tc>
          <w:tcPr>
            <w:tcW w:type="dxa" w:w="2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F3864"/>
                <w:sz w:val="20"/>
                <w:szCs w:val="20"/>
              </w:rPr>
              <w:t xml:space="preserve">Practitioner Level</w:t>
            </w:r>
          </w:p>
        </w:tc>
        <w:tc>
          <w:tcPr>
            <w:tcW w:type="dxa" w:w="26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F3864"/>
                <w:sz w:val="20"/>
                <w:szCs w:val="20"/>
              </w:rPr>
              <w:t xml:space="preserve">Expert Level</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Security Engineering</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Secure coding basics; OWASP Top 10; dependency management</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Threat modeling; security architecture; penetration testing</w:t>
            </w:r>
          </w:p>
        </w:tc>
        <w:tc>
          <w:tcPr>
            <w:tcW w:type="dxa" w:w="2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Zero-trust design; cryptographic system design; security research</w:t>
            </w:r>
          </w:p>
        </w:tc>
      </w:tr>
      <w:tr>
        <w:tc>
          <w:tcPr>
            <w:tcW w:type="dxa" w:w="16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Quality Engineering</w:t>
            </w:r>
          </w:p>
        </w:tc>
        <w:tc>
          <w:tcPr>
            <w:tcW w:type="dxa" w:w="25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Unit testing; code review; basic CI/CD</w:t>
            </w:r>
          </w:p>
        </w:tc>
        <w:tc>
          <w:tcPr>
            <w:tcW w:type="dxa" w:w="26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Test strategy design; performance testing; chaos engineering</w:t>
            </w:r>
          </w:p>
        </w:tc>
        <w:tc>
          <w:tcPr>
            <w:tcW w:type="dxa" w:w="26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Quality architecture; AI-augmented testing; reliability engineering</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DevOps and Platform</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Git workflows; basic containerization; deployment pipelines</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Infrastructure-as-code; Kubernetes; observability design</w:t>
            </w:r>
          </w:p>
        </w:tc>
        <w:tc>
          <w:tcPr>
            <w:tcW w:type="dxa" w:w="2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Platform engineering; multi-cloud architecture; FinOps optimization</w:t>
            </w:r>
          </w:p>
        </w:tc>
      </w:tr>
      <w:tr>
        <w:tc>
          <w:tcPr>
            <w:tcW w:type="dxa" w:w="16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Compliance and Risk</w:t>
            </w:r>
          </w:p>
        </w:tc>
        <w:tc>
          <w:tcPr>
            <w:tcW w:type="dxa" w:w="25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Regulatory awareness; data classification; access controls</w:t>
            </w:r>
          </w:p>
        </w:tc>
        <w:tc>
          <w:tcPr>
            <w:tcW w:type="dxa" w:w="26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Compliance automation; risk assessment; audit preparation</w:t>
            </w:r>
          </w:p>
        </w:tc>
        <w:tc>
          <w:tcPr>
            <w:tcW w:type="dxa" w:w="26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Regulatory strategy; governance framework design; industry leadership</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AI and Automation</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AI tool usage; prompt engineering; automated workflows</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AI model evaluation; bias detection; AI pipeline integration</w:t>
            </w:r>
          </w:p>
        </w:tc>
        <w:tc>
          <w:tcPr>
            <w:tcW w:type="dxa" w:w="2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AI governance design; responsible AI frameworks; AI strategy</w:t>
            </w:r>
          </w:p>
        </w:tc>
      </w:tr>
    </w:tbl>
    <w:p>
      <w:pPr>
        <w:pStyle w:val="Heading2"/>
        <w:spacing w:after="160" w:before="280"/>
      </w:pPr>
      <w:r>
        <w:rPr>
          <w:rFonts w:ascii="Arial" w:cs="Arial" w:eastAsia="Arial" w:hAnsi="Arial"/>
          <w:b/>
          <w:bCs/>
          <w:color w:val="2E75B6"/>
          <w:sz w:val="28"/>
          <w:szCs w:val="28"/>
        </w:rPr>
        <w:t xml:space="preserve">X.6.2 AI-Personalized Learning Paths</w:t>
      </w:r>
    </w:p>
    <w:p>
      <w:pPr>
        <w:spacing w:after="120"/>
      </w:pPr>
      <w:r>
        <w:rPr>
          <w:rFonts w:ascii="Arial" w:cs="Arial" w:eastAsia="Arial" w:hAnsi="Arial"/>
          <w:sz w:val="22"/>
          <w:szCs w:val="22"/>
        </w:rPr>
        <w:t xml:space="preserve">The training platform leverages AI to create personalized learning experiences that adapt to each individual's current competency level, learning style preferences, role requirements, and career aspirations. The system continuously adjusts content difficulty, delivery format, and pacing based on performance data and engagement signals.</w:t>
      </w:r>
    </w:p>
    <w:p>
      <w:pPr>
        <w:pStyle w:val="ListParagraph"/>
        <w:numPr>
          <w:ilvl w:val="0"/>
          <w:numId w:val="6"/>
        </w:numPr>
        <w:spacing w:after="80"/>
      </w:pPr>
      <w:r>
        <w:rPr>
          <w:rFonts w:ascii="Arial" w:cs="Arial" w:eastAsia="Arial" w:hAnsi="Arial"/>
          <w:sz w:val="22"/>
          <w:szCs w:val="22"/>
        </w:rPr>
        <w:t xml:space="preserve">Competency Assessment: Automated skill evaluation through code review analysis, certification status, training history, and peer assessment generates a baseline competency profile for each team member.</w:t>
      </w:r>
    </w:p>
    <w:p>
      <w:pPr>
        <w:pStyle w:val="ListParagraph"/>
        <w:numPr>
          <w:ilvl w:val="0"/>
          <w:numId w:val="6"/>
        </w:numPr>
        <w:spacing w:after="80"/>
      </w:pPr>
      <w:r>
        <w:rPr>
          <w:rFonts w:ascii="Arial" w:cs="Arial" w:eastAsia="Arial" w:hAnsi="Arial"/>
          <w:sz w:val="22"/>
          <w:szCs w:val="22"/>
        </w:rPr>
        <w:t xml:space="preserve">Gap Analysis: AI compares current competency profiles against role requirements and target-state governance capabilities to identify priority learning areas for each individual.</w:t>
      </w:r>
    </w:p>
    <w:p>
      <w:pPr>
        <w:pStyle w:val="ListParagraph"/>
        <w:numPr>
          <w:ilvl w:val="0"/>
          <w:numId w:val="6"/>
        </w:numPr>
        <w:spacing w:after="80"/>
      </w:pPr>
      <w:r>
        <w:rPr>
          <w:rFonts w:ascii="Arial" w:cs="Arial" w:eastAsia="Arial" w:hAnsi="Arial"/>
          <w:sz w:val="22"/>
          <w:szCs w:val="22"/>
        </w:rPr>
        <w:t xml:space="preserve">Path Generation: Personalized learning paths are generated that sequence training modules, hands-on exercises, mentorship sessions, and certification milestones in an optimal progression order.</w:t>
      </w:r>
    </w:p>
    <w:p>
      <w:pPr>
        <w:pStyle w:val="ListParagraph"/>
        <w:numPr>
          <w:ilvl w:val="0"/>
          <w:numId w:val="6"/>
        </w:numPr>
        <w:spacing w:after="80"/>
      </w:pPr>
      <w:r>
        <w:rPr>
          <w:rFonts w:ascii="Arial" w:cs="Arial" w:eastAsia="Arial" w:hAnsi="Arial"/>
          <w:sz w:val="22"/>
          <w:szCs w:val="22"/>
        </w:rPr>
        <w:t xml:space="preserve">Adaptive Delivery: Content is delivered through the modality that best matches each learner's preferences and schedule: micro-learning modules, interactive labs, recorded sessions, or live workshops.</w:t>
      </w:r>
    </w:p>
    <w:p>
      <w:pPr>
        <w:pStyle w:val="ListParagraph"/>
        <w:numPr>
          <w:ilvl w:val="0"/>
          <w:numId w:val="6"/>
        </w:numPr>
        <w:spacing w:after="80"/>
      </w:pPr>
      <w:r>
        <w:rPr>
          <w:rFonts w:ascii="Arial" w:cs="Arial" w:eastAsia="Arial" w:hAnsi="Arial"/>
          <w:sz w:val="22"/>
          <w:szCs w:val="22"/>
        </w:rPr>
        <w:t xml:space="preserve">Progress Monitoring: Continuous tracking of learning progress, knowledge retention, and practical application with automated nudges for off-track learners and stretch assignments for fast progressors.</w:t>
      </w:r>
    </w:p>
    <w:p>
      <w:pPr>
        <w:pStyle w:val="Heading2"/>
        <w:spacing w:after="160" w:before="280"/>
      </w:pPr>
      <w:r>
        <w:rPr>
          <w:rFonts w:ascii="Arial" w:cs="Arial" w:eastAsia="Arial" w:hAnsi="Arial"/>
          <w:b/>
          <w:bCs/>
          <w:color w:val="2E75B6"/>
          <w:sz w:val="28"/>
          <w:szCs w:val="28"/>
        </w:rPr>
        <w:t xml:space="preserve">X.6.3 Training Delivery Models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800"/>
        <w:gridCol w:w="1200"/>
        <w:gridCol w:w="2000"/>
        <w:gridCol w:w="2960"/>
      </w:tblGrid>
      <w:tr>
        <w:tc>
          <w:tcPr>
            <w:tcW w:type="dxa" w:w="1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F3864"/>
                <w:sz w:val="20"/>
                <w:szCs w:val="20"/>
              </w:rPr>
              <w:t xml:space="preserve">Delivery Model</w:t>
            </w:r>
          </w:p>
        </w:tc>
        <w:tc>
          <w:tcPr>
            <w:tcW w:type="dxa" w:w="1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F3864"/>
                <w:sz w:val="20"/>
                <w:szCs w:val="20"/>
              </w:rPr>
              <w:t xml:space="preserve">Format</w:t>
            </w:r>
          </w:p>
        </w:tc>
        <w:tc>
          <w:tcPr>
            <w:tcW w:type="dxa" w:w="1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F3864"/>
                <w:sz w:val="20"/>
                <w:szCs w:val="20"/>
              </w:rPr>
              <w:t xml:space="preserve">Duration</w:t>
            </w:r>
          </w:p>
        </w:tc>
        <w:tc>
          <w:tcPr>
            <w:tcW w:type="dxa" w:w="2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F3864"/>
                <w:sz w:val="20"/>
                <w:szCs w:val="20"/>
              </w:rPr>
              <w:t xml:space="preserve">Use Case</w:t>
            </w:r>
          </w:p>
        </w:tc>
        <w:tc>
          <w:tcPr>
            <w:tcW w:type="dxa" w:w="29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F3864"/>
                <w:sz w:val="20"/>
                <w:szCs w:val="20"/>
              </w:rPr>
              <w:t xml:space="preserve">Effectiveness Metric</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Micro-Learning</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5-10 minute focused modules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Ongoing</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Just-in-time knowledge for specific tasks</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Task completion accuracy improvement</w:t>
            </w:r>
          </w:p>
        </w:tc>
      </w:tr>
      <w:tr>
        <w:tc>
          <w:tcPr>
            <w:tcW w:type="dxa" w:w="14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Workshop Labs</w:t>
            </w:r>
          </w:p>
        </w:tc>
        <w:tc>
          <w:tcPr>
            <w:tcW w:type="dxa" w:w="1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Hands-on instructor-led sessions</w:t>
            </w:r>
          </w:p>
        </w:tc>
        <w:tc>
          <w:tcPr>
            <w:tcW w:type="dxa" w:w="1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Half-day to full-day</w:t>
            </w:r>
          </w:p>
        </w:tc>
        <w:tc>
          <w:tcPr>
            <w:tcW w:type="dxa" w:w="2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New capability introduction; complex topics</w:t>
            </w:r>
          </w:p>
        </w:tc>
        <w:tc>
          <w:tcPr>
            <w:tcW w:type="dxa" w:w="29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Lab exercise completion rate</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Bootcamp</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Intensive immersive training</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3-5 days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Major technology transitions; new team onboarding</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Post-bootcamp certification pass rate</w:t>
            </w:r>
          </w:p>
        </w:tc>
      </w:tr>
      <w:tr>
        <w:tc>
          <w:tcPr>
            <w:tcW w:type="dxa" w:w="14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Pair Programming</w:t>
            </w:r>
          </w:p>
        </w:tc>
        <w:tc>
          <w:tcPr>
            <w:tcW w:type="dxa" w:w="1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One-on-one guided practice</w:t>
            </w:r>
          </w:p>
        </w:tc>
        <w:tc>
          <w:tcPr>
            <w:tcW w:type="dxa" w:w="1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1-4 hours per session</w:t>
            </w:r>
          </w:p>
        </w:tc>
        <w:tc>
          <w:tcPr>
            <w:tcW w:type="dxa" w:w="2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Skill transfer; complex problem solving</w:t>
            </w:r>
          </w:p>
        </w:tc>
        <w:tc>
          <w:tcPr>
            <w:tcW w:type="dxa" w:w="29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Code quality improvement in paired work</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Community Learning</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Peer-led knowledge sharing</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 hour weekly</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Best practice exchange; cross-team learning</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Community engagement and contribution</w:t>
            </w:r>
          </w:p>
        </w:tc>
      </w:tr>
      <w:tr>
        <w:tc>
          <w:tcPr>
            <w:tcW w:type="dxa" w:w="14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AI Coaching</w:t>
            </w:r>
          </w:p>
        </w:tc>
        <w:tc>
          <w:tcPr>
            <w:tcW w:type="dxa" w:w="1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AI-assisted real-time guidance</w:t>
            </w:r>
          </w:p>
        </w:tc>
        <w:tc>
          <w:tcPr>
            <w:tcW w:type="dxa" w:w="1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Continuous</w:t>
            </w:r>
          </w:p>
        </w:tc>
        <w:tc>
          <w:tcPr>
            <w:tcW w:type="dxa" w:w="2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In-context help during development activities</w:t>
            </w:r>
          </w:p>
        </w:tc>
        <w:tc>
          <w:tcPr>
            <w:tcW w:type="dxa" w:w="29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Guidance acceptance rate; error reduction</w:t>
            </w:r>
          </w:p>
        </w:tc>
      </w:tr>
    </w:tbl>
    <w:p>
      <w:pPr>
        <w:pStyle w:val="Heading2"/>
        <w:spacing w:after="160" w:before="280"/>
      </w:pPr>
      <w:r>
        <w:rPr>
          <w:rFonts w:ascii="Arial" w:cs="Arial" w:eastAsia="Arial" w:hAnsi="Arial"/>
          <w:b/>
          <w:bCs/>
          <w:color w:val="2E75B6"/>
          <w:sz w:val="28"/>
          <w:szCs w:val="28"/>
        </w:rPr>
        <w:t xml:space="preserve">X.6.4 Certification and Credentialing Program</w:t>
      </w:r>
    </w:p>
    <w:p>
      <w:pPr>
        <w:spacing w:after="120"/>
      </w:pPr>
      <w:r>
        <w:rPr>
          <w:rFonts w:ascii="Arial" w:cs="Arial" w:eastAsia="Arial" w:hAnsi="Arial"/>
          <w:sz w:val="22"/>
          <w:szCs w:val="22"/>
        </w:rPr>
        <w:t xml:space="preserve">The internal certification program provides formal recognition of governance competency achievement while creating incentive structures that drive voluntary skill development. Certifications are mapped to career progression frameworks and compensation bands to ensure organizational investment in governance capability translates into individual career benefits.</w:t>
      </w:r>
    </w:p>
    <w:p>
      <w:pPr>
        <w:pStyle w:val="ListParagraph"/>
        <w:numPr>
          <w:ilvl w:val="0"/>
          <w:numId w:val="5"/>
        </w:numPr>
        <w:spacing w:after="80"/>
      </w:pPr>
      <w:r>
        <w:rPr>
          <w:rFonts w:ascii="Arial" w:cs="Arial" w:eastAsia="Arial" w:hAnsi="Arial"/>
          <w:b/>
          <w:bCs/>
          <w:sz w:val="22"/>
          <w:szCs w:val="22"/>
        </w:rPr>
        <w:t xml:space="preserve">Governance Associate: </w:t>
      </w:r>
      <w:r>
        <w:rPr>
          <w:rFonts w:ascii="Arial" w:cs="Arial" w:eastAsia="Arial" w:hAnsi="Arial"/>
          <w:sz w:val="22"/>
          <w:szCs w:val="22"/>
        </w:rPr>
        <w:t xml:space="preserve">Foundation-level certification requiring completion of core governance modules, passing score on fundamentals assessment, and demonstrated application in one project cycle. Typical preparation time: 20-30 hours.</w:t>
      </w:r>
    </w:p>
    <w:p>
      <w:pPr>
        <w:pStyle w:val="ListParagraph"/>
        <w:numPr>
          <w:ilvl w:val="0"/>
          <w:numId w:val="5"/>
        </w:numPr>
        <w:spacing w:after="80"/>
      </w:pPr>
      <w:r>
        <w:rPr>
          <w:rFonts w:ascii="Arial" w:cs="Arial" w:eastAsia="Arial" w:hAnsi="Arial"/>
          <w:b/>
          <w:bCs/>
          <w:sz w:val="22"/>
          <w:szCs w:val="22"/>
        </w:rPr>
        <w:t xml:space="preserve">Governance Practitioner: </w:t>
      </w:r>
      <w:r>
        <w:rPr>
          <w:rFonts w:ascii="Arial" w:cs="Arial" w:eastAsia="Arial" w:hAnsi="Arial"/>
          <w:sz w:val="22"/>
          <w:szCs w:val="22"/>
        </w:rPr>
        <w:t xml:space="preserve">Mid-level certification requiring Governance Associate prerequisite, advanced module completion, case study submission, and peer endorsement from two certified practitioners. Typical preparation time: 40-60 hours.</w:t>
      </w:r>
    </w:p>
    <w:p>
      <w:pPr>
        <w:pStyle w:val="ListParagraph"/>
        <w:numPr>
          <w:ilvl w:val="0"/>
          <w:numId w:val="5"/>
        </w:numPr>
        <w:spacing w:after="80"/>
      </w:pPr>
      <w:r>
        <w:rPr>
          <w:rFonts w:ascii="Arial" w:cs="Arial" w:eastAsia="Arial" w:hAnsi="Arial"/>
          <w:b/>
          <w:bCs/>
          <w:sz w:val="22"/>
          <w:szCs w:val="22"/>
        </w:rPr>
        <w:t xml:space="preserve">Governance Expert: </w:t>
      </w:r>
      <w:r>
        <w:rPr>
          <w:rFonts w:ascii="Arial" w:cs="Arial" w:eastAsia="Arial" w:hAnsi="Arial"/>
          <w:sz w:val="22"/>
          <w:szCs w:val="22"/>
        </w:rPr>
        <w:t xml:space="preserve">Senior certification requiring Governance Practitioner prerequisite, original contribution to governance practices, community leadership demonstration, and review board assessment. Typical preparation time: 80-120 hours.</w:t>
      </w:r>
    </w:p>
    <w:p>
      <w:pPr>
        <w:pStyle w:val="ListParagraph"/>
        <w:numPr>
          <w:ilvl w:val="0"/>
          <w:numId w:val="5"/>
        </w:numPr>
        <w:spacing w:after="80"/>
      </w:pPr>
      <w:r>
        <w:rPr>
          <w:rFonts w:ascii="Arial" w:cs="Arial" w:eastAsia="Arial" w:hAnsi="Arial"/>
          <w:b/>
          <w:bCs/>
          <w:sz w:val="22"/>
          <w:szCs w:val="22"/>
        </w:rPr>
        <w:t xml:space="preserve">Governance Architect: </w:t>
      </w:r>
      <w:r>
        <w:rPr>
          <w:rFonts w:ascii="Arial" w:cs="Arial" w:eastAsia="Arial" w:hAnsi="Arial"/>
          <w:sz w:val="22"/>
          <w:szCs w:val="22"/>
        </w:rPr>
        <w:t xml:space="preserve">Elite certification requiring Governance Expert prerequisite, framework design contribution, cross-organizational impact demonstration, and executive panel review. Limited to individuals who have materially advanced the organization's governance capabilities.</w:t>
      </w:r>
    </w:p>
    <w:p>
      <w:r>
        <w:br w:type="page"/>
      </w:r>
    </w:p>
    <w:p>
      <w:pPr>
        <w:pStyle w:val="Heading1"/>
        <w:spacing w:after="200" w:before="360"/>
      </w:pPr>
      <w:r>
        <w:rPr>
          <w:rFonts w:ascii="Arial" w:cs="Arial" w:eastAsia="Arial" w:hAnsi="Arial"/>
          <w:b/>
          <w:bCs/>
          <w:color w:val="1F3864"/>
          <w:sz w:val="32"/>
          <w:szCs w:val="32"/>
        </w:rPr>
        <w:t xml:space="preserve">X.7 Center of Excellence Model</w:t>
      </w:r>
    </w:p>
    <w:p>
      <w:pPr>
        <w:pBdr>
          <w:bottom w:val="single" w:color="2E75B6" w:sz="6" w:space="1"/>
        </w:pBdr>
        <w:spacing w:after="200" w:before="200"/>
      </w:pPr>
    </w:p>
    <w:p>
      <w:pPr>
        <w:pStyle w:val="Heading2"/>
        <w:spacing w:after="160" w:before="280"/>
      </w:pPr>
      <w:r>
        <w:rPr>
          <w:rFonts w:ascii="Arial" w:cs="Arial" w:eastAsia="Arial" w:hAnsi="Arial"/>
          <w:b/>
          <w:bCs/>
          <w:color w:val="2E75B6"/>
          <w:sz w:val="28"/>
          <w:szCs w:val="28"/>
        </w:rPr>
        <w:t xml:space="preserve">X.7.1 CoE Operating Structure</w:t>
      </w:r>
    </w:p>
    <w:p>
      <w:pPr>
        <w:spacing w:after="120"/>
      </w:pPr>
      <w:r>
        <w:rPr>
          <w:rFonts w:ascii="Arial" w:cs="Arial" w:eastAsia="Arial" w:hAnsi="Arial"/>
          <w:sz w:val="22"/>
          <w:szCs w:val="22"/>
        </w:rPr>
        <w:t xml:space="preserve">The Governance Center of Excellence serves as the organizational hub for governance strategy, standards development, adoption support, and continuous improvement. The CoE operates as an enabling function rather than a control function, focused on making governance easy, fast, and valuable for development teams. The operating structure balances centralized standards with decentralized execution authority.</w:t>
      </w:r>
    </w:p>
    <w:p>
      <w:pPr>
        <w:pStyle w:val="Heading3"/>
        <w:spacing w:after="120" w:before="200"/>
      </w:pPr>
      <w:r>
        <w:rPr>
          <w:rFonts w:ascii="Arial" w:cs="Arial" w:eastAsia="Arial" w:hAnsi="Arial"/>
          <w:b/>
          <w:bCs/>
          <w:color w:val="1F3864"/>
          <w:sz w:val="24"/>
          <w:szCs w:val="24"/>
        </w:rPr>
        <w:t xml:space="preserve">CoE Organizational Model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200"/>
        <w:gridCol w:w="3200"/>
        <w:gridCol w:w="3160"/>
      </w:tblGrid>
      <w:tr>
        <w:tc>
          <w:tcPr>
            <w:tcW w:type="dxa" w:w="1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F3864"/>
                <w:sz w:val="20"/>
                <w:szCs w:val="20"/>
              </w:rPr>
              <w:t xml:space="preserve">Function</w:t>
            </w:r>
          </w:p>
        </w:tc>
        <w:tc>
          <w:tcPr>
            <w:tcW w:type="dxa" w:w="1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F3864"/>
                <w:sz w:val="20"/>
                <w:szCs w:val="20"/>
              </w:rPr>
              <w:t xml:space="preserve">Headcount</w:t>
            </w:r>
          </w:p>
        </w:tc>
        <w:tc>
          <w:tcPr>
            <w:tcW w:type="dxa" w:w="3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F3864"/>
                <w:sz w:val="20"/>
                <w:szCs w:val="20"/>
              </w:rPr>
              <w:t xml:space="preserve">Primary Responsibilities</w:t>
            </w:r>
          </w:p>
        </w:tc>
        <w:tc>
          <w:tcPr>
            <w:tcW w:type="dxa" w:w="31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F3864"/>
                <w:sz w:val="20"/>
                <w:szCs w:val="20"/>
              </w:rPr>
              <w:t xml:space="preserve">Key Deliverables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Governance Strategy</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2-3 FTE</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Framework evolution; industry alignment; executive reporting</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Quarterly strategy updates; annual maturity assessments</w:t>
            </w:r>
          </w:p>
        </w:tc>
      </w:tr>
      <w:tr>
        <w:tc>
          <w:tcPr>
            <w:tcW w:type="dxa" w:w="1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Standards Engineering</w:t>
            </w:r>
          </w:p>
        </w:tc>
        <w:tc>
          <w:tcPr>
            <w:tcW w:type="dxa" w:w="1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4-6 FTE</w:t>
            </w:r>
          </w:p>
        </w:tc>
        <w:tc>
          <w:tcPr>
            <w:tcW w:type="dxa" w:w="3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Policy codification; automated rule development; golden paths</w:t>
            </w:r>
          </w:p>
        </w:tc>
        <w:tc>
          <w:tcPr>
            <w:tcW w:type="dxa" w:w="31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Standards library; compliance-as-code rules; templates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Platform Engineering</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3-5 FTE</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Governance tooling; pipeline integration; developer experience</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Self-service portal; automated pipelines; developer tools</w:t>
            </w:r>
          </w:p>
        </w:tc>
      </w:tr>
      <w:tr>
        <w:tc>
          <w:tcPr>
            <w:tcW w:type="dxa" w:w="1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Adoption and Enablement</w:t>
            </w:r>
          </w:p>
        </w:tc>
        <w:tc>
          <w:tcPr>
            <w:tcW w:type="dxa" w:w="1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3-4 FTE</w:t>
            </w:r>
          </w:p>
        </w:tc>
        <w:tc>
          <w:tcPr>
            <w:tcW w:type="dxa" w:w="3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Training delivery; champion network; change management</w:t>
            </w:r>
          </w:p>
        </w:tc>
        <w:tc>
          <w:tcPr>
            <w:tcW w:type="dxa" w:w="31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Training curriculum; adoption dashboards; onboarding programs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Metrics and Analytics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2-3 FTE</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KPI measurement; trend analysis; reporting; benchmarking</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Executive dashboards; quarterly reports; ROI analyses</w:t>
            </w:r>
          </w:p>
        </w:tc>
      </w:tr>
      <w:tr>
        <w:tc>
          <w:tcPr>
            <w:tcW w:type="dxa" w:w="1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Community Management</w:t>
            </w:r>
          </w:p>
        </w:tc>
        <w:tc>
          <w:tcPr>
            <w:tcW w:type="dxa" w:w="1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1-2 FTE</w:t>
            </w:r>
          </w:p>
        </w:tc>
        <w:tc>
          <w:tcPr>
            <w:tcW w:type="dxa" w:w="3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Champion coordination; knowledge sharing; feedback synthesis</w:t>
            </w:r>
          </w:p>
        </w:tc>
        <w:tc>
          <w:tcPr>
            <w:tcW w:type="dxa" w:w="31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Community events; knowledge base; feedback reports</w:t>
            </w:r>
          </w:p>
        </w:tc>
      </w:tr>
    </w:tbl>
    <w:p>
      <w:pPr>
        <w:pStyle w:val="Heading2"/>
        <w:spacing w:after="160" w:before="280"/>
      </w:pPr>
      <w:r>
        <w:rPr>
          <w:rFonts w:ascii="Arial" w:cs="Arial" w:eastAsia="Arial" w:hAnsi="Arial"/>
          <w:b/>
          <w:bCs/>
          <w:color w:val="2E75B6"/>
          <w:sz w:val="28"/>
          <w:szCs w:val="28"/>
        </w:rPr>
        <w:t xml:space="preserve">X.7.2 Champion Network Architecture</w:t>
      </w:r>
    </w:p>
    <w:p>
      <w:pPr>
        <w:spacing w:after="120"/>
      </w:pPr>
      <w:r>
        <w:rPr>
          <w:rFonts w:ascii="Arial" w:cs="Arial" w:eastAsia="Arial" w:hAnsi="Arial"/>
          <w:sz w:val="22"/>
          <w:szCs w:val="22"/>
        </w:rPr>
        <w:t xml:space="preserve">The Champion Network extends CoE reach into every development team through embedded governance advocates who provide peer-level guidance, collect ground-truth feedback, and drive local adoption initiatives. Champions serve as the bridge between centralized governance strategy and decentralized team execution.</w:t>
      </w:r>
    </w:p>
    <w:p>
      <w:pPr>
        <w:pStyle w:val="Heading3"/>
        <w:spacing w:after="120" w:before="200"/>
      </w:pPr>
      <w:r>
        <w:rPr>
          <w:rFonts w:ascii="Arial" w:cs="Arial" w:eastAsia="Arial" w:hAnsi="Arial"/>
          <w:b/>
          <w:bCs/>
          <w:color w:val="1F3864"/>
          <w:sz w:val="24"/>
          <w:szCs w:val="24"/>
        </w:rPr>
        <w:t xml:space="preserve">Champion Role Framework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200"/>
        <w:gridCol w:w="3600"/>
        <w:gridCol w:w="2960"/>
      </w:tblGrid>
      <w:tr>
        <w:tc>
          <w:tcPr>
            <w:tcW w:type="dxa" w:w="1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F3864"/>
                <w:sz w:val="20"/>
                <w:szCs w:val="20"/>
              </w:rPr>
              <w:t xml:space="preserve">Champion Tier</w:t>
            </w:r>
          </w:p>
        </w:tc>
        <w:tc>
          <w:tcPr>
            <w:tcW w:type="dxa" w:w="1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F3864"/>
                <w:sz w:val="20"/>
                <w:szCs w:val="20"/>
              </w:rPr>
              <w:t xml:space="preserve">Commitment</w:t>
            </w:r>
          </w:p>
        </w:tc>
        <w:tc>
          <w:tcPr>
            <w:tcW w:type="dxa" w:w="3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F3864"/>
                <w:sz w:val="20"/>
                <w:szCs w:val="20"/>
              </w:rPr>
              <w:t xml:space="preserve">Responsibilities</w:t>
            </w:r>
          </w:p>
        </w:tc>
        <w:tc>
          <w:tcPr>
            <w:tcW w:type="dxa" w:w="29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F3864"/>
                <w:sz w:val="20"/>
                <w:szCs w:val="20"/>
              </w:rPr>
              <w:t xml:space="preserve">Recognition</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Advocate</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5% of time</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Attend monthly champion meetings; answer team governance questions; share feedback</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Champion badge; CoE Slack access; priority support</w:t>
            </w:r>
          </w:p>
        </w:tc>
      </w:tr>
      <w:tr>
        <w:tc>
          <w:tcPr>
            <w:tcW w:type="dxa" w:w="16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Practitioner</w:t>
            </w:r>
          </w:p>
        </w:tc>
        <w:tc>
          <w:tcPr>
            <w:tcW w:type="dxa" w:w="1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10% of time</w:t>
            </w:r>
          </w:p>
        </w:tc>
        <w:tc>
          <w:tcPr>
            <w:tcW w:type="dxa" w:w="36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Lead team governance adoption; contribute to standards reviews; mentor advocates</w:t>
            </w:r>
          </w:p>
        </w:tc>
        <w:tc>
          <w:tcPr>
            <w:tcW w:type="dxa" w:w="29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Quarterly recognition; conference budget; career credit</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Lead Champion</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20% of time</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Drive multi-team initiatives; develop training content; represent champion voice</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Annual award; leadership visibility; promotion pathway</w:t>
            </w:r>
          </w:p>
        </w:tc>
      </w:tr>
      <w:tr>
        <w:tc>
          <w:tcPr>
            <w:tcW w:type="dxa" w:w="16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Principal Champion</w:t>
            </w:r>
          </w:p>
        </w:tc>
        <w:tc>
          <w:tcPr>
            <w:tcW w:type="dxa" w:w="1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30% of time</w:t>
            </w:r>
          </w:p>
        </w:tc>
        <w:tc>
          <w:tcPr>
            <w:tcW w:type="dxa" w:w="36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Shape governance strategy; lead cross-organizational programs; external representation</w:t>
            </w:r>
          </w:p>
        </w:tc>
        <w:tc>
          <w:tcPr>
            <w:tcW w:type="dxa" w:w="29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Executive visibility; speaking opportunities; governance architect pathway</w:t>
            </w:r>
          </w:p>
        </w:tc>
      </w:tr>
    </w:tbl>
    <w:p>
      <w:pPr>
        <w:pStyle w:val="Heading2"/>
        <w:spacing w:after="160" w:before="280"/>
      </w:pPr>
      <w:r>
        <w:rPr>
          <w:rFonts w:ascii="Arial" w:cs="Arial" w:eastAsia="Arial" w:hAnsi="Arial"/>
          <w:b/>
          <w:bCs/>
          <w:color w:val="2E75B6"/>
          <w:sz w:val="28"/>
          <w:szCs w:val="28"/>
        </w:rPr>
        <w:t xml:space="preserve">X.7.3 CoE Service Catalog</w:t>
      </w:r>
    </w:p>
    <w:p>
      <w:pPr>
        <w:spacing w:after="120"/>
      </w:pPr>
      <w:r>
        <w:rPr>
          <w:rFonts w:ascii="Arial" w:cs="Arial" w:eastAsia="Arial" w:hAnsi="Arial"/>
          <w:sz w:val="22"/>
          <w:szCs w:val="22"/>
        </w:rPr>
        <w:t xml:space="preserve">The CoE provides a structured set of services to development teams, organized into self-service, assisted, and managed tiers to match the level of support to the complexity and criticality of each governance need.</w:t>
      </w:r>
    </w:p>
    <w:p>
      <w:pPr>
        <w:pStyle w:val="ListParagraph"/>
        <w:numPr>
          <w:ilvl w:val="0"/>
          <w:numId w:val="5"/>
        </w:numPr>
        <w:spacing w:after="80"/>
      </w:pPr>
      <w:r>
        <w:rPr>
          <w:rFonts w:ascii="Arial" w:cs="Arial" w:eastAsia="Arial" w:hAnsi="Arial"/>
          <w:b/>
          <w:bCs/>
          <w:sz w:val="22"/>
          <w:szCs w:val="22"/>
        </w:rPr>
        <w:t xml:space="preserve">Self-Service Tier: </w:t>
      </w:r>
      <w:r>
        <w:rPr>
          <w:rFonts w:ascii="Arial" w:cs="Arial" w:eastAsia="Arial" w:hAnsi="Arial"/>
          <w:sz w:val="22"/>
          <w:szCs w:val="22"/>
        </w:rPr>
        <w:t xml:space="preserve">Golden path templates, automated compliance scanning, governance documentation portal, AI-powered governance chatbot, standard pipeline configurations, and pre-approved technology selections. Available 24/7 with no CoE involvement required.</w:t>
      </w:r>
    </w:p>
    <w:p>
      <w:pPr>
        <w:pStyle w:val="ListParagraph"/>
        <w:numPr>
          <w:ilvl w:val="0"/>
          <w:numId w:val="5"/>
        </w:numPr>
        <w:spacing w:after="80"/>
      </w:pPr>
      <w:r>
        <w:rPr>
          <w:rFonts w:ascii="Arial" w:cs="Arial" w:eastAsia="Arial" w:hAnsi="Arial"/>
          <w:b/>
          <w:bCs/>
          <w:sz w:val="22"/>
          <w:szCs w:val="22"/>
        </w:rPr>
        <w:t xml:space="preserve">Assisted Tier: </w:t>
      </w:r>
      <w:r>
        <w:rPr>
          <w:rFonts w:ascii="Arial" w:cs="Arial" w:eastAsia="Arial" w:hAnsi="Arial"/>
          <w:sz w:val="22"/>
          <w:szCs w:val="22"/>
        </w:rPr>
        <w:t xml:space="preserve">Architecture review consultations, security assessment guidance, compliance gap analysis, custom pipeline configuration, and training session scheduling. Response SLA of two business days with champion-assisted triage.</w:t>
      </w:r>
    </w:p>
    <w:p>
      <w:pPr>
        <w:pStyle w:val="ListParagraph"/>
        <w:numPr>
          <w:ilvl w:val="0"/>
          <w:numId w:val="5"/>
        </w:numPr>
        <w:spacing w:after="80"/>
      </w:pPr>
      <w:r>
        <w:rPr>
          <w:rFonts w:ascii="Arial" w:cs="Arial" w:eastAsia="Arial" w:hAnsi="Arial"/>
          <w:b/>
          <w:bCs/>
          <w:sz w:val="22"/>
          <w:szCs w:val="22"/>
        </w:rPr>
        <w:t xml:space="preserve">Managed Tier: </w:t>
      </w:r>
      <w:r>
        <w:rPr>
          <w:rFonts w:ascii="Arial" w:cs="Arial" w:eastAsia="Arial" w:hAnsi="Arial"/>
          <w:sz w:val="22"/>
          <w:szCs w:val="22"/>
        </w:rPr>
        <w:t xml:space="preserve">Enterprise governance strategy development, complex compliance program management, regulatory assessment coordination, governance exception adjudication, and executive reporting. Engagement through formal service request with dedicated CoE assignment.</w:t>
      </w:r>
    </w:p>
    <w:p>
      <w:r>
        <w:br w:type="page"/>
      </w:r>
    </w:p>
    <w:p>
      <w:pPr>
        <w:pStyle w:val="Heading1"/>
        <w:spacing w:after="200" w:before="360"/>
      </w:pPr>
      <w:r>
        <w:rPr>
          <w:rFonts w:ascii="Arial" w:cs="Arial" w:eastAsia="Arial" w:hAnsi="Arial"/>
          <w:b/>
          <w:bCs/>
          <w:color w:val="1F3864"/>
          <w:sz w:val="32"/>
          <w:szCs w:val="32"/>
        </w:rPr>
        <w:t xml:space="preserve">X.8 Developer Experience and Productivity</w:t>
      </w:r>
    </w:p>
    <w:p>
      <w:pPr>
        <w:pBdr>
          <w:bottom w:val="single" w:color="2E75B6" w:sz="6" w:space="1"/>
        </w:pBdr>
        <w:spacing w:after="200" w:before="200"/>
      </w:pPr>
    </w:p>
    <w:p>
      <w:pPr>
        <w:pStyle w:val="Heading2"/>
        <w:spacing w:after="160" w:before="280"/>
      </w:pPr>
      <w:r>
        <w:rPr>
          <w:rFonts w:ascii="Arial" w:cs="Arial" w:eastAsia="Arial" w:hAnsi="Arial"/>
          <w:b/>
          <w:bCs/>
          <w:color w:val="2E75B6"/>
          <w:sz w:val="28"/>
          <w:szCs w:val="28"/>
        </w:rPr>
        <w:t xml:space="preserve">X.8.1 Developer Experience Principles</w:t>
      </w:r>
    </w:p>
    <w:p>
      <w:pPr>
        <w:spacing w:after="120"/>
      </w:pPr>
      <w:r>
        <w:rPr>
          <w:rFonts w:ascii="Arial" w:cs="Arial" w:eastAsia="Arial" w:hAnsi="Arial"/>
          <w:sz w:val="22"/>
          <w:szCs w:val="22"/>
        </w:rPr>
        <w:t xml:space="preserve">Developer experience is the primary determinant of governance adoption success. When governed pathways are faster, easier, and more reliable than ungoverned alternatives, compliance becomes a natural consequence of rational developer behavior rather than an imposed requirement. The developer experience strategy optimizes every governance touchpoint to minimize friction while maximizing the value developers receive from governance participation.</w:t>
      </w:r>
    </w:p>
    <w:p>
      <w:pPr>
        <w:pStyle w:val="Heading3"/>
        <w:spacing w:after="120" w:before="200"/>
      </w:pPr>
      <w:r>
        <w:rPr>
          <w:rFonts w:ascii="Arial" w:cs="Arial" w:eastAsia="Arial" w:hAnsi="Arial"/>
          <w:b/>
          <w:bCs/>
          <w:color w:val="1F3864"/>
          <w:sz w:val="24"/>
          <w:szCs w:val="24"/>
        </w:rPr>
        <w:t xml:space="preserve">Core DX Principles for Governance</w:t>
      </w:r>
    </w:p>
    <w:p>
      <w:pPr>
        <w:pStyle w:val="ListParagraph"/>
        <w:numPr>
          <w:ilvl w:val="0"/>
          <w:numId w:val="7"/>
        </w:numPr>
        <w:spacing w:after="80"/>
      </w:pPr>
      <w:r>
        <w:rPr>
          <w:rFonts w:ascii="Arial" w:cs="Arial" w:eastAsia="Arial" w:hAnsi="Arial"/>
          <w:sz w:val="22"/>
          <w:szCs w:val="22"/>
        </w:rPr>
        <w:t xml:space="preserve">Golden Path Superiority: The governed path should always be the fastest path. If governance adds friction, the governance implementation is the problem, not the developer.</w:t>
      </w:r>
    </w:p>
    <w:p>
      <w:pPr>
        <w:pStyle w:val="ListParagraph"/>
        <w:numPr>
          <w:ilvl w:val="0"/>
          <w:numId w:val="7"/>
        </w:numPr>
        <w:spacing w:after="80"/>
      </w:pPr>
      <w:r>
        <w:rPr>
          <w:rFonts w:ascii="Arial" w:cs="Arial" w:eastAsia="Arial" w:hAnsi="Arial"/>
          <w:sz w:val="22"/>
          <w:szCs w:val="22"/>
        </w:rPr>
        <w:t xml:space="preserve">Progressive Disclosure: Show developers only the governance information relevant to their current task. Hide complexity until it is needed.</w:t>
      </w:r>
    </w:p>
    <w:p>
      <w:pPr>
        <w:pStyle w:val="ListParagraph"/>
        <w:numPr>
          <w:ilvl w:val="0"/>
          <w:numId w:val="7"/>
        </w:numPr>
        <w:spacing w:after="80"/>
      </w:pPr>
      <w:r>
        <w:rPr>
          <w:rFonts w:ascii="Arial" w:cs="Arial" w:eastAsia="Arial" w:hAnsi="Arial"/>
          <w:sz w:val="22"/>
          <w:szCs w:val="22"/>
        </w:rPr>
        <w:t xml:space="preserve">Immediate Feedback: Governance violations should be detected and communicated within seconds, not hours or days. Shift-left is not sufficient; shift-instant is the target.</w:t>
      </w:r>
    </w:p>
    <w:p>
      <w:pPr>
        <w:pStyle w:val="ListParagraph"/>
        <w:numPr>
          <w:ilvl w:val="0"/>
          <w:numId w:val="7"/>
        </w:numPr>
        <w:spacing w:after="80"/>
      </w:pPr>
      <w:r>
        <w:rPr>
          <w:rFonts w:ascii="Arial" w:cs="Arial" w:eastAsia="Arial" w:hAnsi="Arial"/>
          <w:sz w:val="22"/>
          <w:szCs w:val="22"/>
        </w:rPr>
        <w:t xml:space="preserve">Automated Remediation: Wherever possible, governance tooling should fix violations automatically rather than merely reporting them. Developers should approve fixes, not create them.</w:t>
      </w:r>
    </w:p>
    <w:p>
      <w:pPr>
        <w:pStyle w:val="ListParagraph"/>
        <w:numPr>
          <w:ilvl w:val="0"/>
          <w:numId w:val="7"/>
        </w:numPr>
        <w:spacing w:after="80"/>
      </w:pPr>
      <w:r>
        <w:rPr>
          <w:rFonts w:ascii="Arial" w:cs="Arial" w:eastAsia="Arial" w:hAnsi="Arial"/>
          <w:sz w:val="22"/>
          <w:szCs w:val="22"/>
        </w:rPr>
        <w:t xml:space="preserve">Context Preservation: Governance interactions should never force context switches. IDE integrations, inline annotations, and in-workflow guidance keep developers in flow state.</w:t>
      </w:r>
    </w:p>
    <w:p>
      <w:pPr>
        <w:pStyle w:val="Heading2"/>
        <w:spacing w:after="160" w:before="280"/>
      </w:pPr>
      <w:r>
        <w:rPr>
          <w:rFonts w:ascii="Arial" w:cs="Arial" w:eastAsia="Arial" w:hAnsi="Arial"/>
          <w:b/>
          <w:bCs/>
          <w:color w:val="2E75B6"/>
          <w:sz w:val="28"/>
          <w:szCs w:val="28"/>
        </w:rPr>
        <w:t xml:space="preserve">X.8.2 Developer Productivity Metrics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200"/>
        <w:gridCol w:w="2400"/>
        <w:gridCol w:w="3360"/>
      </w:tblGrid>
      <w:tr>
        <w:tc>
          <w:tcPr>
            <w:tcW w:type="dxa" w:w="1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F3864"/>
                <w:sz w:val="20"/>
                <w:szCs w:val="20"/>
              </w:rPr>
              <w:t xml:space="preserve">Metric Category</w:t>
            </w:r>
          </w:p>
        </w:tc>
        <w:tc>
          <w:tcPr>
            <w:tcW w:type="dxa" w:w="2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F3864"/>
                <w:sz w:val="20"/>
                <w:szCs w:val="20"/>
              </w:rPr>
              <w:t xml:space="preserve">Metric</w:t>
            </w:r>
          </w:p>
        </w:tc>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F3864"/>
                <w:sz w:val="20"/>
                <w:szCs w:val="20"/>
              </w:rPr>
              <w:t xml:space="preserve">Target</w:t>
            </w:r>
          </w:p>
        </w:tc>
        <w:tc>
          <w:tcPr>
            <w:tcW w:type="dxa" w:w="33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F3864"/>
                <w:sz w:val="20"/>
                <w:szCs w:val="20"/>
              </w:rPr>
              <w:t xml:space="preserve">Measurement Method</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Flow Efficiency</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Time from commit to production deploy</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&lt; 2 hours for standard changes</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Pipeline telemetry</w:t>
            </w:r>
          </w:p>
        </w:tc>
      </w:tr>
      <w:tr>
        <w:tc>
          <w:tcPr>
            <w:tcW w:type="dxa" w:w="14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Flow Efficiency</w:t>
            </w:r>
          </w:p>
        </w:tc>
        <w:tc>
          <w:tcPr>
            <w:tcW w:type="dxa" w:w="2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Governance gate pass rate on first attempt</w:t>
            </w:r>
          </w:p>
        </w:tc>
        <w:tc>
          <w:tcPr>
            <w:tcW w:type="dxa" w:w="24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&gt; 90%</w:t>
            </w:r>
          </w:p>
        </w:tc>
        <w:tc>
          <w:tcPr>
            <w:tcW w:type="dxa" w:w="33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Pipeline gate analytics</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Cognitive Load</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Time to resolve governance violations</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&lt; 15 minutes average</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Issue tracking integration</w:t>
            </w:r>
          </w:p>
        </w:tc>
      </w:tr>
      <w:tr>
        <w:tc>
          <w:tcPr>
            <w:tcW w:type="dxa" w:w="14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Cognitive Load</w:t>
            </w:r>
          </w:p>
        </w:tc>
        <w:tc>
          <w:tcPr>
            <w:tcW w:type="dxa" w:w="2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Governance-related context switches per day</w:t>
            </w:r>
          </w:p>
        </w:tc>
        <w:tc>
          <w:tcPr>
            <w:tcW w:type="dxa" w:w="24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&lt; 3</w:t>
            </w:r>
          </w:p>
        </w:tc>
        <w:tc>
          <w:tcPr>
            <w:tcW w:type="dxa" w:w="33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Developer survey and tool telemetry</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Satisfaction</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Developer satisfaction with governance tooling</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&gt; 4.0/5.0</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Quarterly developer survey</w:t>
            </w:r>
          </w:p>
        </w:tc>
      </w:tr>
      <w:tr>
        <w:tc>
          <w:tcPr>
            <w:tcW w:type="dxa" w:w="14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Satisfaction</w:t>
            </w:r>
          </w:p>
        </w:tc>
        <w:tc>
          <w:tcPr>
            <w:tcW w:type="dxa" w:w="2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Net Promoter Score for governance experience</w:t>
            </w:r>
          </w:p>
        </w:tc>
        <w:tc>
          <w:tcPr>
            <w:tcW w:type="dxa" w:w="24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&gt; 30</w:t>
            </w:r>
          </w:p>
        </w:tc>
        <w:tc>
          <w:tcPr>
            <w:tcW w:type="dxa" w:w="33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Annual NPS survey</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Productivity</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Lines of governance-compliant code per developer-day</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Trending upward</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Repository analytics</w:t>
            </w:r>
          </w:p>
        </w:tc>
      </w:tr>
      <w:tr>
        <w:tc>
          <w:tcPr>
            <w:tcW w:type="dxa" w:w="14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Productivity</w:t>
            </w:r>
          </w:p>
        </w:tc>
        <w:tc>
          <w:tcPr>
            <w:tcW w:type="dxa" w:w="2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Percentage of time spent on governance overhead</w:t>
            </w:r>
          </w:p>
        </w:tc>
        <w:tc>
          <w:tcPr>
            <w:tcW w:type="dxa" w:w="24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&lt; 10%</w:t>
            </w:r>
          </w:p>
        </w:tc>
        <w:tc>
          <w:tcPr>
            <w:tcW w:type="dxa" w:w="33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Time tracking analysis</w:t>
            </w:r>
          </w:p>
        </w:tc>
      </w:tr>
    </w:tbl>
    <w:p>
      <w:pPr>
        <w:pStyle w:val="Heading2"/>
        <w:spacing w:after="160" w:before="280"/>
      </w:pPr>
      <w:r>
        <w:rPr>
          <w:rFonts w:ascii="Arial" w:cs="Arial" w:eastAsia="Arial" w:hAnsi="Arial"/>
          <w:b/>
          <w:bCs/>
          <w:color w:val="2E75B6"/>
          <w:sz w:val="28"/>
          <w:szCs w:val="28"/>
        </w:rPr>
        <w:t xml:space="preserve">X.8.3 Internal Developer Platform Integration</w:t>
      </w:r>
    </w:p>
    <w:p>
      <w:pPr>
        <w:spacing w:after="120"/>
      </w:pPr>
      <w:r>
        <w:rPr>
          <w:rFonts w:ascii="Arial" w:cs="Arial" w:eastAsia="Arial" w:hAnsi="Arial"/>
          <w:sz w:val="22"/>
          <w:szCs w:val="22"/>
        </w:rPr>
        <w:t xml:space="preserve">Governance capabilities are embedded natively within the Internal Developer Platform (IDP), ensuring that governance is an invisible, integrated aspect of the standard development workflow rather than a separate system requiring conscious engagement. The IDP serves as the single interface through which developers interact with all governance controls.</w:t>
      </w:r>
    </w:p>
    <w:p>
      <w:pPr>
        <w:pStyle w:val="ListParagraph"/>
        <w:numPr>
          <w:ilvl w:val="0"/>
          <w:numId w:val="5"/>
        </w:numPr>
        <w:spacing w:after="80"/>
      </w:pPr>
      <w:r>
        <w:rPr>
          <w:rFonts w:ascii="Arial" w:cs="Arial" w:eastAsia="Arial" w:hAnsi="Arial"/>
          <w:b/>
          <w:bCs/>
          <w:sz w:val="22"/>
          <w:szCs w:val="22"/>
        </w:rPr>
        <w:t xml:space="preserve">Service Catalog: </w:t>
      </w:r>
      <w:r>
        <w:rPr>
          <w:rFonts w:ascii="Arial" w:cs="Arial" w:eastAsia="Arial" w:hAnsi="Arial"/>
          <w:sz w:val="22"/>
          <w:szCs w:val="22"/>
        </w:rPr>
        <w:t xml:space="preserve">Pre-configured service templates with governance requirements automatically embedded based on application tier classification. Developers select a template and receive a fully governed project scaffold with CI/CD pipelines, security scanning, monitoring, and compliance controls pre-configured.</w:t>
      </w:r>
    </w:p>
    <w:p>
      <w:pPr>
        <w:pStyle w:val="ListParagraph"/>
        <w:numPr>
          <w:ilvl w:val="0"/>
          <w:numId w:val="5"/>
        </w:numPr>
        <w:spacing w:after="80"/>
      </w:pPr>
      <w:r>
        <w:rPr>
          <w:rFonts w:ascii="Arial" w:cs="Arial" w:eastAsia="Arial" w:hAnsi="Arial"/>
          <w:b/>
          <w:bCs/>
          <w:sz w:val="22"/>
          <w:szCs w:val="22"/>
        </w:rPr>
        <w:t xml:space="preserve">Self-Service Portal: </w:t>
      </w:r>
      <w:r>
        <w:rPr>
          <w:rFonts w:ascii="Arial" w:cs="Arial" w:eastAsia="Arial" w:hAnsi="Arial"/>
          <w:sz w:val="22"/>
          <w:szCs w:val="22"/>
        </w:rPr>
        <w:t xml:space="preserve">Single pane of glass for governance status, compliance scores, security findings, and remediation guidance. Developers can view their team's governance posture, track improvement trends, and access all governance documentation without leaving the platform.</w:t>
      </w:r>
    </w:p>
    <w:p>
      <w:pPr>
        <w:pStyle w:val="ListParagraph"/>
        <w:numPr>
          <w:ilvl w:val="0"/>
          <w:numId w:val="5"/>
        </w:numPr>
        <w:spacing w:after="80"/>
      </w:pPr>
      <w:r>
        <w:rPr>
          <w:rFonts w:ascii="Arial" w:cs="Arial" w:eastAsia="Arial" w:hAnsi="Arial"/>
          <w:b/>
          <w:bCs/>
          <w:sz w:val="22"/>
          <w:szCs w:val="22"/>
        </w:rPr>
        <w:t xml:space="preserve">API-First Governance: </w:t>
      </w:r>
      <w:r>
        <w:rPr>
          <w:rFonts w:ascii="Arial" w:cs="Arial" w:eastAsia="Arial" w:hAnsi="Arial"/>
          <w:sz w:val="22"/>
          <w:szCs w:val="22"/>
        </w:rPr>
        <w:t xml:space="preserve">All governance controls are accessible through well-documented APIs, enabling teams to build custom integrations and automation that extend the standard governance capabilities for domain-specific requirements.</w:t>
      </w:r>
    </w:p>
    <w:p>
      <w:r>
        <w:br w:type="page"/>
      </w:r>
    </w:p>
    <w:p>
      <w:pPr>
        <w:pStyle w:val="Heading1"/>
        <w:spacing w:after="200" w:before="360"/>
      </w:pPr>
      <w:r>
        <w:rPr>
          <w:rFonts w:ascii="Arial" w:cs="Arial" w:eastAsia="Arial" w:hAnsi="Arial"/>
          <w:b/>
          <w:bCs/>
          <w:color w:val="1F3864"/>
          <w:sz w:val="32"/>
          <w:szCs w:val="32"/>
        </w:rPr>
        <w:t xml:space="preserve">X.9 Adoption Metrics and Success Measurement</w:t>
      </w:r>
    </w:p>
    <w:p>
      <w:pPr>
        <w:pBdr>
          <w:bottom w:val="single" w:color="2E75B6" w:sz="6" w:space="1"/>
        </w:pBdr>
        <w:spacing w:after="200" w:before="200"/>
      </w:pPr>
    </w:p>
    <w:p>
      <w:pPr>
        <w:pStyle w:val="Heading2"/>
        <w:spacing w:after="160" w:before="280"/>
      </w:pPr>
      <w:r>
        <w:rPr>
          <w:rFonts w:ascii="Arial" w:cs="Arial" w:eastAsia="Arial" w:hAnsi="Arial"/>
          <w:b/>
          <w:bCs/>
          <w:color w:val="2E75B6"/>
          <w:sz w:val="28"/>
          <w:szCs w:val="28"/>
        </w:rPr>
        <w:t xml:space="preserve">X.9.1 Adoption Measurement Framework</w:t>
      </w:r>
    </w:p>
    <w:p>
      <w:pPr>
        <w:spacing w:after="120"/>
      </w:pPr>
      <w:r>
        <w:rPr>
          <w:rFonts w:ascii="Arial" w:cs="Arial" w:eastAsia="Arial" w:hAnsi="Arial"/>
          <w:sz w:val="22"/>
          <w:szCs w:val="22"/>
        </w:rPr>
        <w:t xml:space="preserve">Adoption measurement follows a multi-dimensional framework that tracks both quantitative adoption indicators and qualitative experience signals. The framework recognizes that true adoption extends beyond tool usage metrics to encompass behavioral change, cultural integration, and value realization.</w:t>
      </w:r>
    </w:p>
    <w:p>
      <w:pPr>
        <w:pStyle w:val="Heading3"/>
        <w:spacing w:after="120" w:before="200"/>
      </w:pPr>
      <w:r>
        <w:rPr>
          <w:rFonts w:ascii="Arial" w:cs="Arial" w:eastAsia="Arial" w:hAnsi="Arial"/>
          <w:b/>
          <w:bCs/>
          <w:color w:val="1F3864"/>
          <w:sz w:val="24"/>
          <w:szCs w:val="24"/>
        </w:rPr>
        <w:t xml:space="preserve">Adoption KPI Dashboard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800"/>
        <w:gridCol w:w="2000"/>
        <w:gridCol w:w="3160"/>
      </w:tblGrid>
      <w:tr>
        <w:tc>
          <w:tcPr>
            <w:tcW w:type="dxa" w:w="1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F3864"/>
                <w:sz w:val="20"/>
                <w:szCs w:val="20"/>
              </w:rPr>
              <w:t xml:space="preserve">KPI Category</w:t>
            </w:r>
          </w:p>
        </w:tc>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F3864"/>
                <w:sz w:val="20"/>
                <w:szCs w:val="20"/>
              </w:rPr>
              <w:t xml:space="preserve">Metric</w:t>
            </w:r>
          </w:p>
        </w:tc>
        <w:tc>
          <w:tcPr>
            <w:tcW w:type="dxa" w:w="2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F3864"/>
                <w:sz w:val="20"/>
                <w:szCs w:val="20"/>
              </w:rPr>
              <w:t xml:space="preserve">Target</w:t>
            </w:r>
          </w:p>
        </w:tc>
        <w:tc>
          <w:tcPr>
            <w:tcW w:type="dxa" w:w="31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F3864"/>
                <w:sz w:val="20"/>
                <w:szCs w:val="20"/>
              </w:rPr>
              <w:t xml:space="preserve">Measurement Frequency</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Reach</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Percentage of teams using governed pipelines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&gt; 95%</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Weekly</w:t>
            </w:r>
          </w:p>
        </w:tc>
      </w:tr>
      <w:tr>
        <w:tc>
          <w:tcPr>
            <w:tcW w:type="dxa" w:w="14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Reach</w:t>
            </w:r>
          </w:p>
        </w:tc>
        <w:tc>
          <w:tcPr>
            <w:tcW w:type="dxa" w:w="2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Percentage of applications with governance scores</w:t>
            </w:r>
          </w:p>
        </w:tc>
        <w:tc>
          <w:tcPr>
            <w:tcW w:type="dxa" w:w="2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&gt; 90%</w:t>
            </w:r>
          </w:p>
        </w:tc>
        <w:tc>
          <w:tcPr>
            <w:tcW w:type="dxa" w:w="31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Weekly</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Depth</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Average governance compliance score across portfolio</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&gt; 85/100</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Weekly</w:t>
            </w:r>
          </w:p>
        </w:tc>
      </w:tr>
      <w:tr>
        <w:tc>
          <w:tcPr>
            <w:tcW w:type="dxa" w:w="14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Depth</w:t>
            </w:r>
          </w:p>
        </w:tc>
        <w:tc>
          <w:tcPr>
            <w:tcW w:type="dxa" w:w="2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Percentage of automated governance checks vs. manual</w:t>
            </w:r>
          </w:p>
        </w:tc>
        <w:tc>
          <w:tcPr>
            <w:tcW w:type="dxa" w:w="2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&gt; 80%</w:t>
            </w:r>
          </w:p>
        </w:tc>
        <w:tc>
          <w:tcPr>
            <w:tcW w:type="dxa" w:w="31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Monthly</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Velocity</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Time to achieve governance compliance for new projects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&lt; 1 day</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Per project</w:t>
            </w:r>
          </w:p>
        </w:tc>
      </w:tr>
      <w:tr>
        <w:tc>
          <w:tcPr>
            <w:tcW w:type="dxa" w:w="14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Velocity</w:t>
            </w:r>
          </w:p>
        </w:tc>
        <w:tc>
          <w:tcPr>
            <w:tcW w:type="dxa" w:w="2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Governance onboarding completion time for new teams</w:t>
            </w:r>
          </w:p>
        </w:tc>
        <w:tc>
          <w:tcPr>
            <w:tcW w:type="dxa" w:w="2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&lt; 2 weeks</w:t>
            </w:r>
          </w:p>
        </w:tc>
        <w:tc>
          <w:tcPr>
            <w:tcW w:type="dxa" w:w="31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Per team</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Quality</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Governance-related production incidents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Trending to zero</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Monthly</w:t>
            </w:r>
          </w:p>
        </w:tc>
      </w:tr>
      <w:tr>
        <w:tc>
          <w:tcPr>
            <w:tcW w:type="dxa" w:w="14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Quality</w:t>
            </w:r>
          </w:p>
        </w:tc>
        <w:tc>
          <w:tcPr>
            <w:tcW w:type="dxa" w:w="2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Security vulnerability escape rate</w:t>
            </w:r>
          </w:p>
        </w:tc>
        <w:tc>
          <w:tcPr>
            <w:tcW w:type="dxa" w:w="2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&lt; 2%</w:t>
            </w:r>
          </w:p>
        </w:tc>
        <w:tc>
          <w:tcPr>
            <w:tcW w:type="dxa" w:w="31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Monthly</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Satisfaction</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Developer governance satisfaction score</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&gt; 4.0/5.0</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Quarterly</w:t>
            </w:r>
          </w:p>
        </w:tc>
      </w:tr>
      <w:tr>
        <w:tc>
          <w:tcPr>
            <w:tcW w:type="dxa" w:w="14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Satisfaction</w:t>
            </w:r>
          </w:p>
        </w:tc>
        <w:tc>
          <w:tcPr>
            <w:tcW w:type="dxa" w:w="2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Champion network participation rate</w:t>
            </w:r>
          </w:p>
        </w:tc>
        <w:tc>
          <w:tcPr>
            <w:tcW w:type="dxa" w:w="2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&gt; 15% of engineering</w:t>
            </w:r>
          </w:p>
        </w:tc>
        <w:tc>
          <w:tcPr>
            <w:tcW w:type="dxa" w:w="31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Quarterly</w:t>
            </w:r>
          </w:p>
        </w:tc>
      </w:tr>
    </w:tbl>
    <w:p>
      <w:pPr>
        <w:pStyle w:val="Heading2"/>
        <w:spacing w:after="160" w:before="280"/>
      </w:pPr>
      <w:r>
        <w:rPr>
          <w:rFonts w:ascii="Arial" w:cs="Arial" w:eastAsia="Arial" w:hAnsi="Arial"/>
          <w:b/>
          <w:bCs/>
          <w:color w:val="2E75B6"/>
          <w:sz w:val="28"/>
          <w:szCs w:val="28"/>
        </w:rPr>
        <w:t xml:space="preserve">X.9.2 Adoption Health Scoring Model</w:t>
      </w:r>
    </w:p>
    <w:p>
      <w:pPr>
        <w:spacing w:after="120"/>
      </w:pPr>
      <w:r>
        <w:rPr>
          <w:rFonts w:ascii="Arial" w:cs="Arial" w:eastAsia="Arial" w:hAnsi="Arial"/>
          <w:sz w:val="22"/>
          <w:szCs w:val="22"/>
        </w:rPr>
        <w:t xml:space="preserve">Each team receives a composite adoption health score that synthesizes multiple indicators into a single actionable metric. The health score drives targeted support interventions and resource allocation decisions.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200"/>
        <w:gridCol w:w="3800"/>
        <w:gridCol w:w="2960"/>
      </w:tblGrid>
      <w:tr>
        <w:tc>
          <w:tcPr>
            <w:tcW w:type="dxa" w:w="1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F3864"/>
                <w:sz w:val="20"/>
                <w:szCs w:val="20"/>
              </w:rPr>
              <w:t xml:space="preserve">Health Score Range</w:t>
            </w:r>
          </w:p>
        </w:tc>
        <w:tc>
          <w:tcPr>
            <w:tcW w:type="dxa" w:w="1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F3864"/>
                <w:sz w:val="20"/>
                <w:szCs w:val="20"/>
              </w:rPr>
              <w:t xml:space="preserve">Status</w:t>
            </w:r>
          </w:p>
        </w:tc>
        <w:tc>
          <w:tcPr>
            <w:tcW w:type="dxa" w:w="3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F3864"/>
                <w:sz w:val="20"/>
                <w:szCs w:val="20"/>
              </w:rPr>
              <w:t xml:space="preserve">Description</w:t>
            </w:r>
          </w:p>
        </w:tc>
        <w:tc>
          <w:tcPr>
            <w:tcW w:type="dxa" w:w="29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F3864"/>
                <w:sz w:val="20"/>
                <w:szCs w:val="20"/>
              </w:rPr>
              <w:t xml:space="preserve">CoE Action</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90-100</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Exemplary</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Full governance adoption with active contribution to improvement</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Recognize as model team; invite to champion leadership</w:t>
            </w:r>
          </w:p>
        </w:tc>
      </w:tr>
      <w:tr>
        <w:tc>
          <w:tcPr>
            <w:tcW w:type="dxa" w:w="14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75-89</w:t>
            </w:r>
          </w:p>
        </w:tc>
        <w:tc>
          <w:tcPr>
            <w:tcW w:type="dxa" w:w="1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Healthy</w:t>
            </w:r>
          </w:p>
        </w:tc>
        <w:tc>
          <w:tcPr>
            <w:tcW w:type="dxa" w:w="3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Strong adoption with minor gaps in advanced capabilities</w:t>
            </w:r>
          </w:p>
        </w:tc>
        <w:tc>
          <w:tcPr>
            <w:tcW w:type="dxa" w:w="29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Light-touch support; quarterly check-in</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60-74</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Developing</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Core adoption achieved; significant room for improvement</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Assigned champion support; monthly progress reviews</w:t>
            </w:r>
          </w:p>
        </w:tc>
      </w:tr>
      <w:tr>
        <w:tc>
          <w:tcPr>
            <w:tcW w:type="dxa" w:w="14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40-59</w:t>
            </w:r>
          </w:p>
        </w:tc>
        <w:tc>
          <w:tcPr>
            <w:tcW w:type="dxa" w:w="1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At Risk</w:t>
            </w:r>
          </w:p>
        </w:tc>
        <w:tc>
          <w:tcPr>
            <w:tcW w:type="dxa" w:w="3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Partial adoption with governance gaps creating measurable risk</w:t>
            </w:r>
          </w:p>
        </w:tc>
        <w:tc>
          <w:tcPr>
            <w:tcW w:type="dxa" w:w="29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Intensive CoE engagement; weekly support sessions</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Below 40</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Critical</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Minimal adoption; significant compliance and risk exposure</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Executive escalation; dedicated CoE team assignment; remediation plan</w:t>
            </w:r>
          </w:p>
        </w:tc>
      </w:tr>
    </w:tbl>
    <w:p>
      <w:r>
        <w:br w:type="page"/>
      </w:r>
    </w:p>
    <w:p>
      <w:pPr>
        <w:pStyle w:val="Heading1"/>
        <w:spacing w:after="200" w:before="360"/>
      </w:pPr>
      <w:r>
        <w:rPr>
          <w:rFonts w:ascii="Arial" w:cs="Arial" w:eastAsia="Arial" w:hAnsi="Arial"/>
          <w:b/>
          <w:bCs/>
          <w:color w:val="1F3864"/>
          <w:sz w:val="32"/>
          <w:szCs w:val="32"/>
        </w:rPr>
        <w:t xml:space="preserve">X.10 Cultural Transformation and Innovation Scaling</w:t>
      </w:r>
    </w:p>
    <w:p>
      <w:pPr>
        <w:pBdr>
          <w:bottom w:val="single" w:color="2E75B6" w:sz="6" w:space="1"/>
        </w:pBdr>
        <w:spacing w:after="200" w:before="200"/>
      </w:pPr>
    </w:p>
    <w:p>
      <w:pPr>
        <w:pStyle w:val="Heading2"/>
        <w:spacing w:after="160" w:before="280"/>
      </w:pPr>
      <w:r>
        <w:rPr>
          <w:rFonts w:ascii="Arial" w:cs="Arial" w:eastAsia="Arial" w:hAnsi="Arial"/>
          <w:b/>
          <w:bCs/>
          <w:color w:val="2E75B6"/>
          <w:sz w:val="28"/>
          <w:szCs w:val="28"/>
        </w:rPr>
        <w:t xml:space="preserve">X.10.1 Culture of Governance Excellence</w:t>
      </w:r>
    </w:p>
    <w:p>
      <w:pPr>
        <w:spacing w:after="120"/>
      </w:pPr>
      <w:r>
        <w:rPr>
          <w:rFonts w:ascii="Arial" w:cs="Arial" w:eastAsia="Arial" w:hAnsi="Arial"/>
          <w:sz w:val="22"/>
          <w:szCs w:val="22"/>
        </w:rPr>
        <w:t xml:space="preserve">Sustainable governance adoption requires a cultural foundation where governance is understood as a shared organizational value rather than an imposed constraint. Cultural transformation moves governance from a compliance obligation to a source of professional pride and competitive advantage. This transformation occurs through consistent leadership modeling, peer influence, and tangible evidence of governance value in daily work.</w:t>
      </w:r>
    </w:p>
    <w:p>
      <w:pPr>
        <w:pStyle w:val="Heading3"/>
        <w:spacing w:after="120" w:before="200"/>
      </w:pPr>
      <w:r>
        <w:rPr>
          <w:rFonts w:ascii="Arial" w:cs="Arial" w:eastAsia="Arial" w:hAnsi="Arial"/>
          <w:b/>
          <w:bCs/>
          <w:color w:val="1F3864"/>
          <w:sz w:val="24"/>
          <w:szCs w:val="24"/>
        </w:rPr>
        <w:t xml:space="preserve">Cultural Maturity Indicators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600"/>
        <w:gridCol w:w="2700"/>
        <w:gridCol w:w="2660"/>
      </w:tblGrid>
      <w:tr>
        <w:tc>
          <w:tcPr>
            <w:tcW w:type="dxa" w:w="1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F3864"/>
                <w:sz w:val="20"/>
                <w:szCs w:val="20"/>
              </w:rPr>
              <w:t xml:space="preserve">Dimension</w:t>
            </w:r>
          </w:p>
        </w:tc>
        <w:tc>
          <w:tcPr>
            <w:tcW w:type="dxa" w:w="2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F3864"/>
                <w:sz w:val="20"/>
                <w:szCs w:val="20"/>
              </w:rPr>
              <w:t xml:space="preserve">Compliance Culture</w:t>
            </w:r>
          </w:p>
        </w:tc>
        <w:tc>
          <w:tcPr>
            <w:tcW w:type="dxa" w:w="27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F3864"/>
                <w:sz w:val="20"/>
                <w:szCs w:val="20"/>
              </w:rPr>
              <w:t xml:space="preserve">Engagement Culture</w:t>
            </w:r>
          </w:p>
        </w:tc>
        <w:tc>
          <w:tcPr>
            <w:tcW w:type="dxa" w:w="26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F3864"/>
                <w:sz w:val="20"/>
                <w:szCs w:val="20"/>
              </w:rPr>
              <w:t xml:space="preserve">Excellence Culture</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Motivation</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Teams comply because they must</w:t>
            </w:r>
          </w:p>
        </w:tc>
        <w:tc>
          <w:tcPr>
            <w:tcW w:type="dxa" w:w="2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Teams comply because they see value</w:t>
            </w:r>
          </w:p>
        </w:tc>
        <w:tc>
          <w:tcPr>
            <w:tcW w:type="dxa" w:w="2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Teams innovate on governance practices</w:t>
            </w:r>
          </w:p>
        </w:tc>
      </w:tr>
      <w:tr>
        <w:tc>
          <w:tcPr>
            <w:tcW w:type="dxa" w:w="14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Ownership</w:t>
            </w:r>
          </w:p>
        </w:tc>
        <w:tc>
          <w:tcPr>
            <w:tcW w:type="dxa" w:w="26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Governance team owns compliance</w:t>
            </w:r>
          </w:p>
        </w:tc>
        <w:tc>
          <w:tcPr>
            <w:tcW w:type="dxa" w:w="27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Shared ownership between governance and dev</w:t>
            </w:r>
          </w:p>
        </w:tc>
        <w:tc>
          <w:tcPr>
            <w:tcW w:type="dxa" w:w="26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Development teams own their governance posture</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Feedback</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One-way: governance to teams</w:t>
            </w:r>
          </w:p>
        </w:tc>
        <w:tc>
          <w:tcPr>
            <w:tcW w:type="dxa" w:w="2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Two-way: structured feedback channels</w:t>
            </w:r>
          </w:p>
        </w:tc>
        <w:tc>
          <w:tcPr>
            <w:tcW w:type="dxa" w:w="2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Multi-directional: teams improve governance</w:t>
            </w:r>
          </w:p>
        </w:tc>
      </w:tr>
      <w:tr>
        <w:tc>
          <w:tcPr>
            <w:tcW w:type="dxa" w:w="14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Innovation</w:t>
            </w:r>
          </w:p>
        </w:tc>
        <w:tc>
          <w:tcPr>
            <w:tcW w:type="dxa" w:w="26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Governance follows industry standards</w:t>
            </w:r>
          </w:p>
        </w:tc>
        <w:tc>
          <w:tcPr>
            <w:tcW w:type="dxa" w:w="27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Governance adapts based on team input</w:t>
            </w:r>
          </w:p>
        </w:tc>
        <w:tc>
          <w:tcPr>
            <w:tcW w:type="dxa" w:w="26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Governance leads industry through innovation</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Measurement</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Binary pass/fail compliance checks</w:t>
            </w:r>
          </w:p>
        </w:tc>
        <w:tc>
          <w:tcPr>
            <w:tcW w:type="dxa" w:w="2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Continuous scoring with improvement trends</w:t>
            </w:r>
          </w:p>
        </w:tc>
        <w:tc>
          <w:tcPr>
            <w:tcW w:type="dxa" w:w="2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Predictive analytics driving proactive improvement</w:t>
            </w:r>
          </w:p>
        </w:tc>
      </w:tr>
    </w:tbl>
    <w:p>
      <w:pPr>
        <w:pStyle w:val="Heading2"/>
        <w:spacing w:after="160" w:before="280"/>
      </w:pPr>
      <w:r>
        <w:rPr>
          <w:rFonts w:ascii="Arial" w:cs="Arial" w:eastAsia="Arial" w:hAnsi="Arial"/>
          <w:b/>
          <w:bCs/>
          <w:color w:val="2E75B6"/>
          <w:sz w:val="28"/>
          <w:szCs w:val="28"/>
        </w:rPr>
        <w:t xml:space="preserve">X.10.2 Innovation Scaling Mechanisms</w:t>
      </w:r>
    </w:p>
    <w:p>
      <w:pPr>
        <w:spacing w:after="120"/>
      </w:pPr>
      <w:r>
        <w:rPr>
          <w:rFonts w:ascii="Arial" w:cs="Arial" w:eastAsia="Arial" w:hAnsi="Arial"/>
          <w:sz w:val="22"/>
          <w:szCs w:val="22"/>
        </w:rPr>
        <w:t xml:space="preserve">Scaling innovation within a governed environment requires explicit mechanisms that preserve creative freedom while ensuring organizational learning and risk management. The framework provides four primary mechanisms for scaling innovation from individual experiments to enterprise-wide capability.</w:t>
      </w:r>
    </w:p>
    <w:p>
      <w:pPr>
        <w:pStyle w:val="ListParagraph"/>
        <w:numPr>
          <w:ilvl w:val="0"/>
          <w:numId w:val="5"/>
        </w:numPr>
        <w:spacing w:after="80"/>
      </w:pPr>
      <w:r>
        <w:rPr>
          <w:rFonts w:ascii="Arial" w:cs="Arial" w:eastAsia="Arial" w:hAnsi="Arial"/>
          <w:b/>
          <w:bCs/>
          <w:sz w:val="22"/>
          <w:szCs w:val="22"/>
        </w:rPr>
        <w:t xml:space="preserve">Innovation Sprints: </w:t>
      </w:r>
      <w:r>
        <w:rPr>
          <w:rFonts w:ascii="Arial" w:cs="Arial" w:eastAsia="Arial" w:hAnsi="Arial"/>
          <w:sz w:val="22"/>
          <w:szCs w:val="22"/>
        </w:rPr>
        <w:t xml:space="preserve">Time-boxed periods where normal governance constraints are relaxed for designated teams working on strategic innovation priorities. Sprints follow sandbox governance with enhanced monitoring and mandatory post-sprint assessment.</w:t>
      </w:r>
    </w:p>
    <w:p>
      <w:pPr>
        <w:pStyle w:val="ListParagraph"/>
        <w:numPr>
          <w:ilvl w:val="0"/>
          <w:numId w:val="5"/>
        </w:numPr>
        <w:spacing w:after="80"/>
      </w:pPr>
      <w:r>
        <w:rPr>
          <w:rFonts w:ascii="Arial" w:cs="Arial" w:eastAsia="Arial" w:hAnsi="Arial"/>
          <w:b/>
          <w:bCs/>
          <w:sz w:val="22"/>
          <w:szCs w:val="22"/>
        </w:rPr>
        <w:t xml:space="preserve">Pattern Harvesting: </w:t>
      </w:r>
      <w:r>
        <w:rPr>
          <w:rFonts w:ascii="Arial" w:cs="Arial" w:eastAsia="Arial" w:hAnsi="Arial"/>
          <w:sz w:val="22"/>
          <w:szCs w:val="22"/>
        </w:rPr>
        <w:t xml:space="preserve">Systematic identification, validation, and codification of emergent practices from development teams into governance standards. Successful local innovations are evaluated for enterprise applicability and, when appropriate, promoted to recommended or required practices.</w:t>
      </w:r>
    </w:p>
    <w:p>
      <w:pPr>
        <w:pStyle w:val="ListParagraph"/>
        <w:numPr>
          <w:ilvl w:val="0"/>
          <w:numId w:val="5"/>
        </w:numPr>
        <w:spacing w:after="80"/>
      </w:pPr>
      <w:r>
        <w:rPr>
          <w:rFonts w:ascii="Arial" w:cs="Arial" w:eastAsia="Arial" w:hAnsi="Arial"/>
          <w:b/>
          <w:bCs/>
          <w:sz w:val="22"/>
          <w:szCs w:val="22"/>
        </w:rPr>
        <w:t xml:space="preserve">Cross-Pollination Programs: </w:t>
      </w:r>
      <w:r>
        <w:rPr>
          <w:rFonts w:ascii="Arial" w:cs="Arial" w:eastAsia="Arial" w:hAnsi="Arial"/>
          <w:sz w:val="22"/>
          <w:szCs w:val="22"/>
        </w:rPr>
        <w:t xml:space="preserve">Structured rotation and exchange programs that move engineers between teams, business units, and functional areas to spread governance knowledge and innovation practices. Rotations are typically four to eight weeks with defined learning objectives and knowledge transfer deliverables.</w:t>
      </w:r>
    </w:p>
    <w:p>
      <w:pPr>
        <w:pStyle w:val="ListParagraph"/>
        <w:numPr>
          <w:ilvl w:val="0"/>
          <w:numId w:val="5"/>
        </w:numPr>
        <w:spacing w:after="80"/>
      </w:pPr>
      <w:r>
        <w:rPr>
          <w:rFonts w:ascii="Arial" w:cs="Arial" w:eastAsia="Arial" w:hAnsi="Arial"/>
          <w:b/>
          <w:bCs/>
          <w:sz w:val="22"/>
          <w:szCs w:val="22"/>
        </w:rPr>
        <w:t xml:space="preserve">Open Source Inner Source: </w:t>
      </w:r>
      <w:r>
        <w:rPr>
          <w:rFonts w:ascii="Arial" w:cs="Arial" w:eastAsia="Arial" w:hAnsi="Arial"/>
          <w:sz w:val="22"/>
          <w:szCs w:val="22"/>
        </w:rPr>
        <w:t xml:space="preserve">Internal open-source model where governance tooling, templates, and automation are developed collaboratively across the organization. Teams can contribute improvements, fork for experimentation, and propose changes through pull request workflows that mirror external open-source governance.</w:t>
      </w:r>
    </w:p>
    <w:p>
      <w:pPr>
        <w:pStyle w:val="Heading2"/>
        <w:spacing w:after="160" w:before="280"/>
      </w:pPr>
      <w:r>
        <w:rPr>
          <w:rFonts w:ascii="Arial" w:cs="Arial" w:eastAsia="Arial" w:hAnsi="Arial"/>
          <w:b/>
          <w:bCs/>
          <w:color w:val="2E75B6"/>
          <w:sz w:val="28"/>
          <w:szCs w:val="28"/>
        </w:rPr>
        <w:t xml:space="preserve">X.10.3 Sustaining Momentum</w:t>
      </w:r>
    </w:p>
    <w:p>
      <w:pPr>
        <w:spacing w:after="120"/>
      </w:pPr>
      <w:r>
        <w:rPr>
          <w:rFonts w:ascii="Arial" w:cs="Arial" w:eastAsia="Arial" w:hAnsi="Arial"/>
          <w:sz w:val="22"/>
          <w:szCs w:val="22"/>
        </w:rPr>
        <w:t xml:space="preserve">Long-term governance adoption success depends on maintaining organizational momentum through the inevitable periods of competing priorities, leadership transitions, and transformation fatigue. The sustainability model employs five reinforcement mechanisms that keep governance relevant and valued.</w:t>
      </w:r>
    </w:p>
    <w:p>
      <w:pPr>
        <w:pStyle w:val="ListParagraph"/>
        <w:numPr>
          <w:ilvl w:val="0"/>
          <w:numId w:val="8"/>
        </w:numPr>
        <w:spacing w:after="80"/>
      </w:pPr>
      <w:r>
        <w:rPr>
          <w:rFonts w:ascii="Arial" w:cs="Arial" w:eastAsia="Arial" w:hAnsi="Arial"/>
          <w:sz w:val="22"/>
          <w:szCs w:val="22"/>
        </w:rPr>
        <w:t xml:space="preserve">Regular Cadence: Governance review cycles aligned to business planning cadences ensure governance remains visible in strategic discussions and budget allocation processes.</w:t>
      </w:r>
    </w:p>
    <w:p>
      <w:pPr>
        <w:pStyle w:val="ListParagraph"/>
        <w:numPr>
          <w:ilvl w:val="0"/>
          <w:numId w:val="8"/>
        </w:numPr>
        <w:spacing w:after="80"/>
      </w:pPr>
      <w:r>
        <w:rPr>
          <w:rFonts w:ascii="Arial" w:cs="Arial" w:eastAsia="Arial" w:hAnsi="Arial"/>
          <w:sz w:val="22"/>
          <w:szCs w:val="22"/>
        </w:rPr>
        <w:t xml:space="preserve">Success Storytelling: Monthly internal case studies showcasing specific instances where governance prevented incidents, accelerated delivery, or enabled innovation create compelling narratives that sustain organizational commitment.</w:t>
      </w:r>
    </w:p>
    <w:p>
      <w:pPr>
        <w:pStyle w:val="ListParagraph"/>
        <w:numPr>
          <w:ilvl w:val="0"/>
          <w:numId w:val="8"/>
        </w:numPr>
        <w:spacing w:after="80"/>
      </w:pPr>
      <w:r>
        <w:rPr>
          <w:rFonts w:ascii="Arial" w:cs="Arial" w:eastAsia="Arial" w:hAnsi="Arial"/>
          <w:sz w:val="22"/>
          <w:szCs w:val="22"/>
        </w:rPr>
        <w:t xml:space="preserve">External Benchmarking: Annual governance maturity assessments compared against industry peers provide objective evidence of progress and identify areas where additional investment is warranted.</w:t>
      </w:r>
    </w:p>
    <w:p>
      <w:pPr>
        <w:pStyle w:val="ListParagraph"/>
        <w:numPr>
          <w:ilvl w:val="0"/>
          <w:numId w:val="8"/>
        </w:numPr>
        <w:spacing w:after="80"/>
      </w:pPr>
      <w:r>
        <w:rPr>
          <w:rFonts w:ascii="Arial" w:cs="Arial" w:eastAsia="Arial" w:hAnsi="Arial"/>
          <w:sz w:val="22"/>
          <w:szCs w:val="22"/>
        </w:rPr>
        <w:t xml:space="preserve">Gamification Elements: Team leaderboards, governance achievement badges, and quarterly awards create positive social dynamics around governance excellence without introducing counterproductive competition.</w:t>
      </w:r>
    </w:p>
    <w:p>
      <w:pPr>
        <w:pStyle w:val="ListParagraph"/>
        <w:numPr>
          <w:ilvl w:val="0"/>
          <w:numId w:val="8"/>
        </w:numPr>
        <w:spacing w:after="80"/>
      </w:pPr>
      <w:r>
        <w:rPr>
          <w:rFonts w:ascii="Arial" w:cs="Arial" w:eastAsia="Arial" w:hAnsi="Arial"/>
          <w:sz w:val="22"/>
          <w:szCs w:val="22"/>
        </w:rPr>
        <w:t xml:space="preserve">Executive Sponsorship Rotation: Rotating executive sponsors for governance initiatives ensures broad leadership engagement and prevents governance from being associated with a single leader whose departure could undermine momentum.</w:t>
      </w:r>
    </w:p>
    <w:p>
      <w:r>
        <w:br w:type="page"/>
      </w:r>
    </w:p>
    <w:p>
      <w:pPr>
        <w:spacing w:after="400" w:before="600"/>
        <w:jc w:val="center"/>
      </w:pPr>
      <w:r>
        <w:rPr>
          <w:rFonts w:ascii="Arial" w:cs="Arial" w:eastAsia="Arial" w:hAnsi="Arial"/>
          <w:b/>
          <w:bCs/>
          <w:color w:val="1F3864"/>
          <w:sz w:val="40"/>
          <w:szCs w:val="40"/>
        </w:rPr>
        <w:t xml:space="preserve">PART XI</w:t>
      </w:r>
    </w:p>
    <w:p>
      <w:pPr>
        <w:pBdr>
          <w:bottom w:val="single" w:color="2E75B6" w:sz="8" w:space="1"/>
        </w:pBdr>
        <w:spacing w:after="400"/>
        <w:jc w:val="center"/>
      </w:pPr>
      <w:r>
        <w:rPr>
          <w:rFonts w:ascii="Arial" w:cs="Arial" w:eastAsia="Arial" w:hAnsi="Arial"/>
          <w:color w:val="2E75B6"/>
          <w:sz w:val="34"/>
          <w:szCs w:val="34"/>
        </w:rPr>
        <w:t xml:space="preserve">Measurement Framework and Operating Model</w:t>
      </w:r>
    </w:p>
    <w:p>
      <w:r>
        <w:br w:type="page"/>
      </w:r>
    </w:p>
    <w:p>
      <w:pPr>
        <w:pStyle w:val="Heading1"/>
        <w:spacing w:after="200" w:before="360"/>
      </w:pPr>
      <w:r>
        <w:rPr>
          <w:rFonts w:ascii="Arial" w:cs="Arial" w:eastAsia="Arial" w:hAnsi="Arial"/>
          <w:b/>
          <w:bCs/>
          <w:color w:val="1F3864"/>
          <w:sz w:val="32"/>
          <w:szCs w:val="32"/>
        </w:rPr>
        <w:t xml:space="preserve">XI.1 Executive Overview and Measurement Philosophy</w:t>
      </w:r>
    </w:p>
    <w:p>
      <w:pPr>
        <w:pBdr>
          <w:bottom w:val="single" w:color="2E75B6" w:sz="6" w:space="1"/>
        </w:pBdr>
        <w:spacing w:after="200" w:before="200"/>
      </w:pPr>
    </w:p>
    <w:p>
      <w:pPr>
        <w:pStyle w:val="Heading2"/>
        <w:spacing w:after="160" w:before="280"/>
      </w:pPr>
      <w:r>
        <w:rPr>
          <w:rFonts w:ascii="Arial" w:cs="Arial" w:eastAsia="Arial" w:hAnsi="Arial"/>
          <w:b/>
          <w:bCs/>
          <w:color w:val="2E75B6"/>
          <w:sz w:val="28"/>
          <w:szCs w:val="28"/>
        </w:rPr>
        <w:t xml:space="preserve">XI.1.1 Purpose and Strategic Context</w:t>
      </w:r>
    </w:p>
    <w:p>
      <w:pPr>
        <w:spacing w:after="120"/>
      </w:pPr>
      <w:r>
        <w:rPr>
          <w:rFonts w:ascii="Arial" w:cs="Arial" w:eastAsia="Arial" w:hAnsi="Arial"/>
          <w:sz w:val="22"/>
          <w:szCs w:val="22"/>
        </w:rPr>
        <w:t xml:space="preserve">The Measurement Framework and Operating Model defines how the enterprise quantifies governance effectiveness, demonstrates return on investment, and structures the organizational machinery that sustains governance operations at scale. This part establishes the metrics taxonomy, dashboard architecture, financial governance model, and organizational design required to operate the comprehensive governance framework defined throughout this playbook as a continuously improving enterprise capability.</w:t>
      </w:r>
    </w:p>
    <w:p>
      <w:pPr>
        <w:spacing w:after="120"/>
      </w:pPr>
      <w:r>
        <w:rPr>
          <w:rFonts w:ascii="Arial" w:cs="Arial" w:eastAsia="Arial" w:hAnsi="Arial"/>
          <w:sz w:val="22"/>
          <w:szCs w:val="22"/>
        </w:rPr>
        <w:t xml:space="preserve">Measurement without an operating model produces reports that no one acts upon. An operating model without measurement produces activity without accountability. This framework integrates both dimensions to create a self-correcting governance system where metrics drive decisions, decisions drive actions, and actions produce measurable outcomes in a continuous feedback loop.</w:t>
      </w:r>
    </w:p>
    <w:p>
      <w:pPr>
        <w:pStyle w:val="Heading2"/>
        <w:spacing w:after="160" w:before="280"/>
      </w:pPr>
      <w:r>
        <w:rPr>
          <w:rFonts w:ascii="Arial" w:cs="Arial" w:eastAsia="Arial" w:hAnsi="Arial"/>
          <w:b/>
          <w:bCs/>
          <w:color w:val="2E75B6"/>
          <w:sz w:val="28"/>
          <w:szCs w:val="28"/>
        </w:rPr>
        <w:t xml:space="preserve">XI.1.2 Measurement Philosophy Principles</w:t>
      </w:r>
    </w:p>
    <w:p>
      <w:pPr>
        <w:pStyle w:val="ListParagraph"/>
        <w:numPr>
          <w:ilvl w:val="0"/>
          <w:numId w:val="9"/>
        </w:numPr>
        <w:spacing w:after="80"/>
      </w:pPr>
      <w:r>
        <w:rPr>
          <w:rFonts w:ascii="Arial" w:cs="Arial" w:eastAsia="Arial" w:hAnsi="Arial"/>
          <w:sz w:val="22"/>
          <w:szCs w:val="22"/>
        </w:rPr>
        <w:t xml:space="preserve">Measure Outcomes, Not Activities: Track the business results that governance enables rather than the governance activities performed. The number of security scans run is less meaningful than the number of vulnerabilities prevented from reaching production.</w:t>
      </w:r>
    </w:p>
    <w:p>
      <w:pPr>
        <w:pStyle w:val="ListParagraph"/>
        <w:numPr>
          <w:ilvl w:val="0"/>
          <w:numId w:val="9"/>
        </w:numPr>
        <w:spacing w:after="80"/>
      </w:pPr>
      <w:r>
        <w:rPr>
          <w:rFonts w:ascii="Arial" w:cs="Arial" w:eastAsia="Arial" w:hAnsi="Arial"/>
          <w:sz w:val="22"/>
          <w:szCs w:val="22"/>
        </w:rPr>
        <w:t xml:space="preserve">Leading Over Lagging: Prioritize predictive indicators that enable proactive intervention over retrospective indicators that merely document past performance. Code complexity trends predict future defect rates more actionably than historical defect counts.</w:t>
      </w:r>
    </w:p>
    <w:p>
      <w:pPr>
        <w:pStyle w:val="ListParagraph"/>
        <w:numPr>
          <w:ilvl w:val="0"/>
          <w:numId w:val="9"/>
        </w:numPr>
        <w:spacing w:after="80"/>
      </w:pPr>
      <w:r>
        <w:rPr>
          <w:rFonts w:ascii="Arial" w:cs="Arial" w:eastAsia="Arial" w:hAnsi="Arial"/>
          <w:sz w:val="22"/>
          <w:szCs w:val="22"/>
        </w:rPr>
        <w:t xml:space="preserve">Context Over Comparison: Metrics are most valuable when interpreted within organizational context. Cross-team comparisons serve benchmarking purposes but should not drive punitive actions without understanding contextual factors.</w:t>
      </w:r>
    </w:p>
    <w:p>
      <w:pPr>
        <w:pStyle w:val="ListParagraph"/>
        <w:numPr>
          <w:ilvl w:val="0"/>
          <w:numId w:val="9"/>
        </w:numPr>
        <w:spacing w:after="80"/>
      </w:pPr>
      <w:r>
        <w:rPr>
          <w:rFonts w:ascii="Arial" w:cs="Arial" w:eastAsia="Arial" w:hAnsi="Arial"/>
          <w:sz w:val="22"/>
          <w:szCs w:val="22"/>
        </w:rPr>
        <w:t xml:space="preserve">Automation Over Manual Collection: Every metric should be collected automatically from system telemetry. Manual metric collection introduces lag, bias, and unsustainable operational burden.</w:t>
      </w:r>
    </w:p>
    <w:p>
      <w:pPr>
        <w:pStyle w:val="ListParagraph"/>
        <w:numPr>
          <w:ilvl w:val="0"/>
          <w:numId w:val="9"/>
        </w:numPr>
        <w:spacing w:after="80"/>
      </w:pPr>
      <w:r>
        <w:rPr>
          <w:rFonts w:ascii="Arial" w:cs="Arial" w:eastAsia="Arial" w:hAnsi="Arial"/>
          <w:sz w:val="22"/>
          <w:szCs w:val="22"/>
        </w:rPr>
        <w:t xml:space="preserve">Transparency Over Control: Metrics should be accessible to all stakeholders with appropriate context. Hoarding metrics in governance teams undermines the shared ownership that drives adoption.</w:t>
      </w:r>
    </w:p>
    <w:p>
      <w:r>
        <w:br w:type="page"/>
      </w:r>
    </w:p>
    <w:p>
      <w:pPr>
        <w:pStyle w:val="Heading1"/>
        <w:spacing w:after="200" w:before="360"/>
      </w:pPr>
      <w:r>
        <w:rPr>
          <w:rFonts w:ascii="Arial" w:cs="Arial" w:eastAsia="Arial" w:hAnsi="Arial"/>
          <w:b/>
          <w:bCs/>
          <w:color w:val="1F3864"/>
          <w:sz w:val="32"/>
          <w:szCs w:val="32"/>
        </w:rPr>
        <w:t xml:space="preserve">XI.2 Enterprise KPI Framework and Metrics Taxonomy</w:t>
      </w:r>
    </w:p>
    <w:p>
      <w:pPr>
        <w:pBdr>
          <w:bottom w:val="single" w:color="2E75B6" w:sz="6" w:space="1"/>
        </w:pBdr>
        <w:spacing w:after="200" w:before="200"/>
      </w:pPr>
    </w:p>
    <w:p>
      <w:pPr>
        <w:pStyle w:val="Heading2"/>
        <w:spacing w:after="160" w:before="280"/>
      </w:pPr>
      <w:r>
        <w:rPr>
          <w:rFonts w:ascii="Arial" w:cs="Arial" w:eastAsia="Arial" w:hAnsi="Arial"/>
          <w:b/>
          <w:bCs/>
          <w:color w:val="2E75B6"/>
          <w:sz w:val="28"/>
          <w:szCs w:val="28"/>
        </w:rPr>
        <w:t xml:space="preserve">XI.2.1 Metrics Taxonomy Architecture</w:t>
      </w:r>
    </w:p>
    <w:p>
      <w:pPr>
        <w:spacing w:after="120"/>
      </w:pPr>
      <w:r>
        <w:rPr>
          <w:rFonts w:ascii="Arial" w:cs="Arial" w:eastAsia="Arial" w:hAnsi="Arial"/>
          <w:sz w:val="22"/>
          <w:szCs w:val="22"/>
        </w:rPr>
        <w:t xml:space="preserve">The enterprise metrics taxonomy organizes governance measurements into a four-tier hierarchy that connects strategic business outcomes through governance capabilities to operational indicators and raw telemetry data. Each tier serves a different audience and decision-making context.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1600"/>
        <w:gridCol w:w="2000"/>
        <w:gridCol w:w="2800"/>
        <w:gridCol w:w="2160"/>
      </w:tblGrid>
      <w:tr>
        <w:tc>
          <w:tcPr>
            <w:tcW w:type="dxa" w:w="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F3864"/>
                <w:sz w:val="20"/>
                <w:szCs w:val="20"/>
              </w:rPr>
              <w:t xml:space="preserve">Tier</w:t>
            </w:r>
          </w:p>
        </w:tc>
        <w:tc>
          <w:tcPr>
            <w:tcW w:type="dxa" w:w="1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F3864"/>
                <w:sz w:val="20"/>
                <w:szCs w:val="20"/>
              </w:rPr>
              <w:t xml:space="preserve">Name</w:t>
            </w:r>
          </w:p>
        </w:tc>
        <w:tc>
          <w:tcPr>
            <w:tcW w:type="dxa" w:w="2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F3864"/>
                <w:sz w:val="20"/>
                <w:szCs w:val="20"/>
              </w:rPr>
              <w:t xml:space="preserve">Audience</w:t>
            </w:r>
          </w:p>
        </w:tc>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F3864"/>
                <w:sz w:val="20"/>
                <w:szCs w:val="20"/>
              </w:rPr>
              <w:t xml:space="preserve">Decision Context</w:t>
            </w:r>
          </w:p>
        </w:tc>
        <w:tc>
          <w:tcPr>
            <w:tcW w:type="dxa" w:w="21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F3864"/>
                <w:sz w:val="20"/>
                <w:szCs w:val="20"/>
              </w:rPr>
              <w:t xml:space="preserve">Refresh Cadence</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Tier 1</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Strategic Outcomes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Board and C-suite</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Investment and strategic direction decisions</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Quarterly</w:t>
            </w:r>
          </w:p>
        </w:tc>
      </w:tr>
      <w:tr>
        <w:tc>
          <w:tcPr>
            <w:tcW w:type="dxa" w:w="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Tier 2</w:t>
            </w:r>
          </w:p>
        </w:tc>
        <w:tc>
          <w:tcPr>
            <w:tcW w:type="dxa" w:w="16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Governance Capabilities</w:t>
            </w:r>
          </w:p>
        </w:tc>
        <w:tc>
          <w:tcPr>
            <w:tcW w:type="dxa" w:w="2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VP and Director level</w:t>
            </w:r>
          </w:p>
        </w:tc>
        <w:tc>
          <w:tcPr>
            <w:tcW w:type="dxa" w:w="2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Resource allocation and program prioritization</w:t>
            </w:r>
          </w:p>
        </w:tc>
        <w:tc>
          <w:tcPr>
            <w:tcW w:type="dxa" w:w="21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Monthly</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Tier 3</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Operational Indicators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Engineering managers and team leads</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Process optimization and team performance</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Weekly</w:t>
            </w:r>
          </w:p>
        </w:tc>
      </w:tr>
      <w:tr>
        <w:tc>
          <w:tcPr>
            <w:tcW w:type="dxa" w:w="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Tier 4</w:t>
            </w:r>
          </w:p>
        </w:tc>
        <w:tc>
          <w:tcPr>
            <w:tcW w:type="dxa" w:w="16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Telemetry Data</w:t>
            </w:r>
          </w:p>
        </w:tc>
        <w:tc>
          <w:tcPr>
            <w:tcW w:type="dxa" w:w="2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Individual contributors and automated systems</w:t>
            </w:r>
          </w:p>
        </w:tc>
        <w:tc>
          <w:tcPr>
            <w:tcW w:type="dxa" w:w="2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Real-time operational decisions and automated responses</w:t>
            </w:r>
          </w:p>
        </w:tc>
        <w:tc>
          <w:tcPr>
            <w:tcW w:type="dxa" w:w="21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Real-time</w:t>
            </w:r>
          </w:p>
        </w:tc>
      </w:tr>
    </w:tbl>
    <w:p>
      <w:pPr>
        <w:pStyle w:val="Heading2"/>
        <w:spacing w:after="160" w:before="280"/>
      </w:pPr>
      <w:r>
        <w:rPr>
          <w:rFonts w:ascii="Arial" w:cs="Arial" w:eastAsia="Arial" w:hAnsi="Arial"/>
          <w:b/>
          <w:bCs/>
          <w:color w:val="2E75B6"/>
          <w:sz w:val="28"/>
          <w:szCs w:val="28"/>
        </w:rPr>
        <w:t xml:space="preserve">XI.2.2 Tier 1 Strategic Outcome Metrics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600"/>
        <w:gridCol w:w="1800"/>
        <w:gridCol w:w="3160"/>
      </w:tblGrid>
      <w:tr>
        <w:tc>
          <w:tcPr>
            <w:tcW w:type="dxa" w:w="1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F3864"/>
                <w:sz w:val="20"/>
                <w:szCs w:val="20"/>
              </w:rPr>
              <w:t xml:space="preserve">Metric</w:t>
            </w:r>
          </w:p>
        </w:tc>
        <w:tc>
          <w:tcPr>
            <w:tcW w:type="dxa" w:w="2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F3864"/>
                <w:sz w:val="20"/>
                <w:szCs w:val="20"/>
              </w:rPr>
              <w:t xml:space="preserve">Definition</w:t>
            </w:r>
          </w:p>
        </w:tc>
        <w:tc>
          <w:tcPr>
            <w:tcW w:type="dxa" w:w="1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F3864"/>
                <w:sz w:val="20"/>
                <w:szCs w:val="20"/>
              </w:rPr>
              <w:t xml:space="preserve">Target</w:t>
            </w:r>
          </w:p>
        </w:tc>
        <w:tc>
          <w:tcPr>
            <w:tcW w:type="dxa" w:w="31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F3864"/>
                <w:sz w:val="20"/>
                <w:szCs w:val="20"/>
              </w:rPr>
              <w:t xml:space="preserve">Calculation</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Governance ROI</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Financial return generated per dollar invested in governance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&gt; 3:1 by year 2</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(Avoided costs + productivity gains + risk reduction value) / governance investment</w:t>
            </w:r>
          </w:p>
        </w:tc>
      </w:tr>
      <w:tr>
        <w:tc>
          <w:tcPr>
            <w:tcW w:type="dxa" w:w="1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Mean Time to Market</w:t>
            </w:r>
          </w:p>
        </w:tc>
        <w:tc>
          <w:tcPr>
            <w:tcW w:type="dxa" w:w="26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Average elapsed time from approved initiative to production</w:t>
            </w:r>
          </w:p>
        </w:tc>
        <w:tc>
          <w:tcPr>
            <w:tcW w:type="dxa" w:w="1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20% reduction year-over-year</w:t>
            </w:r>
          </w:p>
        </w:tc>
        <w:tc>
          <w:tcPr>
            <w:tcW w:type="dxa" w:w="31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Median of initiative cycle times across portfolio</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Security Incident Rate</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Production security incidents per 1,000 deployed services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&lt; 2 per quarter</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Count of Sev1-Sev2 security incidents / service count</w:t>
            </w:r>
          </w:p>
        </w:tc>
      </w:tr>
      <w:tr>
        <w:tc>
          <w:tcPr>
            <w:tcW w:type="dxa" w:w="1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Compliance Posture Score</w:t>
            </w:r>
          </w:p>
        </w:tc>
        <w:tc>
          <w:tcPr>
            <w:tcW w:type="dxa" w:w="26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Aggregate regulatory compliance across all frameworks</w:t>
            </w:r>
          </w:p>
        </w:tc>
        <w:tc>
          <w:tcPr>
            <w:tcW w:type="dxa" w:w="1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&gt; 95%</w:t>
            </w:r>
          </w:p>
        </w:tc>
        <w:tc>
          <w:tcPr>
            <w:tcW w:type="dxa" w:w="31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Weighted average of framework-specific compliance scores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Developer Productivity Index</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Composite measure of engineering output and efficiency</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10% improvement year-over-year</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Weighted composite of DORA metrics, quality metrics, and satisfaction</w:t>
            </w:r>
          </w:p>
        </w:tc>
      </w:tr>
      <w:tr>
        <w:tc>
          <w:tcPr>
            <w:tcW w:type="dxa" w:w="1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Portfolio Health Score</w:t>
            </w:r>
          </w:p>
        </w:tc>
        <w:tc>
          <w:tcPr>
            <w:tcW w:type="dxa" w:w="26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Aggregate health of enterprise application portfolio</w:t>
            </w:r>
          </w:p>
        </w:tc>
        <w:tc>
          <w:tcPr>
            <w:tcW w:type="dxa" w:w="1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&gt; 80/100</w:t>
            </w:r>
          </w:p>
        </w:tc>
        <w:tc>
          <w:tcPr>
            <w:tcW w:type="dxa" w:w="31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Weighted average of application health scores across all tiers</w:t>
            </w:r>
          </w:p>
        </w:tc>
      </w:tr>
    </w:tbl>
    <w:p>
      <w:pPr>
        <w:pStyle w:val="Heading2"/>
        <w:spacing w:after="160" w:before="280"/>
      </w:pPr>
      <w:r>
        <w:rPr>
          <w:rFonts w:ascii="Arial" w:cs="Arial" w:eastAsia="Arial" w:hAnsi="Arial"/>
          <w:b/>
          <w:bCs/>
          <w:color w:val="2E75B6"/>
          <w:sz w:val="28"/>
          <w:szCs w:val="28"/>
        </w:rPr>
        <w:t xml:space="preserve">XI.2.3 Tier 2 Governance Capability Metrics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400"/>
        <w:gridCol w:w="2200"/>
        <w:gridCol w:w="3160"/>
      </w:tblGrid>
      <w:tr>
        <w:tc>
          <w:tcPr>
            <w:tcW w:type="dxa" w:w="1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F3864"/>
                <w:sz w:val="20"/>
                <w:szCs w:val="20"/>
              </w:rPr>
              <w:t xml:space="preserve">Capability Domain</w:t>
            </w:r>
          </w:p>
        </w:tc>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F3864"/>
                <w:sz w:val="20"/>
                <w:szCs w:val="20"/>
              </w:rPr>
              <w:t xml:space="preserve">Metric</w:t>
            </w:r>
          </w:p>
        </w:tc>
        <w:tc>
          <w:tcPr>
            <w:tcW w:type="dxa" w:w="2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F3864"/>
                <w:sz w:val="20"/>
                <w:szCs w:val="20"/>
              </w:rPr>
              <w:t xml:space="preserve">Target</w:t>
            </w:r>
          </w:p>
        </w:tc>
        <w:tc>
          <w:tcPr>
            <w:tcW w:type="dxa" w:w="31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F3864"/>
                <w:sz w:val="20"/>
                <w:szCs w:val="20"/>
              </w:rPr>
              <w:t xml:space="preserve">Data Source</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DevSecOps</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Pipeline security gate pass rate</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&gt; 92% first attempt</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CI/CD pipeline telemetry</w:t>
            </w:r>
          </w:p>
        </w:tc>
      </w:tr>
      <w:tr>
        <w:tc>
          <w:tcPr>
            <w:tcW w:type="dxa" w:w="16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DevSecOps</w:t>
            </w:r>
          </w:p>
        </w:tc>
        <w:tc>
          <w:tcPr>
            <w:tcW w:type="dxa" w:w="24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Mean time to remediate critical vulnerabilities</w:t>
            </w:r>
          </w:p>
        </w:tc>
        <w:tc>
          <w:tcPr>
            <w:tcW w:type="dxa" w:w="2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&lt; 48 hours</w:t>
            </w:r>
          </w:p>
        </w:tc>
        <w:tc>
          <w:tcPr>
            <w:tcW w:type="dxa" w:w="31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Vulnerability management platform</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Quality Assurance</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Automated test coverage across portfolio</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&gt; 80%</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Code coverage tools</w:t>
            </w:r>
          </w:p>
        </w:tc>
      </w:tr>
      <w:tr>
        <w:tc>
          <w:tcPr>
            <w:tcW w:type="dxa" w:w="16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Quality Assurance</w:t>
            </w:r>
          </w:p>
        </w:tc>
        <w:tc>
          <w:tcPr>
            <w:tcW w:type="dxa" w:w="24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Production defect escape rate</w:t>
            </w:r>
          </w:p>
        </w:tc>
        <w:tc>
          <w:tcPr>
            <w:tcW w:type="dxa" w:w="2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&lt; 5%</w:t>
            </w:r>
          </w:p>
        </w:tc>
        <w:tc>
          <w:tcPr>
            <w:tcW w:type="dxa" w:w="31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Issue tracking system</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Third-Party Risk</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Vendor compliance assessment completion rate</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100% for critical vendors</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TPRM platform</w:t>
            </w:r>
          </w:p>
        </w:tc>
      </w:tr>
      <w:tr>
        <w:tc>
          <w:tcPr>
            <w:tcW w:type="dxa" w:w="16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Third-Party Risk</w:t>
            </w:r>
          </w:p>
        </w:tc>
        <w:tc>
          <w:tcPr>
            <w:tcW w:type="dxa" w:w="24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Average vendor risk score trend</w:t>
            </w:r>
          </w:p>
        </w:tc>
        <w:tc>
          <w:tcPr>
            <w:tcW w:type="dxa" w:w="2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Improving quarter-over-quarter</w:t>
            </w:r>
          </w:p>
        </w:tc>
        <w:tc>
          <w:tcPr>
            <w:tcW w:type="dxa" w:w="31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Vendor risk scoring system</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AI Governance</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AI model bias detection coverage</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&gt; 95% of production models</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AI monitoring platform</w:t>
            </w:r>
          </w:p>
        </w:tc>
      </w:tr>
      <w:tr>
        <w:tc>
          <w:tcPr>
            <w:tcW w:type="dxa" w:w="16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AI Governance</w:t>
            </w:r>
          </w:p>
        </w:tc>
        <w:tc>
          <w:tcPr>
            <w:tcW w:type="dxa" w:w="24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Model drift detection response time</w:t>
            </w:r>
          </w:p>
        </w:tc>
        <w:tc>
          <w:tcPr>
            <w:tcW w:type="dxa" w:w="2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&lt; 4 hours</w:t>
            </w:r>
          </w:p>
        </w:tc>
        <w:tc>
          <w:tcPr>
            <w:tcW w:type="dxa" w:w="31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ML monitoring system</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Operational Excellence</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Change failure rate</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&lt; 5%</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Deployment tracking</w:t>
            </w:r>
          </w:p>
        </w:tc>
      </w:tr>
      <w:tr>
        <w:tc>
          <w:tcPr>
            <w:tcW w:type="dxa" w:w="16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Operational Excellence</w:t>
            </w:r>
          </w:p>
        </w:tc>
        <w:tc>
          <w:tcPr>
            <w:tcW w:type="dxa" w:w="24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Mean time to recovery from incidents</w:t>
            </w:r>
          </w:p>
        </w:tc>
        <w:tc>
          <w:tcPr>
            <w:tcW w:type="dxa" w:w="2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&lt; 1 hour for Sev1</w:t>
            </w:r>
          </w:p>
        </w:tc>
        <w:tc>
          <w:tcPr>
            <w:tcW w:type="dxa" w:w="31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Incident management system</w:t>
            </w:r>
          </w:p>
        </w:tc>
      </w:tr>
    </w:tbl>
    <w:p>
      <w:r>
        <w:br w:type="page"/>
      </w:r>
    </w:p>
    <w:p>
      <w:pPr>
        <w:pStyle w:val="Heading1"/>
        <w:spacing w:after="200" w:before="360"/>
      </w:pPr>
      <w:r>
        <w:rPr>
          <w:rFonts w:ascii="Arial" w:cs="Arial" w:eastAsia="Arial" w:hAnsi="Arial"/>
          <w:b/>
          <w:bCs/>
          <w:color w:val="1F3864"/>
          <w:sz w:val="32"/>
          <w:szCs w:val="32"/>
        </w:rPr>
        <w:t xml:space="preserve">XI.3 Governance Dashboard Architecture</w:t>
      </w:r>
    </w:p>
    <w:p>
      <w:pPr>
        <w:pBdr>
          <w:bottom w:val="single" w:color="2E75B6" w:sz="6" w:space="1"/>
        </w:pBdr>
        <w:spacing w:after="200" w:before="200"/>
      </w:pPr>
    </w:p>
    <w:p>
      <w:pPr>
        <w:pStyle w:val="Heading2"/>
        <w:spacing w:after="160" w:before="280"/>
      </w:pPr>
      <w:r>
        <w:rPr>
          <w:rFonts w:ascii="Arial" w:cs="Arial" w:eastAsia="Arial" w:hAnsi="Arial"/>
          <w:b/>
          <w:bCs/>
          <w:color w:val="2E75B6"/>
          <w:sz w:val="28"/>
          <w:szCs w:val="28"/>
        </w:rPr>
        <w:t xml:space="preserve">XI.3.1 Dashboard Hierarchy and Design</w:t>
      </w:r>
    </w:p>
    <w:p>
      <w:pPr>
        <w:spacing w:after="120"/>
      </w:pPr>
      <w:r>
        <w:rPr>
          <w:rFonts w:ascii="Arial" w:cs="Arial" w:eastAsia="Arial" w:hAnsi="Arial"/>
          <w:sz w:val="22"/>
          <w:szCs w:val="22"/>
        </w:rPr>
        <w:t xml:space="preserve">The governance dashboard architecture provides role-appropriate views of governance health, performance, and trends through a hierarchical dashboard system. Each dashboard level aggregates data from the level below, enabling drill-down from strategic summaries to operational details while maintaining consistent data lineage.</w:t>
      </w:r>
    </w:p>
    <w:p>
      <w:pPr>
        <w:pStyle w:val="Heading3"/>
        <w:spacing w:after="120" w:before="200"/>
      </w:pPr>
      <w:r>
        <w:rPr>
          <w:rFonts w:ascii="Arial" w:cs="Arial" w:eastAsia="Arial" w:hAnsi="Arial"/>
          <w:b/>
          <w:bCs/>
          <w:color w:val="1F3864"/>
          <w:sz w:val="24"/>
          <w:szCs w:val="24"/>
        </w:rPr>
        <w:t xml:space="preserve">Dashboard Portfolio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600"/>
        <w:gridCol w:w="3400"/>
        <w:gridCol w:w="2360"/>
      </w:tblGrid>
      <w:tr>
        <w:tc>
          <w:tcPr>
            <w:tcW w:type="dxa" w:w="2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F3864"/>
                <w:sz w:val="20"/>
                <w:szCs w:val="20"/>
              </w:rPr>
              <w:t xml:space="preserve">Dashboard</w:t>
            </w:r>
          </w:p>
        </w:tc>
        <w:tc>
          <w:tcPr>
            <w:tcW w:type="dxa" w:w="1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F3864"/>
                <w:sz w:val="20"/>
                <w:szCs w:val="20"/>
              </w:rPr>
              <w:t xml:space="preserve">Primary User</w:t>
            </w:r>
          </w:p>
        </w:tc>
        <w:tc>
          <w:tcPr>
            <w:tcW w:type="dxa" w:w="3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F3864"/>
                <w:sz w:val="20"/>
                <w:szCs w:val="20"/>
              </w:rPr>
              <w:t xml:space="preserve">Key Views</w:t>
            </w:r>
          </w:p>
        </w:tc>
        <w:tc>
          <w:tcPr>
            <w:tcW w:type="dxa" w:w="23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F3864"/>
                <w:sz w:val="20"/>
                <w:szCs w:val="20"/>
              </w:rPr>
              <w:t xml:space="preserve">Refresh Rate</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Executive Command Center</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C-suite and Board</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Strategic KPIs; risk heat map; ROI trending; compliance posture; incident summary</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Daily with quarterly deep-dive</w:t>
            </w:r>
          </w:p>
        </w:tc>
      </w:tr>
      <w:tr>
        <w:tc>
          <w:tcPr>
            <w:tcW w:type="dxa" w:w="2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Governance Operations Center</w:t>
            </w:r>
          </w:p>
        </w:tc>
        <w:tc>
          <w:tcPr>
            <w:tcW w:type="dxa" w:w="16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VP Engineering and CISO</w:t>
            </w:r>
          </w:p>
        </w:tc>
        <w:tc>
          <w:tcPr>
            <w:tcW w:type="dxa" w:w="34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Capability metrics; team comparisons; trend analysis; exception tracking; resource utilization</w:t>
            </w:r>
          </w:p>
        </w:tc>
        <w:tc>
          <w:tcPr>
            <w:tcW w:type="dxa" w:w="23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Real-time with weekly synthesis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Team Performance Dashboard</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Engineering Managers</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Team compliance scores; velocity metrics; quality trends; training progress; champion activity</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Real-time with sprint alignment</w:t>
            </w:r>
          </w:p>
        </w:tc>
      </w:tr>
      <w:tr>
        <w:tc>
          <w:tcPr>
            <w:tcW w:type="dxa" w:w="2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Developer Dashboard</w:t>
            </w:r>
          </w:p>
        </w:tc>
        <w:tc>
          <w:tcPr>
            <w:tcW w:type="dxa" w:w="16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Individual Contributors</w:t>
            </w:r>
          </w:p>
        </w:tc>
        <w:tc>
          <w:tcPr>
            <w:tcW w:type="dxa" w:w="34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Personal compliance status; security findings; quality metrics; learning progress; contribution recognition</w:t>
            </w:r>
          </w:p>
        </w:tc>
        <w:tc>
          <w:tcPr>
            <w:tcW w:type="dxa" w:w="23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Real-time</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Portfolio Health Dashboard</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Architecture and PMO</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Application health scores; technology radar compliance; technical debt trending; lifecycle status</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Daily</w:t>
            </w:r>
          </w:p>
        </w:tc>
      </w:tr>
      <w:tr>
        <w:tc>
          <w:tcPr>
            <w:tcW w:type="dxa" w:w="2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Risk and Compliance Dashboard</w:t>
            </w:r>
          </w:p>
        </w:tc>
        <w:tc>
          <w:tcPr>
            <w:tcW w:type="dxa" w:w="16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CISO and Compliance</w:t>
            </w:r>
          </w:p>
        </w:tc>
        <w:tc>
          <w:tcPr>
            <w:tcW w:type="dxa" w:w="34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Risk register; audit findings; regulatory compliance; vendor risk; incident trends</w:t>
            </w:r>
          </w:p>
        </w:tc>
        <w:tc>
          <w:tcPr>
            <w:tcW w:type="dxa" w:w="23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Real-time with monthly reporting</w:t>
            </w:r>
          </w:p>
        </w:tc>
      </w:tr>
    </w:tbl>
    <w:p>
      <w:pPr>
        <w:pStyle w:val="Heading2"/>
        <w:spacing w:after="160" w:before="280"/>
      </w:pPr>
      <w:r>
        <w:rPr>
          <w:rFonts w:ascii="Arial" w:cs="Arial" w:eastAsia="Arial" w:hAnsi="Arial"/>
          <w:b/>
          <w:bCs/>
          <w:color w:val="2E75B6"/>
          <w:sz w:val="28"/>
          <w:szCs w:val="28"/>
        </w:rPr>
        <w:t xml:space="preserve">XI.3.2 Data Architecture for Governance Analytics</w:t>
      </w:r>
    </w:p>
    <w:p>
      <w:pPr>
        <w:spacing w:after="120"/>
      </w:pPr>
      <w:r>
        <w:rPr>
          <w:rFonts w:ascii="Arial" w:cs="Arial" w:eastAsia="Arial" w:hAnsi="Arial"/>
          <w:sz w:val="22"/>
          <w:szCs w:val="22"/>
        </w:rPr>
        <w:t xml:space="preserve">The governance analytics platform collects, processes, and presents data from across the governance toolchain through a centralized data platform that ensures data consistency, enables cross-domain correlation, and supports both real-time operational analytics and historical trend analysis.</w:t>
      </w:r>
    </w:p>
    <w:p>
      <w:pPr>
        <w:pStyle w:val="Heading3"/>
        <w:spacing w:after="120" w:before="200"/>
      </w:pPr>
      <w:r>
        <w:rPr>
          <w:rFonts w:ascii="Arial" w:cs="Arial" w:eastAsia="Arial" w:hAnsi="Arial"/>
          <w:b/>
          <w:bCs/>
          <w:color w:val="1F3864"/>
          <w:sz w:val="24"/>
          <w:szCs w:val="24"/>
        </w:rPr>
        <w:t xml:space="preserve">Data Pipeline Architecture</w:t>
      </w:r>
    </w:p>
    <w:p>
      <w:pPr>
        <w:pStyle w:val="ListParagraph"/>
        <w:numPr>
          <w:ilvl w:val="0"/>
          <w:numId w:val="10"/>
        </w:numPr>
        <w:spacing w:after="80"/>
      </w:pPr>
      <w:r>
        <w:rPr>
          <w:rFonts w:ascii="Arial" w:cs="Arial" w:eastAsia="Arial" w:hAnsi="Arial"/>
          <w:sz w:val="22"/>
          <w:szCs w:val="22"/>
        </w:rPr>
        <w:t xml:space="preserve">Collection Layer: Telemetry agents and API integrations collect data from CI/CD pipelines, security scanning tools, monitoring platforms, incident management systems, training platforms, and project management tools. All data is timestamped and tagged with organizational metadata.</w:t>
      </w:r>
    </w:p>
    <w:p>
      <w:pPr>
        <w:pStyle w:val="ListParagraph"/>
        <w:numPr>
          <w:ilvl w:val="0"/>
          <w:numId w:val="10"/>
        </w:numPr>
        <w:spacing w:after="80"/>
      </w:pPr>
      <w:r>
        <w:rPr>
          <w:rFonts w:ascii="Arial" w:cs="Arial" w:eastAsia="Arial" w:hAnsi="Arial"/>
          <w:sz w:val="22"/>
          <w:szCs w:val="22"/>
        </w:rPr>
        <w:t xml:space="preserve">Processing Layer: Stream processing handles real-time alerting and dashboard updates while batch processing supports historical analysis, trend computation, and predictive model training. Data quality checks validate completeness and consistency.</w:t>
      </w:r>
    </w:p>
    <w:p>
      <w:pPr>
        <w:pStyle w:val="ListParagraph"/>
        <w:numPr>
          <w:ilvl w:val="0"/>
          <w:numId w:val="10"/>
        </w:numPr>
        <w:spacing w:after="80"/>
      </w:pPr>
      <w:r>
        <w:rPr>
          <w:rFonts w:ascii="Arial" w:cs="Arial" w:eastAsia="Arial" w:hAnsi="Arial"/>
          <w:sz w:val="22"/>
          <w:szCs w:val="22"/>
        </w:rPr>
        <w:t xml:space="preserve">Storage Layer: A governance data lake stores raw telemetry for long-term analysis, while a governance data warehouse provides pre-computed aggregations optimized for dashboard queries. Data retention follows regulatory requirements with minimum 7-year retention for compliance-relevant metrics.</w:t>
      </w:r>
    </w:p>
    <w:p>
      <w:pPr>
        <w:pStyle w:val="ListParagraph"/>
        <w:numPr>
          <w:ilvl w:val="0"/>
          <w:numId w:val="10"/>
        </w:numPr>
        <w:spacing w:after="80"/>
      </w:pPr>
      <w:r>
        <w:rPr>
          <w:rFonts w:ascii="Arial" w:cs="Arial" w:eastAsia="Arial" w:hAnsi="Arial"/>
          <w:sz w:val="22"/>
          <w:szCs w:val="22"/>
        </w:rPr>
        <w:t xml:space="preserve">Analytics Layer: Self-service analytics tools enable ad-hoc investigation by governance analysts, while pre-built reports and automated alerts serve routine operational and executive reporting needs. Machine learning models generate predictions and anomaly detection.</w:t>
      </w:r>
    </w:p>
    <w:p>
      <w:pPr>
        <w:pStyle w:val="ListParagraph"/>
        <w:numPr>
          <w:ilvl w:val="0"/>
          <w:numId w:val="10"/>
        </w:numPr>
        <w:spacing w:after="80"/>
      </w:pPr>
      <w:r>
        <w:rPr>
          <w:rFonts w:ascii="Arial" w:cs="Arial" w:eastAsia="Arial" w:hAnsi="Arial"/>
          <w:sz w:val="22"/>
          <w:szCs w:val="22"/>
        </w:rPr>
        <w:t xml:space="preserve">Presentation Layer: Dashboards render through a unified portal with role-based access controls, configurable views, and export capabilities. Mobile-optimized views enable executive access during travel and off-hours escalation response.</w:t>
      </w:r>
    </w:p>
    <w:p>
      <w:pPr>
        <w:pStyle w:val="Heading2"/>
        <w:spacing w:after="160" w:before="280"/>
      </w:pPr>
      <w:r>
        <w:rPr>
          <w:rFonts w:ascii="Arial" w:cs="Arial" w:eastAsia="Arial" w:hAnsi="Arial"/>
          <w:b/>
          <w:bCs/>
          <w:color w:val="2E75B6"/>
          <w:sz w:val="28"/>
          <w:szCs w:val="28"/>
        </w:rPr>
        <w:t xml:space="preserve">XI.3.3 AI-Powered Governance Intelligence</w:t>
      </w:r>
    </w:p>
    <w:p>
      <w:pPr>
        <w:spacing w:after="120"/>
      </w:pPr>
      <w:r>
        <w:rPr>
          <w:rFonts w:ascii="Arial" w:cs="Arial" w:eastAsia="Arial" w:hAnsi="Arial"/>
          <w:sz w:val="22"/>
          <w:szCs w:val="22"/>
        </w:rPr>
        <w:t xml:space="preserve">The governance analytics platform employs artificial intelligence to transform raw governance data into actionable intelligence that enables proactive decision-making and predictive risk management.</w:t>
      </w:r>
    </w:p>
    <w:p>
      <w:pPr>
        <w:pStyle w:val="ListParagraph"/>
        <w:numPr>
          <w:ilvl w:val="0"/>
          <w:numId w:val="5"/>
        </w:numPr>
        <w:spacing w:after="80"/>
      </w:pPr>
      <w:r>
        <w:rPr>
          <w:rFonts w:ascii="Arial" w:cs="Arial" w:eastAsia="Arial" w:hAnsi="Arial"/>
          <w:b/>
          <w:bCs/>
          <w:sz w:val="22"/>
          <w:szCs w:val="22"/>
        </w:rPr>
        <w:t xml:space="preserve">Anomaly Detection: </w:t>
      </w:r>
      <w:r>
        <w:rPr>
          <w:rFonts w:ascii="Arial" w:cs="Arial" w:eastAsia="Arial" w:hAnsi="Arial"/>
          <w:sz w:val="22"/>
          <w:szCs w:val="22"/>
        </w:rPr>
        <w:t xml:space="preserve">Machine learning models establish baseline patterns for governance metrics and alert when statistically significant deviations occur, enabling early detection of emerging governance risks before they manifest as incidents.</w:t>
      </w:r>
    </w:p>
    <w:p>
      <w:pPr>
        <w:pStyle w:val="ListParagraph"/>
        <w:numPr>
          <w:ilvl w:val="0"/>
          <w:numId w:val="5"/>
        </w:numPr>
        <w:spacing w:after="80"/>
      </w:pPr>
      <w:r>
        <w:rPr>
          <w:rFonts w:ascii="Arial" w:cs="Arial" w:eastAsia="Arial" w:hAnsi="Arial"/>
          <w:b/>
          <w:bCs/>
          <w:sz w:val="22"/>
          <w:szCs w:val="22"/>
        </w:rPr>
        <w:t xml:space="preserve">Trend Prediction: </w:t>
      </w:r>
      <w:r>
        <w:rPr>
          <w:rFonts w:ascii="Arial" w:cs="Arial" w:eastAsia="Arial" w:hAnsi="Arial"/>
          <w:sz w:val="22"/>
          <w:szCs w:val="22"/>
        </w:rPr>
        <w:t xml:space="preserve">Time-series forecasting models project future governance metric trajectories based on historical patterns and current trends, enabling proactive resource allocation and intervention planning.</w:t>
      </w:r>
    </w:p>
    <w:p>
      <w:pPr>
        <w:pStyle w:val="ListParagraph"/>
        <w:numPr>
          <w:ilvl w:val="0"/>
          <w:numId w:val="5"/>
        </w:numPr>
        <w:spacing w:after="80"/>
      </w:pPr>
      <w:r>
        <w:rPr>
          <w:rFonts w:ascii="Arial" w:cs="Arial" w:eastAsia="Arial" w:hAnsi="Arial"/>
          <w:b/>
          <w:bCs/>
          <w:sz w:val="22"/>
          <w:szCs w:val="22"/>
        </w:rPr>
        <w:t xml:space="preserve">Root Cause Analysis: </w:t>
      </w:r>
      <w:r>
        <w:rPr>
          <w:rFonts w:ascii="Arial" w:cs="Arial" w:eastAsia="Arial" w:hAnsi="Arial"/>
          <w:sz w:val="22"/>
          <w:szCs w:val="22"/>
        </w:rPr>
        <w:t xml:space="preserve">When governance metrics degrade, AI-assisted root cause analysis correlates changes across multiple data sources to identify likely causal factors and recommend targeted remediation actions.</w:t>
      </w:r>
    </w:p>
    <w:p>
      <w:pPr>
        <w:pStyle w:val="ListParagraph"/>
        <w:numPr>
          <w:ilvl w:val="0"/>
          <w:numId w:val="5"/>
        </w:numPr>
        <w:spacing w:after="80"/>
      </w:pPr>
      <w:r>
        <w:rPr>
          <w:rFonts w:ascii="Arial" w:cs="Arial" w:eastAsia="Arial" w:hAnsi="Arial"/>
          <w:b/>
          <w:bCs/>
          <w:sz w:val="22"/>
          <w:szCs w:val="22"/>
        </w:rPr>
        <w:t xml:space="preserve">Optimization Recommendations: </w:t>
      </w:r>
      <w:r>
        <w:rPr>
          <w:rFonts w:ascii="Arial" w:cs="Arial" w:eastAsia="Arial" w:hAnsi="Arial"/>
          <w:sz w:val="22"/>
          <w:szCs w:val="22"/>
        </w:rPr>
        <w:t xml:space="preserve">Continuous analysis of governance process efficiency generates automated recommendations for workflow optimization, resource reallocation, and capability investment priorities.</w:t>
      </w:r>
    </w:p>
    <w:p>
      <w:r>
        <w:br w:type="page"/>
      </w:r>
    </w:p>
    <w:p>
      <w:pPr>
        <w:pStyle w:val="Heading1"/>
        <w:spacing w:after="200" w:before="360"/>
      </w:pPr>
      <w:r>
        <w:rPr>
          <w:rFonts w:ascii="Arial" w:cs="Arial" w:eastAsia="Arial" w:hAnsi="Arial"/>
          <w:b/>
          <w:bCs/>
          <w:color w:val="1F3864"/>
          <w:sz w:val="32"/>
          <w:szCs w:val="32"/>
        </w:rPr>
        <w:t xml:space="preserve">XI.4 ROI and Business Value Measurement</w:t>
      </w:r>
    </w:p>
    <w:p>
      <w:pPr>
        <w:pBdr>
          <w:bottom w:val="single" w:color="2E75B6" w:sz="6" w:space="1"/>
        </w:pBdr>
        <w:spacing w:after="200" w:before="200"/>
      </w:pPr>
    </w:p>
    <w:p>
      <w:pPr>
        <w:pStyle w:val="Heading2"/>
        <w:spacing w:after="160" w:before="280"/>
      </w:pPr>
      <w:r>
        <w:rPr>
          <w:rFonts w:ascii="Arial" w:cs="Arial" w:eastAsia="Arial" w:hAnsi="Arial"/>
          <w:b/>
          <w:bCs/>
          <w:color w:val="2E75B6"/>
          <w:sz w:val="28"/>
          <w:szCs w:val="28"/>
        </w:rPr>
        <w:t xml:space="preserve">XI.4.1 Governance Value Model</w:t>
      </w:r>
    </w:p>
    <w:p>
      <w:pPr>
        <w:spacing w:after="120"/>
      </w:pPr>
      <w:r>
        <w:rPr>
          <w:rFonts w:ascii="Arial" w:cs="Arial" w:eastAsia="Arial" w:hAnsi="Arial"/>
          <w:sz w:val="22"/>
          <w:szCs w:val="22"/>
        </w:rPr>
        <w:t xml:space="preserve">The governance value model quantifies the business impact of governance investments across four value dimensions: cost avoidance, productivity improvement, risk reduction, and strategic enablement. Each dimension employs specific measurement methodologies that translate governance outcomes into financial terms comprehensible to business stakeholders and suitable for investment justification.</w:t>
      </w:r>
    </w:p>
    <w:p>
      <w:pPr>
        <w:pStyle w:val="Heading3"/>
        <w:spacing w:after="120" w:before="200"/>
      </w:pPr>
      <w:r>
        <w:rPr>
          <w:rFonts w:ascii="Arial" w:cs="Arial" w:eastAsia="Arial" w:hAnsi="Arial"/>
          <w:b/>
          <w:bCs/>
          <w:color w:val="1F3864"/>
          <w:sz w:val="24"/>
          <w:szCs w:val="24"/>
        </w:rPr>
        <w:t xml:space="preserve">Value Dimension Framework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200"/>
        <w:gridCol w:w="2600"/>
        <w:gridCol w:w="2960"/>
      </w:tblGrid>
      <w:tr>
        <w:tc>
          <w:tcPr>
            <w:tcW w:type="dxa" w:w="1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F3864"/>
                <w:sz w:val="20"/>
                <w:szCs w:val="20"/>
              </w:rPr>
              <w:t xml:space="preserve">Value Dimension</w:t>
            </w:r>
          </w:p>
        </w:tc>
        <w:tc>
          <w:tcPr>
            <w:tcW w:type="dxa" w:w="2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F3864"/>
                <w:sz w:val="20"/>
                <w:szCs w:val="20"/>
              </w:rPr>
              <w:t xml:space="preserve">Components</w:t>
            </w:r>
          </w:p>
        </w:tc>
        <w:tc>
          <w:tcPr>
            <w:tcW w:type="dxa" w:w="2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F3864"/>
                <w:sz w:val="20"/>
                <w:szCs w:val="20"/>
              </w:rPr>
              <w:t xml:space="preserve">Measurement Approach</w:t>
            </w:r>
          </w:p>
        </w:tc>
        <w:tc>
          <w:tcPr>
            <w:tcW w:type="dxa" w:w="29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F3864"/>
                <w:sz w:val="20"/>
                <w:szCs w:val="20"/>
              </w:rPr>
              <w:t xml:space="preserve">Typical Year-2 Impact</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Cost Avoidance</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Incident prevention; compliance penalty avoidance; rework reduction; audit efficiency</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Historical incident cost analysis; regulatory penalty benchmarking; rework hour tracking</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2-4x governance investment</w:t>
            </w:r>
          </w:p>
        </w:tc>
      </w:tr>
      <w:tr>
        <w:tc>
          <w:tcPr>
            <w:tcW w:type="dxa" w:w="16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Productivity Improvement</w:t>
            </w:r>
          </w:p>
        </w:tc>
        <w:tc>
          <w:tcPr>
            <w:tcW w:type="dxa" w:w="2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Automated workflows; reduced manual reviews; faster onboarding; self-service enablement</w:t>
            </w:r>
          </w:p>
        </w:tc>
        <w:tc>
          <w:tcPr>
            <w:tcW w:type="dxa" w:w="26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Before/after time-motion studies; automation coverage rates; onboarding velocity tracking</w:t>
            </w:r>
          </w:p>
        </w:tc>
        <w:tc>
          <w:tcPr>
            <w:tcW w:type="dxa" w:w="29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15-25% developer time savings</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Risk Reduction</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Reduced vulnerability exposure; improved compliance posture; lower insurance premiums</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Risk quantification models; insurance cost trending; compliance gap monetary valuation</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30-50% risk exposure reduction</w:t>
            </w:r>
          </w:p>
        </w:tc>
      </w:tr>
      <w:tr>
        <w:tc>
          <w:tcPr>
            <w:tcW w:type="dxa" w:w="16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Strategic Enablement</w:t>
            </w:r>
          </w:p>
        </w:tc>
        <w:tc>
          <w:tcPr>
            <w:tcW w:type="dxa" w:w="2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Faster time-to-market; M&amp;A readiness; new market entry capability; talent attraction</w:t>
            </w:r>
          </w:p>
        </w:tc>
        <w:tc>
          <w:tcPr>
            <w:tcW w:type="dxa" w:w="26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Cycle time trending; integration readiness assessments; market entry timeline analysis</w:t>
            </w:r>
          </w:p>
        </w:tc>
        <w:tc>
          <w:tcPr>
            <w:tcW w:type="dxa" w:w="29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20-30% faster strategic execution</w:t>
            </w:r>
          </w:p>
        </w:tc>
      </w:tr>
    </w:tbl>
    <w:p>
      <w:pPr>
        <w:pStyle w:val="Heading2"/>
        <w:spacing w:after="160" w:before="280"/>
      </w:pPr>
      <w:r>
        <w:rPr>
          <w:rFonts w:ascii="Arial" w:cs="Arial" w:eastAsia="Arial" w:hAnsi="Arial"/>
          <w:b/>
          <w:bCs/>
          <w:color w:val="2E75B6"/>
          <w:sz w:val="28"/>
          <w:szCs w:val="28"/>
        </w:rPr>
        <w:t xml:space="preserve">XI.4.2 ROI Calculation Methodology</w:t>
      </w:r>
    </w:p>
    <w:p>
      <w:pPr>
        <w:spacing w:after="120"/>
      </w:pPr>
      <w:r>
        <w:rPr>
          <w:rFonts w:ascii="Arial" w:cs="Arial" w:eastAsia="Arial" w:hAnsi="Arial"/>
          <w:sz w:val="22"/>
          <w:szCs w:val="22"/>
        </w:rPr>
        <w:t xml:space="preserve">Governance ROI is calculated through a structured methodology that accounts for both direct financial returns and risk-adjusted value. The methodology employs conservative assumptions and requires documented evidence for all value claims to maintain credibility with financial stakeholders.</w:t>
      </w:r>
    </w:p>
    <w:p>
      <w:pPr>
        <w:spacing w:after="120"/>
      </w:pPr>
      <w:r>
        <w:rPr>
          <w:rFonts w:ascii="Arial" w:cs="Arial" w:eastAsia="Arial" w:hAnsi="Arial"/>
          <w:b/>
          <w:bCs/>
          <w:sz w:val="22"/>
          <w:szCs w:val="22"/>
        </w:rPr>
        <w:t xml:space="preserve">Direct Cost Savings: </w:t>
      </w:r>
      <w:r>
        <w:rPr>
          <w:rFonts w:ascii="Arial" w:cs="Arial" w:eastAsia="Arial" w:hAnsi="Arial"/>
          <w:sz w:val="22"/>
          <w:szCs w:val="22"/>
        </w:rPr>
        <w:t xml:space="preserve">Quantified through before/after comparison of incident costs, manual review hours, compliance audit effort, and rework cycles. Baseline measurements are captured during the first quarter of governance implementation and tracked continuously thereafter.</w:t>
      </w:r>
    </w:p>
    <w:p>
      <w:pPr>
        <w:spacing w:after="120"/>
      </w:pPr>
      <w:r>
        <w:rPr>
          <w:rFonts w:ascii="Arial" w:cs="Arial" w:eastAsia="Arial" w:hAnsi="Arial"/>
          <w:b/>
          <w:bCs/>
          <w:sz w:val="22"/>
          <w:szCs w:val="22"/>
        </w:rPr>
        <w:t xml:space="preserve">Productivity Value: </w:t>
      </w:r>
      <w:r>
        <w:rPr>
          <w:rFonts w:ascii="Arial" w:cs="Arial" w:eastAsia="Arial" w:hAnsi="Arial"/>
          <w:sz w:val="22"/>
          <w:szCs w:val="22"/>
        </w:rPr>
        <w:t xml:space="preserve">Calculated as (hours saved per developer per month) multiplied by (fully-loaded developer cost) multiplied by (number of developers). Conservative estimates use 50% realization factor to account for time recaptured being redirected to other activities rather than directly reducing headcount.</w:t>
      </w:r>
    </w:p>
    <w:p>
      <w:pPr>
        <w:spacing w:after="120"/>
      </w:pPr>
      <w:r>
        <w:rPr>
          <w:rFonts w:ascii="Arial" w:cs="Arial" w:eastAsia="Arial" w:hAnsi="Arial"/>
          <w:b/>
          <w:bCs/>
          <w:sz w:val="22"/>
          <w:szCs w:val="22"/>
        </w:rPr>
        <w:t xml:space="preserve">Risk Reduction Value: </w:t>
      </w:r>
      <w:r>
        <w:rPr>
          <w:rFonts w:ascii="Arial" w:cs="Arial" w:eastAsia="Arial" w:hAnsi="Arial"/>
          <w:sz w:val="22"/>
          <w:szCs w:val="22"/>
        </w:rPr>
        <w:t xml:space="preserve">Quantified using annualized loss expectancy models that estimate the probability and impact of governance-preventable incidents. Risk reduction value equals the difference between pre-governance and post-governance annualized loss expectancy.</w:t>
      </w:r>
    </w:p>
    <w:p>
      <w:pPr>
        <w:spacing w:after="120"/>
      </w:pPr>
      <w:r>
        <w:rPr>
          <w:rFonts w:ascii="Arial" w:cs="Arial" w:eastAsia="Arial" w:hAnsi="Arial"/>
          <w:b/>
          <w:bCs/>
          <w:sz w:val="22"/>
          <w:szCs w:val="22"/>
        </w:rPr>
        <w:t xml:space="preserve">Investment Costs: </w:t>
      </w:r>
      <w:r>
        <w:rPr>
          <w:rFonts w:ascii="Arial" w:cs="Arial" w:eastAsia="Arial" w:hAnsi="Arial"/>
          <w:sz w:val="22"/>
          <w:szCs w:val="22"/>
        </w:rPr>
        <w:t xml:space="preserve">Include CoE staffing, tooling licenses, infrastructure, training delivery, and organizational change management. All costs are fully loaded including management overhead and allocated shared service costs.</w:t>
      </w:r>
    </w:p>
    <w:p>
      <w:r>
        <w:br w:type="page"/>
      </w:r>
    </w:p>
    <w:p>
      <w:pPr>
        <w:pStyle w:val="Heading1"/>
        <w:spacing w:after="200" w:before="360"/>
      </w:pPr>
      <w:r>
        <w:rPr>
          <w:rFonts w:ascii="Arial" w:cs="Arial" w:eastAsia="Arial" w:hAnsi="Arial"/>
          <w:b/>
          <w:bCs/>
          <w:color w:val="1F3864"/>
          <w:sz w:val="32"/>
          <w:szCs w:val="32"/>
        </w:rPr>
        <w:t xml:space="preserve">XI.5 Operating Model Design and Organizational Structure</w:t>
      </w:r>
    </w:p>
    <w:p>
      <w:pPr>
        <w:pBdr>
          <w:bottom w:val="single" w:color="2E75B6" w:sz="6" w:space="1"/>
        </w:pBdr>
        <w:spacing w:after="200" w:before="200"/>
      </w:pPr>
    </w:p>
    <w:p>
      <w:pPr>
        <w:pStyle w:val="Heading2"/>
        <w:spacing w:after="160" w:before="280"/>
      </w:pPr>
      <w:r>
        <w:rPr>
          <w:rFonts w:ascii="Arial" w:cs="Arial" w:eastAsia="Arial" w:hAnsi="Arial"/>
          <w:b/>
          <w:bCs/>
          <w:color w:val="2E75B6"/>
          <w:sz w:val="28"/>
          <w:szCs w:val="28"/>
        </w:rPr>
        <w:t xml:space="preserve">XI.5.1 Governance Operating Model Architecture</w:t>
      </w:r>
    </w:p>
    <w:p>
      <w:pPr>
        <w:spacing w:after="120"/>
      </w:pPr>
      <w:r>
        <w:rPr>
          <w:rFonts w:ascii="Arial" w:cs="Arial" w:eastAsia="Arial" w:hAnsi="Arial"/>
          <w:sz w:val="22"/>
          <w:szCs w:val="22"/>
        </w:rPr>
        <w:t xml:space="preserve">The governance operating model defines how governance authority, responsibility, and accountability are distributed across the organization. The model balances centralized standards with decentralized execution, enabling organizational scale while maintaining governance consistency.</w:t>
      </w:r>
    </w:p>
    <w:p>
      <w:pPr>
        <w:pStyle w:val="Heading3"/>
        <w:spacing w:after="120" w:before="200"/>
      </w:pPr>
      <w:r>
        <w:rPr>
          <w:rFonts w:ascii="Arial" w:cs="Arial" w:eastAsia="Arial" w:hAnsi="Arial"/>
          <w:b/>
          <w:bCs/>
          <w:color w:val="1F3864"/>
          <w:sz w:val="24"/>
          <w:szCs w:val="24"/>
        </w:rPr>
        <w:t xml:space="preserve">Three-Layer Operating Model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400"/>
        <w:gridCol w:w="2400"/>
        <w:gridCol w:w="3160"/>
      </w:tblGrid>
      <w:tr>
        <w:tc>
          <w:tcPr>
            <w:tcW w:type="dxa" w:w="1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F3864"/>
                <w:sz w:val="20"/>
                <w:szCs w:val="20"/>
              </w:rPr>
              <w:t xml:space="preserve">Layer</w:t>
            </w:r>
          </w:p>
        </w:tc>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F3864"/>
                <w:sz w:val="20"/>
                <w:szCs w:val="20"/>
              </w:rPr>
              <w:t xml:space="preserve">Function</w:t>
            </w:r>
          </w:p>
        </w:tc>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F3864"/>
                <w:sz w:val="20"/>
                <w:szCs w:val="20"/>
              </w:rPr>
              <w:t xml:space="preserve">Authority</w:t>
            </w:r>
          </w:p>
        </w:tc>
        <w:tc>
          <w:tcPr>
            <w:tcW w:type="dxa" w:w="31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F3864"/>
                <w:sz w:val="20"/>
                <w:szCs w:val="20"/>
              </w:rPr>
              <w:t xml:space="preserve">Composition</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Strategic Layer</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Sets governance vision, approves framework changes, allocates investment</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Decision authority on governance strategy and policy</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Executive Governance Council (CTO, CISO, CIO, VP Engineering, CFO delegate)</w:t>
            </w:r>
          </w:p>
        </w:tc>
      </w:tr>
      <w:tr>
        <w:tc>
          <w:tcPr>
            <w:tcW w:type="dxa" w:w="14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Tactical Layer</w:t>
            </w:r>
          </w:p>
        </w:tc>
        <w:tc>
          <w:tcPr>
            <w:tcW w:type="dxa" w:w="24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Develops standards, manages CoE, drives adoption, measures outcomes</w:t>
            </w:r>
          </w:p>
        </w:tc>
        <w:tc>
          <w:tcPr>
            <w:tcW w:type="dxa" w:w="24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Decision authority on standards, tooling, and processes</w:t>
            </w:r>
          </w:p>
        </w:tc>
        <w:tc>
          <w:tcPr>
            <w:tcW w:type="dxa" w:w="31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Governance CoE, Architecture Board, Security Council, Compliance Office</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Operational Layer</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Implements governance in daily operations, provides feedback, drives improvement</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Execution authority within defined governance boundaries</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Development teams, Champions, Platform teams, SRE, Operations</w:t>
            </w:r>
          </w:p>
        </w:tc>
      </w:tr>
    </w:tbl>
    <w:p>
      <w:pPr>
        <w:pStyle w:val="Heading2"/>
        <w:spacing w:after="160" w:before="280"/>
      </w:pPr>
      <w:r>
        <w:rPr>
          <w:rFonts w:ascii="Arial" w:cs="Arial" w:eastAsia="Arial" w:hAnsi="Arial"/>
          <w:b/>
          <w:bCs/>
          <w:color w:val="2E75B6"/>
          <w:sz w:val="28"/>
          <w:szCs w:val="28"/>
        </w:rPr>
        <w:t xml:space="preserve">XI.5.2 Governance Council Structure</w:t>
      </w:r>
    </w:p>
    <w:p>
      <w:pPr>
        <w:spacing w:after="120"/>
      </w:pPr>
      <w:r>
        <w:rPr>
          <w:rFonts w:ascii="Arial" w:cs="Arial" w:eastAsia="Arial" w:hAnsi="Arial"/>
          <w:sz w:val="22"/>
          <w:szCs w:val="22"/>
        </w:rPr>
        <w:t xml:space="preserve">The Executive Governance Council serves as the apex decision body for all governance matters, meeting quarterly to review governance health, approve strategy adjustments, and allocate resources. The council is supported by three specialized sub-councils that meet monthly to address domain-specific governance needs.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000"/>
        <w:gridCol w:w="2000"/>
        <w:gridCol w:w="1200"/>
        <w:gridCol w:w="2360"/>
      </w:tblGrid>
      <w:tr>
        <w:tc>
          <w:tcPr>
            <w:tcW w:type="dxa" w:w="1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F3864"/>
                <w:sz w:val="20"/>
                <w:szCs w:val="20"/>
              </w:rPr>
              <w:t xml:space="preserve">Council Body</w:t>
            </w:r>
          </w:p>
        </w:tc>
        <w:tc>
          <w:tcPr>
            <w:tcW w:type="dxa" w:w="2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F3864"/>
                <w:sz w:val="20"/>
                <w:szCs w:val="20"/>
              </w:rPr>
              <w:t xml:space="preserve">Charter</w:t>
            </w:r>
          </w:p>
        </w:tc>
        <w:tc>
          <w:tcPr>
            <w:tcW w:type="dxa" w:w="2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F3864"/>
                <w:sz w:val="20"/>
                <w:szCs w:val="20"/>
              </w:rPr>
              <w:t xml:space="preserve">Members</w:t>
            </w:r>
          </w:p>
        </w:tc>
        <w:tc>
          <w:tcPr>
            <w:tcW w:type="dxa" w:w="1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F3864"/>
                <w:sz w:val="20"/>
                <w:szCs w:val="20"/>
              </w:rPr>
              <w:t xml:space="preserve">Meeting Cadence</w:t>
            </w:r>
          </w:p>
        </w:tc>
        <w:tc>
          <w:tcPr>
            <w:tcW w:type="dxa" w:w="23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F3864"/>
                <w:sz w:val="20"/>
                <w:szCs w:val="20"/>
              </w:rPr>
              <w:t xml:space="preserve">Decision Authority</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Executive Governance Council</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Strategic direction, investment approval, escalation resolution</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CTO, CISO, CIO, VP Engineering, CFO delegate</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Quarterly</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All governance policy and investment</w:t>
            </w:r>
          </w:p>
        </w:tc>
      </w:tr>
      <w:tr>
        <w:tc>
          <w:tcPr>
            <w:tcW w:type="dxa" w:w="1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Technical Standards Council</w:t>
            </w:r>
          </w:p>
        </w:tc>
        <w:tc>
          <w:tcPr>
            <w:tcW w:type="dxa" w:w="2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Architecture standards, technology radar, platform decisions</w:t>
            </w:r>
          </w:p>
        </w:tc>
        <w:tc>
          <w:tcPr>
            <w:tcW w:type="dxa" w:w="2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Chief Architect, Platform leads, Senior engineers</w:t>
            </w:r>
          </w:p>
        </w:tc>
        <w:tc>
          <w:tcPr>
            <w:tcW w:type="dxa" w:w="1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Monthly</w:t>
            </w:r>
          </w:p>
        </w:tc>
        <w:tc>
          <w:tcPr>
            <w:tcW w:type="dxa" w:w="23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Technical standards and technology selection</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Security and Compliance Council</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Security policies, compliance framework, risk tolerance</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CISO, Compliance Director, Security architects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Monthly</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Security and compliance requirements</w:t>
            </w:r>
          </w:p>
        </w:tc>
      </w:tr>
      <w:tr>
        <w:tc>
          <w:tcPr>
            <w:tcW w:type="dxa" w:w="1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Operations Council</w:t>
            </w:r>
          </w:p>
        </w:tc>
        <w:tc>
          <w:tcPr>
            <w:tcW w:type="dxa" w:w="2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Operational standards, SRE practices, incident management</w:t>
            </w:r>
          </w:p>
        </w:tc>
        <w:tc>
          <w:tcPr>
            <w:tcW w:type="dxa" w:w="2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VP Operations, SRE leads, Platform engineering leads</w:t>
            </w:r>
          </w:p>
        </w:tc>
        <w:tc>
          <w:tcPr>
            <w:tcW w:type="dxa" w:w="1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Monthly</w:t>
            </w:r>
          </w:p>
        </w:tc>
        <w:tc>
          <w:tcPr>
            <w:tcW w:type="dxa" w:w="23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Operational procedures and SLAs</w:t>
            </w:r>
          </w:p>
        </w:tc>
      </w:tr>
    </w:tbl>
    <w:p>
      <w:pPr>
        <w:pStyle w:val="Heading2"/>
        <w:spacing w:after="160" w:before="280"/>
      </w:pPr>
      <w:r>
        <w:rPr>
          <w:rFonts w:ascii="Arial" w:cs="Arial" w:eastAsia="Arial" w:hAnsi="Arial"/>
          <w:b/>
          <w:bCs/>
          <w:color w:val="2E75B6"/>
          <w:sz w:val="28"/>
          <w:szCs w:val="28"/>
        </w:rPr>
        <w:t xml:space="preserve">XI.5.3 Federated Governance Model</w:t>
      </w:r>
    </w:p>
    <w:p>
      <w:pPr>
        <w:spacing w:after="120"/>
      </w:pPr>
      <w:r>
        <w:rPr>
          <w:rFonts w:ascii="Arial" w:cs="Arial" w:eastAsia="Arial" w:hAnsi="Arial"/>
          <w:sz w:val="22"/>
          <w:szCs w:val="22"/>
        </w:rPr>
        <w:t xml:space="preserve">Large enterprises with multiple business units, geographic regions, or regulatory environments require a federated governance model that maintains enterprise-wide consistency on critical governance dimensions while enabling business-unit-specific adaptation for non-critical dimensions.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600"/>
        <w:gridCol w:w="2600"/>
        <w:gridCol w:w="2560"/>
      </w:tblGrid>
      <w:tr>
        <w:tc>
          <w:tcPr>
            <w:tcW w:type="dxa" w:w="1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F3864"/>
                <w:sz w:val="20"/>
                <w:szCs w:val="20"/>
              </w:rPr>
              <w:t xml:space="preserve">Governance Dimension</w:t>
            </w:r>
          </w:p>
        </w:tc>
        <w:tc>
          <w:tcPr>
            <w:tcW w:type="dxa" w:w="2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F3864"/>
                <w:sz w:val="20"/>
                <w:szCs w:val="20"/>
              </w:rPr>
              <w:t xml:space="preserve">Centralized (Enterprise Standard)</w:t>
            </w:r>
          </w:p>
        </w:tc>
        <w:tc>
          <w:tcPr>
            <w:tcW w:type="dxa" w:w="2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F3864"/>
                <w:sz w:val="20"/>
                <w:szCs w:val="20"/>
              </w:rPr>
              <w:t xml:space="preserve">Federated (BU Adaptation Allowed)</w:t>
            </w:r>
          </w:p>
        </w:tc>
        <w:tc>
          <w:tcPr>
            <w:tcW w:type="dxa" w:w="25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F3864"/>
                <w:sz w:val="20"/>
                <w:szCs w:val="20"/>
              </w:rPr>
              <w:t xml:space="preserve">Decentralized (BU Authority)</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Security policies</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Core security requirements; zero-trust mandate; encryption standards</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Additional security controls for sector-specific regulations</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Security tooling selection within approved vendor list</w:t>
            </w:r>
          </w:p>
        </w:tc>
      </w:tr>
      <w:tr>
        <w:tc>
          <w:tcPr>
            <w:tcW w:type="dxa" w:w="16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Compliance framework</w:t>
            </w:r>
          </w:p>
        </w:tc>
        <w:tc>
          <w:tcPr>
            <w:tcW w:type="dxa" w:w="26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Enterprise regulatory mapping; audit methodology</w:t>
            </w:r>
          </w:p>
        </w:tc>
        <w:tc>
          <w:tcPr>
            <w:tcW w:type="dxa" w:w="26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Region-specific regulatory interpretation</w:t>
            </w:r>
          </w:p>
        </w:tc>
        <w:tc>
          <w:tcPr>
            <w:tcW w:type="dxa" w:w="25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Compliance reporting format and cadence</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Architecture standards</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Core architecture principles; integration patterns</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Technology stack selection within approved radar</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Internal service architecture decisions</w:t>
            </w:r>
          </w:p>
        </w:tc>
      </w:tr>
      <w:tr>
        <w:tc>
          <w:tcPr>
            <w:tcW w:type="dxa" w:w="16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Development practices</w:t>
            </w:r>
          </w:p>
        </w:tc>
        <w:tc>
          <w:tcPr>
            <w:tcW w:type="dxa" w:w="26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Code review requirements; testing minimums</w:t>
            </w:r>
          </w:p>
        </w:tc>
        <w:tc>
          <w:tcPr>
            <w:tcW w:type="dxa" w:w="26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Sprint methodologies; team workflow design</w:t>
            </w:r>
          </w:p>
        </w:tc>
        <w:tc>
          <w:tcPr>
            <w:tcW w:type="dxa" w:w="25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IDE selection; personal productivity tooling</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Data governance</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Classification schema; retention policies; privacy requirements</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Data quality thresholds by business domain</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Internal data model design; query optimization</w:t>
            </w:r>
          </w:p>
        </w:tc>
      </w:tr>
    </w:tbl>
    <w:p>
      <w:r>
        <w:br w:type="page"/>
      </w:r>
    </w:p>
    <w:p>
      <w:pPr>
        <w:pStyle w:val="Heading1"/>
        <w:spacing w:after="200" w:before="360"/>
      </w:pPr>
      <w:r>
        <w:rPr>
          <w:rFonts w:ascii="Arial" w:cs="Arial" w:eastAsia="Arial" w:hAnsi="Arial"/>
          <w:b/>
          <w:bCs/>
          <w:color w:val="1F3864"/>
          <w:sz w:val="32"/>
          <w:szCs w:val="32"/>
        </w:rPr>
        <w:t xml:space="preserve">XI.6 RACI Matrix and Decision Rights</w:t>
      </w:r>
    </w:p>
    <w:p>
      <w:pPr>
        <w:pBdr>
          <w:bottom w:val="single" w:color="2E75B6" w:sz="6" w:space="1"/>
        </w:pBdr>
        <w:spacing w:after="200" w:before="200"/>
      </w:pPr>
    </w:p>
    <w:p>
      <w:pPr>
        <w:pStyle w:val="Heading2"/>
        <w:spacing w:after="160" w:before="280"/>
      </w:pPr>
      <w:r>
        <w:rPr>
          <w:rFonts w:ascii="Arial" w:cs="Arial" w:eastAsia="Arial" w:hAnsi="Arial"/>
          <w:b/>
          <w:bCs/>
          <w:color w:val="2E75B6"/>
          <w:sz w:val="28"/>
          <w:szCs w:val="28"/>
        </w:rPr>
        <w:t xml:space="preserve">XI.6.1 Enterprise Governance RACI</w:t>
      </w:r>
    </w:p>
    <w:p>
      <w:pPr>
        <w:spacing w:after="120"/>
      </w:pPr>
      <w:r>
        <w:rPr>
          <w:rFonts w:ascii="Arial" w:cs="Arial" w:eastAsia="Arial" w:hAnsi="Arial"/>
          <w:sz w:val="22"/>
          <w:szCs w:val="22"/>
        </w:rPr>
        <w:t xml:space="preserve">The RACI matrix defines clear accountability for every major governance activity, eliminating ambiguity about who makes decisions, who provides input, and who executes. The matrix is reviewed annually and updated whenever organizational restructuring affects governance responsibilities.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200"/>
        <w:gridCol w:w="1000"/>
        <w:gridCol w:w="1600"/>
        <w:gridCol w:w="1400"/>
        <w:gridCol w:w="1760"/>
      </w:tblGrid>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F3864"/>
                <w:sz w:val="20"/>
                <w:szCs w:val="20"/>
              </w:rPr>
              <w:t xml:space="preserve">Governance Activity</w:t>
            </w:r>
          </w:p>
        </w:tc>
        <w:tc>
          <w:tcPr>
            <w:tcW w:type="dxa" w:w="1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F3864"/>
                <w:sz w:val="20"/>
                <w:szCs w:val="20"/>
              </w:rPr>
              <w:t xml:space="preserve">Exec Council</w:t>
            </w:r>
          </w:p>
        </w:tc>
        <w:tc>
          <w:tcPr>
            <w:tcW w:type="dxa" w:w="1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F3864"/>
                <w:sz w:val="20"/>
                <w:szCs w:val="20"/>
              </w:rPr>
              <w:t xml:space="preserve">CoE</w:t>
            </w:r>
          </w:p>
        </w:tc>
        <w:tc>
          <w:tcPr>
            <w:tcW w:type="dxa" w:w="1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F3864"/>
                <w:sz w:val="20"/>
                <w:szCs w:val="20"/>
              </w:rPr>
              <w:t xml:space="preserve">Architecture Board</w:t>
            </w:r>
          </w:p>
        </w:tc>
        <w:tc>
          <w:tcPr>
            <w:tcW w:type="dxa" w:w="1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F3864"/>
                <w:sz w:val="20"/>
                <w:szCs w:val="20"/>
              </w:rPr>
              <w:t xml:space="preserve">Dev Teams</w:t>
            </w:r>
          </w:p>
        </w:tc>
        <w:tc>
          <w:tcPr>
            <w:tcW w:type="dxa" w:w="17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F3864"/>
                <w:sz w:val="20"/>
                <w:szCs w:val="20"/>
              </w:rPr>
              <w:t xml:space="preserve">Security</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Governance Strategy</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w:t>
            </w:r>
          </w:p>
        </w:tc>
        <w:tc>
          <w:tcPr>
            <w:tcW w:type="dxa" w:w="1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w:t>
            </w:r>
          </w:p>
        </w:tc>
      </w:tr>
      <w:tr>
        <w:tc>
          <w:tcPr>
            <w:tcW w:type="dxa" w:w="24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Standards Development</w:t>
            </w:r>
          </w:p>
        </w:tc>
        <w:tc>
          <w:tcPr>
            <w:tcW w:type="dxa" w:w="1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A</w:t>
            </w:r>
          </w:p>
        </w:tc>
        <w:tc>
          <w:tcPr>
            <w:tcW w:type="dxa" w:w="1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R</w:t>
            </w:r>
          </w:p>
        </w:tc>
        <w:tc>
          <w:tcPr>
            <w:tcW w:type="dxa" w:w="16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R</w:t>
            </w:r>
          </w:p>
        </w:tc>
        <w:tc>
          <w:tcPr>
            <w:tcW w:type="dxa" w:w="14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C</w:t>
            </w:r>
          </w:p>
        </w:tc>
        <w:tc>
          <w:tcPr>
            <w:tcW w:type="dxa" w:w="17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C</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Tool Selection</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w:t>
            </w:r>
          </w:p>
        </w:tc>
        <w:tc>
          <w:tcPr>
            <w:tcW w:type="dxa" w:w="1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w:t>
            </w:r>
          </w:p>
        </w:tc>
      </w:tr>
      <w:tr>
        <w:tc>
          <w:tcPr>
            <w:tcW w:type="dxa" w:w="24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Policy Enforcement</w:t>
            </w:r>
          </w:p>
        </w:tc>
        <w:tc>
          <w:tcPr>
            <w:tcW w:type="dxa" w:w="1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I</w:t>
            </w:r>
          </w:p>
        </w:tc>
        <w:tc>
          <w:tcPr>
            <w:tcW w:type="dxa" w:w="1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A</w:t>
            </w:r>
          </w:p>
        </w:tc>
        <w:tc>
          <w:tcPr>
            <w:tcW w:type="dxa" w:w="16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C</w:t>
            </w:r>
          </w:p>
        </w:tc>
        <w:tc>
          <w:tcPr>
            <w:tcW w:type="dxa" w:w="14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R</w:t>
            </w:r>
          </w:p>
        </w:tc>
        <w:tc>
          <w:tcPr>
            <w:tcW w:type="dxa" w:w="17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R</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Compliance Monitoring</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w:t>
            </w:r>
          </w:p>
        </w:tc>
        <w:tc>
          <w:tcPr>
            <w:tcW w:type="dxa" w:w="1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w:t>
            </w:r>
          </w:p>
        </w:tc>
      </w:tr>
      <w:tr>
        <w:tc>
          <w:tcPr>
            <w:tcW w:type="dxa" w:w="24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Exception Approval (Critical)</w:t>
            </w:r>
          </w:p>
        </w:tc>
        <w:tc>
          <w:tcPr>
            <w:tcW w:type="dxa" w:w="1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A</w:t>
            </w:r>
          </w:p>
        </w:tc>
        <w:tc>
          <w:tcPr>
            <w:tcW w:type="dxa" w:w="1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R</w:t>
            </w:r>
          </w:p>
        </w:tc>
        <w:tc>
          <w:tcPr>
            <w:tcW w:type="dxa" w:w="16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C</w:t>
            </w:r>
          </w:p>
        </w:tc>
        <w:tc>
          <w:tcPr>
            <w:tcW w:type="dxa" w:w="14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I</w:t>
            </w:r>
          </w:p>
        </w:tc>
        <w:tc>
          <w:tcPr>
            <w:tcW w:type="dxa" w:w="17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C</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Exception Approval (Standard)</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w:t>
            </w:r>
          </w:p>
        </w:tc>
        <w:tc>
          <w:tcPr>
            <w:tcW w:type="dxa" w:w="1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w:t>
            </w:r>
          </w:p>
        </w:tc>
      </w:tr>
      <w:tr>
        <w:tc>
          <w:tcPr>
            <w:tcW w:type="dxa" w:w="24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Training Delivery</w:t>
            </w:r>
          </w:p>
        </w:tc>
        <w:tc>
          <w:tcPr>
            <w:tcW w:type="dxa" w:w="1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I</w:t>
            </w:r>
          </w:p>
        </w:tc>
        <w:tc>
          <w:tcPr>
            <w:tcW w:type="dxa" w:w="1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A</w:t>
            </w:r>
          </w:p>
        </w:tc>
        <w:tc>
          <w:tcPr>
            <w:tcW w:type="dxa" w:w="16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C</w:t>
            </w:r>
          </w:p>
        </w:tc>
        <w:tc>
          <w:tcPr>
            <w:tcW w:type="dxa" w:w="14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R</w:t>
            </w:r>
          </w:p>
        </w:tc>
        <w:tc>
          <w:tcPr>
            <w:tcW w:type="dxa" w:w="17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C</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Incident Response</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w:t>
            </w:r>
          </w:p>
        </w:tc>
        <w:tc>
          <w:tcPr>
            <w:tcW w:type="dxa" w:w="1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w:t>
            </w:r>
          </w:p>
        </w:tc>
      </w:tr>
      <w:tr>
        <w:tc>
          <w:tcPr>
            <w:tcW w:type="dxa" w:w="24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Maturity Assessment</w:t>
            </w:r>
          </w:p>
        </w:tc>
        <w:tc>
          <w:tcPr>
            <w:tcW w:type="dxa" w:w="1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A</w:t>
            </w:r>
          </w:p>
        </w:tc>
        <w:tc>
          <w:tcPr>
            <w:tcW w:type="dxa" w:w="1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R</w:t>
            </w:r>
          </w:p>
        </w:tc>
        <w:tc>
          <w:tcPr>
            <w:tcW w:type="dxa" w:w="16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C</w:t>
            </w:r>
          </w:p>
        </w:tc>
        <w:tc>
          <w:tcPr>
            <w:tcW w:type="dxa" w:w="14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C</w:t>
            </w:r>
          </w:p>
        </w:tc>
        <w:tc>
          <w:tcPr>
            <w:tcW w:type="dxa" w:w="17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C</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Budget Allocation</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w:t>
            </w:r>
          </w:p>
        </w:tc>
        <w:tc>
          <w:tcPr>
            <w:tcW w:type="dxa" w:w="1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w:t>
            </w:r>
          </w:p>
        </w:tc>
      </w:tr>
      <w:tr>
        <w:tc>
          <w:tcPr>
            <w:tcW w:type="dxa" w:w="24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Vendor Governance</w:t>
            </w:r>
          </w:p>
        </w:tc>
        <w:tc>
          <w:tcPr>
            <w:tcW w:type="dxa" w:w="1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I</w:t>
            </w:r>
          </w:p>
        </w:tc>
        <w:tc>
          <w:tcPr>
            <w:tcW w:type="dxa" w:w="1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C</w:t>
            </w:r>
          </w:p>
        </w:tc>
        <w:tc>
          <w:tcPr>
            <w:tcW w:type="dxa" w:w="16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C</w:t>
            </w:r>
          </w:p>
        </w:tc>
        <w:tc>
          <w:tcPr>
            <w:tcW w:type="dxa" w:w="14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I</w:t>
            </w:r>
          </w:p>
        </w:tc>
        <w:tc>
          <w:tcPr>
            <w:tcW w:type="dxa" w:w="17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A</w:t>
            </w:r>
          </w:p>
        </w:tc>
      </w:tr>
    </w:tbl>
    <w:p>
      <w:pPr>
        <w:spacing w:after="120"/>
      </w:pPr>
      <w:r>
        <w:rPr>
          <w:rFonts w:ascii="Arial" w:cs="Arial" w:eastAsia="Arial" w:hAnsi="Arial"/>
          <w:sz w:val="22"/>
          <w:szCs w:val="22"/>
        </w:rPr>
        <w:t xml:space="preserve">Legend: R = Responsible, A = Accountable, C = Consulted, I = Informed</w:t>
      </w:r>
    </w:p>
    <w:p>
      <w:pPr>
        <w:pStyle w:val="Heading2"/>
        <w:spacing w:after="160" w:before="280"/>
      </w:pPr>
      <w:r>
        <w:rPr>
          <w:rFonts w:ascii="Arial" w:cs="Arial" w:eastAsia="Arial" w:hAnsi="Arial"/>
          <w:b/>
          <w:bCs/>
          <w:color w:val="2E75B6"/>
          <w:sz w:val="28"/>
          <w:szCs w:val="28"/>
        </w:rPr>
        <w:t xml:space="preserve">XI.6.2 Decision Rights Framework</w:t>
      </w:r>
    </w:p>
    <w:p>
      <w:pPr>
        <w:spacing w:after="120"/>
      </w:pPr>
      <w:r>
        <w:rPr>
          <w:rFonts w:ascii="Arial" w:cs="Arial" w:eastAsia="Arial" w:hAnsi="Arial"/>
          <w:sz w:val="22"/>
          <w:szCs w:val="22"/>
        </w:rPr>
        <w:t xml:space="preserve">The decision rights framework establishes clear authority boundaries for governance decisions across five tiers, with escalation paths defined for cross-boundary decisions and exception handling.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400"/>
        <w:gridCol w:w="2400"/>
        <w:gridCol w:w="1800"/>
        <w:gridCol w:w="2560"/>
      </w:tblGrid>
      <w:tr>
        <w:tc>
          <w:tcPr>
            <w:tcW w:type="dxa" w:w="1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F3864"/>
                <w:sz w:val="20"/>
                <w:szCs w:val="20"/>
              </w:rPr>
              <w:t xml:space="preserve">Decision Tier</w:t>
            </w:r>
          </w:p>
        </w:tc>
        <w:tc>
          <w:tcPr>
            <w:tcW w:type="dxa" w:w="1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F3864"/>
                <w:sz w:val="20"/>
                <w:szCs w:val="20"/>
              </w:rPr>
              <w:t xml:space="preserve">Authority Level</w:t>
            </w:r>
          </w:p>
        </w:tc>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F3864"/>
                <w:sz w:val="20"/>
                <w:szCs w:val="20"/>
              </w:rPr>
              <w:t xml:space="preserve">Decision Types</w:t>
            </w:r>
          </w:p>
        </w:tc>
        <w:tc>
          <w:tcPr>
            <w:tcW w:type="dxa" w:w="1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F3864"/>
                <w:sz w:val="20"/>
                <w:szCs w:val="20"/>
              </w:rPr>
              <w:t xml:space="preserve">Approval Mechanism</w:t>
            </w:r>
          </w:p>
        </w:tc>
        <w:tc>
          <w:tcPr>
            <w:tcW w:type="dxa" w:w="25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F3864"/>
                <w:sz w:val="20"/>
                <w:szCs w:val="20"/>
              </w:rPr>
              <w:t xml:space="preserve">SLA</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Tier 1 - Team</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Team Lead / Tech Lead</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Tool configuration; local workflow adjustments; standard exceptions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Individual decision</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Same day</w:t>
            </w:r>
          </w:p>
        </w:tc>
      </w:tr>
      <w:tr>
        <w:tc>
          <w:tcPr>
            <w:tcW w:type="dxa" w:w="1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Tier 2 - Domain</w:t>
            </w:r>
          </w:p>
        </w:tc>
        <w:tc>
          <w:tcPr>
            <w:tcW w:type="dxa" w:w="14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Engineering Manager</w:t>
            </w:r>
          </w:p>
        </w:tc>
        <w:tc>
          <w:tcPr>
            <w:tcW w:type="dxa" w:w="24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Technology selection within radar; team governance adaptations; resource allocation</w:t>
            </w:r>
          </w:p>
        </w:tc>
        <w:tc>
          <w:tcPr>
            <w:tcW w:type="dxa" w:w="1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Manager approval</w:t>
            </w:r>
          </w:p>
        </w:tc>
        <w:tc>
          <w:tcPr>
            <w:tcW w:type="dxa" w:w="25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2 business days</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Tier 3 - Architecture</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Architecture Board</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Cross-team standards; new technology introduction; architecture patterns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Board vote (majority)</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 week</w:t>
            </w:r>
          </w:p>
        </w:tc>
      </w:tr>
      <w:tr>
        <w:tc>
          <w:tcPr>
            <w:tcW w:type="dxa" w:w="1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Tier 4 - Governance</w:t>
            </w:r>
          </w:p>
        </w:tc>
        <w:tc>
          <w:tcPr>
            <w:tcW w:type="dxa" w:w="14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CoE Director</w:t>
            </w:r>
          </w:p>
        </w:tc>
        <w:tc>
          <w:tcPr>
            <w:tcW w:type="dxa" w:w="24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Policy changes; tool platform decisions; exception patterns; governance investments</w:t>
            </w:r>
          </w:p>
        </w:tc>
        <w:tc>
          <w:tcPr>
            <w:tcW w:type="dxa" w:w="1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CoE leadership consensus</w:t>
            </w:r>
          </w:p>
        </w:tc>
        <w:tc>
          <w:tcPr>
            <w:tcW w:type="dxa" w:w="25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2 weeks</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Tier 5 - Executive</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Governance Council</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Strategy changes; major investments; risk tolerance adjustments; organizational changes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Council vote (unanimous)</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 quarter</w:t>
            </w:r>
          </w:p>
        </w:tc>
      </w:tr>
    </w:tbl>
    <w:p>
      <w:r>
        <w:br w:type="page"/>
      </w:r>
    </w:p>
    <w:p>
      <w:pPr>
        <w:pStyle w:val="Heading1"/>
        <w:spacing w:after="200" w:before="360"/>
      </w:pPr>
      <w:r>
        <w:rPr>
          <w:rFonts w:ascii="Arial" w:cs="Arial" w:eastAsia="Arial" w:hAnsi="Arial"/>
          <w:b/>
          <w:bCs/>
          <w:color w:val="1F3864"/>
          <w:sz w:val="32"/>
          <w:szCs w:val="32"/>
        </w:rPr>
        <w:t xml:space="preserve">XI.7 Funding and Financial Governance</w:t>
      </w:r>
    </w:p>
    <w:p>
      <w:pPr>
        <w:pBdr>
          <w:bottom w:val="single" w:color="2E75B6" w:sz="6" w:space="1"/>
        </w:pBdr>
        <w:spacing w:after="200" w:before="200"/>
      </w:pPr>
    </w:p>
    <w:p>
      <w:pPr>
        <w:pStyle w:val="Heading2"/>
        <w:spacing w:after="160" w:before="280"/>
      </w:pPr>
      <w:r>
        <w:rPr>
          <w:rFonts w:ascii="Arial" w:cs="Arial" w:eastAsia="Arial" w:hAnsi="Arial"/>
          <w:b/>
          <w:bCs/>
          <w:color w:val="2E75B6"/>
          <w:sz w:val="28"/>
          <w:szCs w:val="28"/>
        </w:rPr>
        <w:t xml:space="preserve">XI.7.1 Governance Funding Model</w:t>
      </w:r>
    </w:p>
    <w:p>
      <w:pPr>
        <w:spacing w:after="120"/>
      </w:pPr>
      <w:r>
        <w:rPr>
          <w:rFonts w:ascii="Arial" w:cs="Arial" w:eastAsia="Arial" w:hAnsi="Arial"/>
          <w:sz w:val="22"/>
          <w:szCs w:val="22"/>
        </w:rPr>
        <w:t xml:space="preserve">Governance funding follows a hybrid model that combines centralized investment for shared capabilities with allocated costs for team-specific governance activities. The funding model ensures sustainable governance investment while creating appropriate financial incentives for teams to adopt efficient governance practices.</w:t>
      </w:r>
    </w:p>
    <w:p>
      <w:pPr>
        <w:pStyle w:val="Heading3"/>
        <w:spacing w:after="120" w:before="200"/>
      </w:pPr>
      <w:r>
        <w:rPr>
          <w:rFonts w:ascii="Arial" w:cs="Arial" w:eastAsia="Arial" w:hAnsi="Arial"/>
          <w:b/>
          <w:bCs/>
          <w:color w:val="1F3864"/>
          <w:sz w:val="24"/>
          <w:szCs w:val="24"/>
        </w:rPr>
        <w:t xml:space="preserve">Funding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2800"/>
        <w:gridCol w:w="2960"/>
      </w:tblGrid>
      <w:tr>
        <w:tc>
          <w:tcPr>
            <w:tcW w:type="dxa" w:w="1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F3864"/>
                <w:sz w:val="20"/>
                <w:szCs w:val="20"/>
              </w:rPr>
              <w:t xml:space="preserve">Funding Category</w:t>
            </w:r>
          </w:p>
        </w:tc>
        <w:tc>
          <w:tcPr>
            <w:tcW w:type="dxa" w:w="1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F3864"/>
                <w:sz w:val="20"/>
                <w:szCs w:val="20"/>
              </w:rPr>
              <w:t xml:space="preserve">Source</w:t>
            </w:r>
          </w:p>
        </w:tc>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F3864"/>
                <w:sz w:val="20"/>
                <w:szCs w:val="20"/>
              </w:rPr>
              <w:t xml:space="preserve">Allocation Method</w:t>
            </w:r>
          </w:p>
        </w:tc>
        <w:tc>
          <w:tcPr>
            <w:tcW w:type="dxa" w:w="29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F3864"/>
                <w:sz w:val="20"/>
                <w:szCs w:val="20"/>
              </w:rPr>
              <w:t xml:space="preserve">Typical Percentage</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Core Platform</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Central IT budget</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Fixed annual allocation based on engineering headcount</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40-50% of governance budget</w:t>
            </w:r>
          </w:p>
        </w:tc>
      </w:tr>
      <w:tr>
        <w:tc>
          <w:tcPr>
            <w:tcW w:type="dxa" w:w="1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CoE Operations</w:t>
            </w:r>
          </w:p>
        </w:tc>
        <w:tc>
          <w:tcPr>
            <w:tcW w:type="dxa" w:w="1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Central IT budget</w:t>
            </w:r>
          </w:p>
        </w:tc>
        <w:tc>
          <w:tcPr>
            <w:tcW w:type="dxa" w:w="2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Activity-based allocation scaled to portfolio size</w:t>
            </w:r>
          </w:p>
        </w:tc>
        <w:tc>
          <w:tcPr>
            <w:tcW w:type="dxa" w:w="29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20-25% of governance budget</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Tool Licensing</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Shared across business units</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Proportional allocation based on usage metrics</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15-20% of governance budget</w:t>
            </w:r>
          </w:p>
        </w:tc>
      </w:tr>
      <w:tr>
        <w:tc>
          <w:tcPr>
            <w:tcW w:type="dxa" w:w="1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Innovation Fund</w:t>
            </w:r>
          </w:p>
        </w:tc>
        <w:tc>
          <w:tcPr>
            <w:tcW w:type="dxa" w:w="1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Executive discretionary budget</w:t>
            </w:r>
          </w:p>
        </w:tc>
        <w:tc>
          <w:tcPr>
            <w:tcW w:type="dxa" w:w="2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Competitive allocation through innovation pipeline</w:t>
            </w:r>
          </w:p>
        </w:tc>
        <w:tc>
          <w:tcPr>
            <w:tcW w:type="dxa" w:w="29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5-10% of governance budget</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Training and Enablement</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L&amp;D and engineering budget blend</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Per-capita allocation with CoE management</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5-10% of governance budget</w:t>
            </w:r>
          </w:p>
        </w:tc>
      </w:tr>
    </w:tbl>
    <w:p>
      <w:pPr>
        <w:pStyle w:val="Heading2"/>
        <w:spacing w:after="160" w:before="280"/>
      </w:pPr>
      <w:r>
        <w:rPr>
          <w:rFonts w:ascii="Arial" w:cs="Arial" w:eastAsia="Arial" w:hAnsi="Arial"/>
          <w:b/>
          <w:bCs/>
          <w:color w:val="2E75B6"/>
          <w:sz w:val="28"/>
          <w:szCs w:val="28"/>
        </w:rPr>
        <w:t xml:space="preserve">XI.7.2 Investment Prioritization Framework</w:t>
      </w:r>
    </w:p>
    <w:p>
      <w:pPr>
        <w:spacing w:after="120"/>
      </w:pPr>
      <w:r>
        <w:rPr>
          <w:rFonts w:ascii="Arial" w:cs="Arial" w:eastAsia="Arial" w:hAnsi="Arial"/>
          <w:sz w:val="22"/>
          <w:szCs w:val="22"/>
        </w:rPr>
        <w:t xml:space="preserve">Governance investments are prioritized through a structured evaluation that balances risk reduction impact, productivity improvement potential, strategic alignment, and implementation feasibility. The framework ensures that limited governance budgets are directed to initiatives that generate the highest organizational value.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900"/>
        <w:gridCol w:w="6460"/>
      </w:tblGrid>
      <w:tr>
        <w:tc>
          <w:tcPr>
            <w:tcW w:type="dxa" w:w="2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F3864"/>
                <w:sz w:val="20"/>
                <w:szCs w:val="20"/>
              </w:rPr>
              <w:t xml:space="preserve">Evaluation Factor</w:t>
            </w:r>
          </w:p>
        </w:tc>
        <w:tc>
          <w:tcPr>
            <w:tcW w:type="dxa" w:w="9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F3864"/>
                <w:sz w:val="20"/>
                <w:szCs w:val="20"/>
              </w:rPr>
              <w:t xml:space="preserve">Weight</w:t>
            </w:r>
          </w:p>
        </w:tc>
        <w:tc>
          <w:tcPr>
            <w:tcW w:type="dxa" w:w="64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F3864"/>
                <w:sz w:val="20"/>
                <w:szCs w:val="20"/>
              </w:rPr>
              <w:t xml:space="preserve">Scoring Criteria</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Risk Reduction Impact</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30%</w:t>
            </w:r>
          </w:p>
        </w:tc>
        <w:tc>
          <w:tcPr>
            <w:tcW w:type="dxa" w:w="6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Quantified reduction in organizational risk exposure: 5=Critical risk elimination, 1=Marginal risk reduction</w:t>
            </w:r>
          </w:p>
        </w:tc>
      </w:tr>
      <w:tr>
        <w:tc>
          <w:tcPr>
            <w:tcW w:type="dxa" w:w="2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Productivity Improvement</w:t>
            </w:r>
          </w:p>
        </w:tc>
        <w:tc>
          <w:tcPr>
            <w:tcW w:type="dxa" w:w="9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25%</w:t>
            </w:r>
          </w:p>
        </w:tc>
        <w:tc>
          <w:tcPr>
            <w:tcW w:type="dxa" w:w="64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Measurable developer time savings or throughput improvement: 5=&gt;20% improvement, 1=&lt;5% improvement</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Strategic Alignment</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20%</w:t>
            </w:r>
          </w:p>
        </w:tc>
        <w:tc>
          <w:tcPr>
            <w:tcW w:type="dxa" w:w="6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Alignment with enterprise strategy and executive priorities: 5=Direct strategic enabler, 1=Tangential relationship</w:t>
            </w:r>
          </w:p>
        </w:tc>
      </w:tr>
      <w:tr>
        <w:tc>
          <w:tcPr>
            <w:tcW w:type="dxa" w:w="2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Implementation Feasibility</w:t>
            </w:r>
          </w:p>
        </w:tc>
        <w:tc>
          <w:tcPr>
            <w:tcW w:type="dxa" w:w="9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15%</w:t>
            </w:r>
          </w:p>
        </w:tc>
        <w:tc>
          <w:tcPr>
            <w:tcW w:type="dxa" w:w="64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Realistic implementation within available resources: 5=&lt;3 months with existing team, 1=&gt;12 months or new hiring required</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Adoption Probability</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10%</w:t>
            </w:r>
          </w:p>
        </w:tc>
        <w:tc>
          <w:tcPr>
            <w:tcW w:type="dxa" w:w="6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Likelihood of successful organizational adoption: 5=&gt;90% adoption expected, 1=&lt;50% adoption expected</w:t>
            </w:r>
          </w:p>
        </w:tc>
      </w:tr>
    </w:tbl>
    <w:p>
      <w:pPr>
        <w:pStyle w:val="Heading2"/>
        <w:spacing w:after="160" w:before="280"/>
      </w:pPr>
      <w:r>
        <w:rPr>
          <w:rFonts w:ascii="Arial" w:cs="Arial" w:eastAsia="Arial" w:hAnsi="Arial"/>
          <w:b/>
          <w:bCs/>
          <w:color w:val="2E75B6"/>
          <w:sz w:val="28"/>
          <w:szCs w:val="28"/>
        </w:rPr>
        <w:t xml:space="preserve">XI.7.3 FinOps Integration for Governance</w:t>
      </w:r>
    </w:p>
    <w:p>
      <w:pPr>
        <w:spacing w:after="120"/>
      </w:pPr>
      <w:r>
        <w:rPr>
          <w:rFonts w:ascii="Arial" w:cs="Arial" w:eastAsia="Arial" w:hAnsi="Arial"/>
          <w:sz w:val="22"/>
          <w:szCs w:val="22"/>
        </w:rPr>
        <w:t xml:space="preserve">Governance costs are tracked and optimized through FinOps practices that provide transparency into governance spending, identify optimization opportunities, and ensure governance investments generate expected returns. The FinOps model integrates governance cost data into the enterprise financial management platform.</w:t>
      </w:r>
    </w:p>
    <w:p>
      <w:pPr>
        <w:pStyle w:val="ListParagraph"/>
        <w:numPr>
          <w:ilvl w:val="0"/>
          <w:numId w:val="5"/>
        </w:numPr>
        <w:spacing w:after="80"/>
      </w:pPr>
      <w:r>
        <w:rPr>
          <w:rFonts w:ascii="Arial" w:cs="Arial" w:eastAsia="Arial" w:hAnsi="Arial"/>
          <w:b/>
          <w:bCs/>
          <w:sz w:val="22"/>
          <w:szCs w:val="22"/>
        </w:rPr>
        <w:t xml:space="preserve">Cost Attribution: </w:t>
      </w:r>
      <w:r>
        <w:rPr>
          <w:rFonts w:ascii="Arial" w:cs="Arial" w:eastAsia="Arial" w:hAnsi="Arial"/>
          <w:sz w:val="22"/>
          <w:szCs w:val="22"/>
        </w:rPr>
        <w:t xml:space="preserve">All governance costs are tagged and attributed to specific governance capabilities, teams, and applications. This enables precise understanding of governance cost distribution and identification of areas where costs are disproportionate to value delivered.</w:t>
      </w:r>
    </w:p>
    <w:p>
      <w:pPr>
        <w:pStyle w:val="ListParagraph"/>
        <w:numPr>
          <w:ilvl w:val="0"/>
          <w:numId w:val="5"/>
        </w:numPr>
        <w:spacing w:after="80"/>
      </w:pPr>
      <w:r>
        <w:rPr>
          <w:rFonts w:ascii="Arial" w:cs="Arial" w:eastAsia="Arial" w:hAnsi="Arial"/>
          <w:b/>
          <w:bCs/>
          <w:sz w:val="22"/>
          <w:szCs w:val="22"/>
        </w:rPr>
        <w:t xml:space="preserve">Unit Economics: </w:t>
      </w:r>
      <w:r>
        <w:rPr>
          <w:rFonts w:ascii="Arial" w:cs="Arial" w:eastAsia="Arial" w:hAnsi="Arial"/>
          <w:sz w:val="22"/>
          <w:szCs w:val="22"/>
        </w:rPr>
        <w:t xml:space="preserve">Governance cost per application, per developer, and per deployment are tracked monthly to monitor efficiency trends and enable benchmarking against industry norms.</w:t>
      </w:r>
    </w:p>
    <w:p>
      <w:pPr>
        <w:pStyle w:val="ListParagraph"/>
        <w:numPr>
          <w:ilvl w:val="0"/>
          <w:numId w:val="5"/>
        </w:numPr>
        <w:spacing w:after="80"/>
      </w:pPr>
      <w:r>
        <w:rPr>
          <w:rFonts w:ascii="Arial" w:cs="Arial" w:eastAsia="Arial" w:hAnsi="Arial"/>
          <w:b/>
          <w:bCs/>
          <w:sz w:val="22"/>
          <w:szCs w:val="22"/>
        </w:rPr>
        <w:t xml:space="preserve">Optimization Cycles: </w:t>
      </w:r>
      <w:r>
        <w:rPr>
          <w:rFonts w:ascii="Arial" w:cs="Arial" w:eastAsia="Arial" w:hAnsi="Arial"/>
          <w:sz w:val="22"/>
          <w:szCs w:val="22"/>
        </w:rPr>
        <w:t xml:space="preserve">Quarterly cost optimization reviews identify redundant tooling, underutilized licenses, and over-provisioned infrastructure with specific reduction targets and implementation timelines.</w:t>
      </w:r>
    </w:p>
    <w:p>
      <w:pPr>
        <w:pStyle w:val="ListParagraph"/>
        <w:numPr>
          <w:ilvl w:val="0"/>
          <w:numId w:val="5"/>
        </w:numPr>
        <w:spacing w:after="80"/>
      </w:pPr>
      <w:r>
        <w:rPr>
          <w:rFonts w:ascii="Arial" w:cs="Arial" w:eastAsia="Arial" w:hAnsi="Arial"/>
          <w:b/>
          <w:bCs/>
          <w:sz w:val="22"/>
          <w:szCs w:val="22"/>
        </w:rPr>
        <w:t xml:space="preserve">Showback Reporting: </w:t>
      </w:r>
      <w:r>
        <w:rPr>
          <w:rFonts w:ascii="Arial" w:cs="Arial" w:eastAsia="Arial" w:hAnsi="Arial"/>
          <w:sz w:val="22"/>
          <w:szCs w:val="22"/>
        </w:rPr>
        <w:t xml:space="preserve">Monthly showback reports provide business units with visibility into their governance cost consumption, creating financial accountability and incentivizing efficient governance practices without the administrative overhead of full chargeback.</w:t>
      </w:r>
    </w:p>
    <w:p>
      <w:r>
        <w:br w:type="page"/>
      </w:r>
    </w:p>
    <w:p>
      <w:pPr>
        <w:pStyle w:val="Heading1"/>
        <w:spacing w:after="200" w:before="360"/>
      </w:pPr>
      <w:r>
        <w:rPr>
          <w:rFonts w:ascii="Arial" w:cs="Arial" w:eastAsia="Arial" w:hAnsi="Arial"/>
          <w:b/>
          <w:bCs/>
          <w:color w:val="1F3864"/>
          <w:sz w:val="32"/>
          <w:szCs w:val="32"/>
        </w:rPr>
        <w:t xml:space="preserve">XI.8 Portfolio Management and Investment Optimization</w:t>
      </w:r>
    </w:p>
    <w:p>
      <w:pPr>
        <w:pBdr>
          <w:bottom w:val="single" w:color="2E75B6" w:sz="6" w:space="1"/>
        </w:pBdr>
        <w:spacing w:after="200" w:before="200"/>
      </w:pPr>
    </w:p>
    <w:p>
      <w:pPr>
        <w:pStyle w:val="Heading2"/>
        <w:spacing w:after="160" w:before="280"/>
      </w:pPr>
      <w:r>
        <w:rPr>
          <w:rFonts w:ascii="Arial" w:cs="Arial" w:eastAsia="Arial" w:hAnsi="Arial"/>
          <w:b/>
          <w:bCs/>
          <w:color w:val="2E75B6"/>
          <w:sz w:val="28"/>
          <w:szCs w:val="28"/>
        </w:rPr>
        <w:t xml:space="preserve">XI.8.1 Governance Portfolio View</w:t>
      </w:r>
    </w:p>
    <w:p>
      <w:pPr>
        <w:spacing w:after="120"/>
      </w:pPr>
      <w:r>
        <w:rPr>
          <w:rFonts w:ascii="Arial" w:cs="Arial" w:eastAsia="Arial" w:hAnsi="Arial"/>
          <w:sz w:val="22"/>
          <w:szCs w:val="22"/>
        </w:rPr>
        <w:t xml:space="preserve">The governance portfolio provides a comprehensive view of all governance investments, initiatives, and capabilities organized to support strategic decision-making about governance priorities and resource allocation. The portfolio view integrates with the enterprise project portfolio to ensure governance investments are evaluated alongside business initiatives.</w:t>
      </w:r>
    </w:p>
    <w:p>
      <w:pPr>
        <w:pStyle w:val="Heading3"/>
        <w:spacing w:after="120" w:before="200"/>
      </w:pPr>
      <w:r>
        <w:rPr>
          <w:rFonts w:ascii="Arial" w:cs="Arial" w:eastAsia="Arial" w:hAnsi="Arial"/>
          <w:b/>
          <w:bCs/>
          <w:color w:val="1F3864"/>
          <w:sz w:val="24"/>
          <w:szCs w:val="24"/>
        </w:rPr>
        <w:t xml:space="preserve">Portfolio Classification Matrix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600"/>
        <w:gridCol w:w="3200"/>
        <w:gridCol w:w="2760"/>
      </w:tblGrid>
      <w:tr>
        <w:tc>
          <w:tcPr>
            <w:tcW w:type="dxa" w:w="1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F3864"/>
                <w:sz w:val="20"/>
                <w:szCs w:val="20"/>
              </w:rPr>
              <w:t xml:space="preserve">Quadrant</w:t>
            </w:r>
          </w:p>
        </w:tc>
        <w:tc>
          <w:tcPr>
            <w:tcW w:type="dxa" w:w="1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F3864"/>
                <w:sz w:val="20"/>
                <w:szCs w:val="20"/>
              </w:rPr>
              <w:t xml:space="preserve">Classification</w:t>
            </w:r>
          </w:p>
        </w:tc>
        <w:tc>
          <w:tcPr>
            <w:tcW w:type="dxa" w:w="3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F3864"/>
                <w:sz w:val="20"/>
                <w:szCs w:val="20"/>
              </w:rPr>
              <w:t xml:space="preserve">Strategy</w:t>
            </w:r>
          </w:p>
        </w:tc>
        <w:tc>
          <w:tcPr>
            <w:tcW w:type="dxa" w:w="27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F3864"/>
                <w:sz w:val="20"/>
                <w:szCs w:val="20"/>
              </w:rPr>
              <w:t xml:space="preserve">Investment Approach</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High Value / Low Effort</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Quick Wins</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Accelerate implementation; maximize adoption speed</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Full funding; fast-track approval</w:t>
            </w:r>
          </w:p>
        </w:tc>
      </w:tr>
      <w:tr>
        <w:tc>
          <w:tcPr>
            <w:tcW w:type="dxa" w:w="1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High Value / High Effort</w:t>
            </w:r>
          </w:p>
        </w:tc>
        <w:tc>
          <w:tcPr>
            <w:tcW w:type="dxa" w:w="16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Strategic Investments</w:t>
            </w:r>
          </w:p>
        </w:tc>
        <w:tc>
          <w:tcPr>
            <w:tcW w:type="dxa" w:w="3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Phase implementation; manage complexity through increments</w:t>
            </w:r>
          </w:p>
        </w:tc>
        <w:tc>
          <w:tcPr>
            <w:tcW w:type="dxa" w:w="27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Multi-year funding; milestone-based release</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Low Value / Low Effort</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Hygiene Tasks</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Automate and standardize; minimize ongoing effort</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Minimal funding; maintenance mode</w:t>
            </w:r>
          </w:p>
        </w:tc>
      </w:tr>
      <w:tr>
        <w:tc>
          <w:tcPr>
            <w:tcW w:type="dxa" w:w="1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Low Value / High Effort</w:t>
            </w:r>
          </w:p>
        </w:tc>
        <w:tc>
          <w:tcPr>
            <w:tcW w:type="dxa" w:w="16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Evaluate or Defer</w:t>
            </w:r>
          </w:p>
        </w:tc>
        <w:tc>
          <w:tcPr>
            <w:tcW w:type="dxa" w:w="3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Reassess value proposition; consider alternatives</w:t>
            </w:r>
          </w:p>
        </w:tc>
        <w:tc>
          <w:tcPr>
            <w:tcW w:type="dxa" w:w="27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No new investment; sunset if active</w:t>
            </w:r>
          </w:p>
        </w:tc>
      </w:tr>
    </w:tbl>
    <w:p>
      <w:pPr>
        <w:pStyle w:val="Heading2"/>
        <w:spacing w:after="160" w:before="280"/>
      </w:pPr>
      <w:r>
        <w:rPr>
          <w:rFonts w:ascii="Arial" w:cs="Arial" w:eastAsia="Arial" w:hAnsi="Arial"/>
          <w:b/>
          <w:bCs/>
          <w:color w:val="2E75B6"/>
          <w:sz w:val="28"/>
          <w:szCs w:val="28"/>
        </w:rPr>
        <w:t xml:space="preserve">XI.8.2 Application Portfolio Governance</w:t>
      </w:r>
    </w:p>
    <w:p>
      <w:pPr>
        <w:spacing w:after="120"/>
      </w:pPr>
      <w:r>
        <w:rPr>
          <w:rFonts w:ascii="Arial" w:cs="Arial" w:eastAsia="Arial" w:hAnsi="Arial"/>
          <w:sz w:val="22"/>
          <w:szCs w:val="22"/>
        </w:rPr>
        <w:t xml:space="preserve">Every application in the enterprise portfolio receives a governance health score that synthesizes compliance, security, quality, and operational metrics into a single composite indicator. The portfolio governance model uses these scores to drive investment decisions, retirement planning, and risk management priorities.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900"/>
        <w:gridCol w:w="3400"/>
        <w:gridCol w:w="3460"/>
      </w:tblGrid>
      <w:tr>
        <w:tc>
          <w:tcPr>
            <w:tcW w:type="dxa" w:w="1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F3864"/>
                <w:sz w:val="20"/>
                <w:szCs w:val="20"/>
              </w:rPr>
              <w:t xml:space="preserve">Health Dimension</w:t>
            </w:r>
          </w:p>
        </w:tc>
        <w:tc>
          <w:tcPr>
            <w:tcW w:type="dxa" w:w="9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F3864"/>
                <w:sz w:val="20"/>
                <w:szCs w:val="20"/>
              </w:rPr>
              <w:t xml:space="preserve">Weight</w:t>
            </w:r>
          </w:p>
        </w:tc>
        <w:tc>
          <w:tcPr>
            <w:tcW w:type="dxa" w:w="3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F3864"/>
                <w:sz w:val="20"/>
                <w:szCs w:val="20"/>
              </w:rPr>
              <w:t xml:space="preserve">Components</w:t>
            </w:r>
          </w:p>
        </w:tc>
        <w:tc>
          <w:tcPr>
            <w:tcW w:type="dxa" w:w="34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F3864"/>
                <w:sz w:val="20"/>
                <w:szCs w:val="20"/>
              </w:rPr>
              <w:t xml:space="preserve">Assessment Method</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Security Posture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25%</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Vulnerability count; patch currency; security architecture; penetration test results</w:t>
            </w:r>
          </w:p>
        </w:tc>
        <w:tc>
          <w:tcPr>
            <w:tcW w:type="dxa" w:w="3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Automated scanning with quarterly manual review</w:t>
            </w:r>
          </w:p>
        </w:tc>
      </w:tr>
      <w:tr>
        <w:tc>
          <w:tcPr>
            <w:tcW w:type="dxa" w:w="16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Compliance Status</w:t>
            </w:r>
          </w:p>
        </w:tc>
        <w:tc>
          <w:tcPr>
            <w:tcW w:type="dxa" w:w="9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20%</w:t>
            </w:r>
          </w:p>
        </w:tc>
        <w:tc>
          <w:tcPr>
            <w:tcW w:type="dxa" w:w="34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Regulatory coverage; policy adherence; audit findings; exception count</w:t>
            </w:r>
          </w:p>
        </w:tc>
        <w:tc>
          <w:tcPr>
            <w:tcW w:type="dxa" w:w="34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Continuous compliance monitoring</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Quality Metrics</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20%</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Defect density; test coverage; code complexity; technical debt score</w:t>
            </w:r>
          </w:p>
        </w:tc>
        <w:tc>
          <w:tcPr>
            <w:tcW w:type="dxa" w:w="3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Automated code analysis</w:t>
            </w:r>
          </w:p>
        </w:tc>
      </w:tr>
      <w:tr>
        <w:tc>
          <w:tcPr>
            <w:tcW w:type="dxa" w:w="16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Operational Health</w:t>
            </w:r>
          </w:p>
        </w:tc>
        <w:tc>
          <w:tcPr>
            <w:tcW w:type="dxa" w:w="9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15%</w:t>
            </w:r>
          </w:p>
        </w:tc>
        <w:tc>
          <w:tcPr>
            <w:tcW w:type="dxa" w:w="34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Availability; performance; incident frequency; recovery time</w:t>
            </w:r>
          </w:p>
        </w:tc>
        <w:tc>
          <w:tcPr>
            <w:tcW w:type="dxa" w:w="34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Production monitoring</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Architecture Currency</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10%</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Technology radar alignment; dependency health; API standards compliance</w:t>
            </w:r>
          </w:p>
        </w:tc>
        <w:tc>
          <w:tcPr>
            <w:tcW w:type="dxa" w:w="3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Quarterly architecture review</w:t>
            </w:r>
          </w:p>
        </w:tc>
      </w:tr>
      <w:tr>
        <w:tc>
          <w:tcPr>
            <w:tcW w:type="dxa" w:w="16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Business Alignment</w:t>
            </w:r>
          </w:p>
        </w:tc>
        <w:tc>
          <w:tcPr>
            <w:tcW w:type="dxa" w:w="9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10%</w:t>
            </w:r>
          </w:p>
        </w:tc>
        <w:tc>
          <w:tcPr>
            <w:tcW w:type="dxa" w:w="34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Strategic relevance; user satisfaction; cost efficiency; roadmap clarity</w:t>
            </w:r>
          </w:p>
        </w:tc>
        <w:tc>
          <w:tcPr>
            <w:tcW w:type="dxa" w:w="34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Annual business review</w:t>
            </w:r>
          </w:p>
        </w:tc>
      </w:tr>
    </w:tbl>
    <w:p>
      <w:pPr>
        <w:pStyle w:val="Heading2"/>
        <w:spacing w:after="160" w:before="280"/>
      </w:pPr>
      <w:r>
        <w:rPr>
          <w:rFonts w:ascii="Arial" w:cs="Arial" w:eastAsia="Arial" w:hAnsi="Arial"/>
          <w:b/>
          <w:bCs/>
          <w:color w:val="2E75B6"/>
          <w:sz w:val="28"/>
          <w:szCs w:val="28"/>
        </w:rPr>
        <w:t xml:space="preserve">XI.8.3 Technical Debt Governance</w:t>
      </w:r>
    </w:p>
    <w:p>
      <w:pPr>
        <w:spacing w:after="120"/>
      </w:pPr>
      <w:r>
        <w:rPr>
          <w:rFonts w:ascii="Arial" w:cs="Arial" w:eastAsia="Arial" w:hAnsi="Arial"/>
          <w:sz w:val="22"/>
          <w:szCs w:val="22"/>
        </w:rPr>
        <w:t xml:space="preserve">Technical debt is quantified, tracked, and managed as a first-class governance concern with explicit investment allocation and prioritization criteria. The technical debt governance model ensures that debt is managed proactively rather than allowed to accumulate to levels that impair organizational agility.</w:t>
      </w:r>
    </w:p>
    <w:p>
      <w:pPr>
        <w:pStyle w:val="ListParagraph"/>
        <w:numPr>
          <w:ilvl w:val="0"/>
          <w:numId w:val="5"/>
        </w:numPr>
        <w:spacing w:after="80"/>
      </w:pPr>
      <w:r>
        <w:rPr>
          <w:rFonts w:ascii="Arial" w:cs="Arial" w:eastAsia="Arial" w:hAnsi="Arial"/>
          <w:b/>
          <w:bCs/>
          <w:sz w:val="22"/>
          <w:szCs w:val="22"/>
        </w:rPr>
        <w:t xml:space="preserve">Debt Classification: </w:t>
      </w:r>
      <w:r>
        <w:rPr>
          <w:rFonts w:ascii="Arial" w:cs="Arial" w:eastAsia="Arial" w:hAnsi="Arial"/>
          <w:sz w:val="22"/>
          <w:szCs w:val="22"/>
        </w:rPr>
        <w:t xml:space="preserve">Technical debt is categorized into four types: deliberate-prudent (conscious tradeoffs with planned remediation), deliberate-reckless (conscious shortcuts without remediation plans), inadvertent-prudent (discovered gaps in well-intended implementations), and inadvertent-reckless (debt from knowledge gaps or negligence).</w:t>
      </w:r>
    </w:p>
    <w:p>
      <w:pPr>
        <w:pStyle w:val="ListParagraph"/>
        <w:numPr>
          <w:ilvl w:val="0"/>
          <w:numId w:val="5"/>
        </w:numPr>
        <w:spacing w:after="80"/>
      </w:pPr>
      <w:r>
        <w:rPr>
          <w:rFonts w:ascii="Arial" w:cs="Arial" w:eastAsia="Arial" w:hAnsi="Arial"/>
          <w:b/>
          <w:bCs/>
          <w:sz w:val="22"/>
          <w:szCs w:val="22"/>
        </w:rPr>
        <w:t xml:space="preserve">Debt Quantification: </w:t>
      </w:r>
      <w:r>
        <w:rPr>
          <w:rFonts w:ascii="Arial" w:cs="Arial" w:eastAsia="Arial" w:hAnsi="Arial"/>
          <w:sz w:val="22"/>
          <w:szCs w:val="22"/>
        </w:rPr>
        <w:t xml:space="preserve">Each identified debt item is quantified in terms of carrying cost (ongoing impact on velocity, quality, and risk) and remediation cost (effort required to resolve). Items where carrying cost exceeds remediation cost amortized over 12 months are prioritized for immediate resolution.</w:t>
      </w:r>
    </w:p>
    <w:p>
      <w:pPr>
        <w:pStyle w:val="ListParagraph"/>
        <w:numPr>
          <w:ilvl w:val="0"/>
          <w:numId w:val="5"/>
        </w:numPr>
        <w:spacing w:after="80"/>
      </w:pPr>
      <w:r>
        <w:rPr>
          <w:rFonts w:ascii="Arial" w:cs="Arial" w:eastAsia="Arial" w:hAnsi="Arial"/>
          <w:b/>
          <w:bCs/>
          <w:sz w:val="22"/>
          <w:szCs w:val="22"/>
        </w:rPr>
        <w:t xml:space="preserve">Debt Budget: </w:t>
      </w:r>
      <w:r>
        <w:rPr>
          <w:rFonts w:ascii="Arial" w:cs="Arial" w:eastAsia="Arial" w:hAnsi="Arial"/>
          <w:sz w:val="22"/>
          <w:szCs w:val="22"/>
        </w:rPr>
        <w:t xml:space="preserve">A minimum of 20% of engineering capacity is reserved for technical debt reduction, with specific allocation determined by the portfolio governance model based on application health scores and strategic priorities.</w:t>
      </w:r>
    </w:p>
    <w:p>
      <w:pPr>
        <w:pStyle w:val="ListParagraph"/>
        <w:numPr>
          <w:ilvl w:val="0"/>
          <w:numId w:val="5"/>
        </w:numPr>
        <w:spacing w:after="80"/>
      </w:pPr>
      <w:r>
        <w:rPr>
          <w:rFonts w:ascii="Arial" w:cs="Arial" w:eastAsia="Arial" w:hAnsi="Arial"/>
          <w:b/>
          <w:bCs/>
          <w:sz w:val="22"/>
          <w:szCs w:val="22"/>
        </w:rPr>
        <w:t xml:space="preserve">Debt Prevention: </w:t>
      </w:r>
      <w:r>
        <w:rPr>
          <w:rFonts w:ascii="Arial" w:cs="Arial" w:eastAsia="Arial" w:hAnsi="Arial"/>
          <w:sz w:val="22"/>
          <w:szCs w:val="22"/>
        </w:rPr>
        <w:t xml:space="preserve">Governance controls prevent the introduction of new technical debt beyond defined thresholds. Code quality gates, architecture review requirements, and dependency management policies serve as preventive controls.</w:t>
      </w:r>
    </w:p>
    <w:p>
      <w:r>
        <w:br w:type="page"/>
      </w:r>
    </w:p>
    <w:p>
      <w:pPr>
        <w:pStyle w:val="Heading1"/>
        <w:spacing w:after="200" w:before="360"/>
      </w:pPr>
      <w:r>
        <w:rPr>
          <w:rFonts w:ascii="Arial" w:cs="Arial" w:eastAsia="Arial" w:hAnsi="Arial"/>
          <w:b/>
          <w:bCs/>
          <w:color w:val="1F3864"/>
          <w:sz w:val="32"/>
          <w:szCs w:val="32"/>
        </w:rPr>
        <w:t xml:space="preserve">XI.9 Stakeholder Communication and Reporting</w:t>
      </w:r>
    </w:p>
    <w:p>
      <w:pPr>
        <w:pBdr>
          <w:bottom w:val="single" w:color="2E75B6" w:sz="6" w:space="1"/>
        </w:pBdr>
        <w:spacing w:after="200" w:before="200"/>
      </w:pPr>
    </w:p>
    <w:p>
      <w:pPr>
        <w:pStyle w:val="Heading2"/>
        <w:spacing w:after="160" w:before="280"/>
      </w:pPr>
      <w:r>
        <w:rPr>
          <w:rFonts w:ascii="Arial" w:cs="Arial" w:eastAsia="Arial" w:hAnsi="Arial"/>
          <w:b/>
          <w:bCs/>
          <w:color w:val="2E75B6"/>
          <w:sz w:val="28"/>
          <w:szCs w:val="28"/>
        </w:rPr>
        <w:t xml:space="preserve">XI.9.1 Reporting Framework</w:t>
      </w:r>
    </w:p>
    <w:p>
      <w:pPr>
        <w:spacing w:after="120"/>
      </w:pPr>
      <w:r>
        <w:rPr>
          <w:rFonts w:ascii="Arial" w:cs="Arial" w:eastAsia="Arial" w:hAnsi="Arial"/>
          <w:sz w:val="22"/>
          <w:szCs w:val="22"/>
        </w:rPr>
        <w:t xml:space="preserve">The stakeholder reporting framework ensures that every governance stakeholder receives the right information in the right format at the right time. Reports are generated automatically from the governance data platform and distributed through role-appropriate channels.</w:t>
      </w:r>
    </w:p>
    <w:p>
      <w:pPr>
        <w:pStyle w:val="Heading3"/>
        <w:spacing w:after="120" w:before="200"/>
      </w:pPr>
      <w:r>
        <w:rPr>
          <w:rFonts w:ascii="Arial" w:cs="Arial" w:eastAsia="Arial" w:hAnsi="Arial"/>
          <w:b/>
          <w:bCs/>
          <w:color w:val="1F3864"/>
          <w:sz w:val="24"/>
          <w:szCs w:val="24"/>
        </w:rPr>
        <w:t xml:space="preserve">Reporting Calendar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400"/>
        <w:gridCol w:w="2600"/>
        <w:gridCol w:w="1800"/>
        <w:gridCol w:w="1560"/>
      </w:tblGrid>
      <w:tr>
        <w:tc>
          <w:tcPr>
            <w:tcW w:type="dxa" w:w="2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F3864"/>
                <w:sz w:val="20"/>
                <w:szCs w:val="20"/>
              </w:rPr>
              <w:t xml:space="preserve">Report</w:t>
            </w:r>
          </w:p>
        </w:tc>
        <w:tc>
          <w:tcPr>
            <w:tcW w:type="dxa" w:w="1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F3864"/>
                <w:sz w:val="20"/>
                <w:szCs w:val="20"/>
              </w:rPr>
              <w:t xml:space="preserve">Audience</w:t>
            </w:r>
          </w:p>
        </w:tc>
        <w:tc>
          <w:tcPr>
            <w:tcW w:type="dxa" w:w="2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F3864"/>
                <w:sz w:val="20"/>
                <w:szCs w:val="20"/>
              </w:rPr>
              <w:t xml:space="preserve">Content</w:t>
            </w:r>
          </w:p>
        </w:tc>
        <w:tc>
          <w:tcPr>
            <w:tcW w:type="dxa" w:w="1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F3864"/>
                <w:sz w:val="20"/>
                <w:szCs w:val="20"/>
              </w:rPr>
              <w:t xml:space="preserve">Format</w:t>
            </w:r>
          </w:p>
        </w:tc>
        <w:tc>
          <w:tcPr>
            <w:tcW w:type="dxa" w:w="15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F3864"/>
                <w:sz w:val="20"/>
                <w:szCs w:val="20"/>
              </w:rPr>
              <w:t xml:space="preserve">Cadence</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Executive Governance Summary</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C-suite; Board</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Strategic KPIs; risk posture; ROI; key decisions needed</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1-page dashboard with commentary</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Quarterly</w:t>
            </w:r>
          </w:p>
        </w:tc>
      </w:tr>
      <w:tr>
        <w:tc>
          <w:tcPr>
            <w:tcW w:type="dxa" w:w="2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Governance Operations Report</w:t>
            </w:r>
          </w:p>
        </w:tc>
        <w:tc>
          <w:tcPr>
            <w:tcW w:type="dxa" w:w="14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VP and Director</w:t>
            </w:r>
          </w:p>
        </w:tc>
        <w:tc>
          <w:tcPr>
            <w:tcW w:type="dxa" w:w="26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Capability metrics; adoption trends; team performance; exception activity</w:t>
            </w:r>
          </w:p>
        </w:tc>
        <w:tc>
          <w:tcPr>
            <w:tcW w:type="dxa" w:w="1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Interactive dashboard with drill-down</w:t>
            </w:r>
          </w:p>
        </w:tc>
        <w:tc>
          <w:tcPr>
            <w:tcW w:type="dxa" w:w="15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Monthly</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Team Governance Scorecard</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Engineering Managers</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Team compliance scores; velocity metrics; quality trends; improvement areas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Automated scorecard with recommendations</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Sprint-aligned</w:t>
            </w:r>
          </w:p>
        </w:tc>
      </w:tr>
      <w:tr>
        <w:tc>
          <w:tcPr>
            <w:tcW w:type="dxa" w:w="2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Developer Governance Digest</w:t>
            </w:r>
          </w:p>
        </w:tc>
        <w:tc>
          <w:tcPr>
            <w:tcW w:type="dxa" w:w="14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All Engineers</w:t>
            </w:r>
          </w:p>
        </w:tc>
        <w:tc>
          <w:tcPr>
            <w:tcW w:type="dxa" w:w="26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Tool updates; new standards; training opportunities; recognition</w:t>
            </w:r>
          </w:p>
        </w:tc>
        <w:tc>
          <w:tcPr>
            <w:tcW w:type="dxa" w:w="1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Email digest with links</w:t>
            </w:r>
          </w:p>
        </w:tc>
        <w:tc>
          <w:tcPr>
            <w:tcW w:type="dxa" w:w="15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Bi-weekly</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Compliance and Audit Report</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Compliance; External Auditors</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Regulatory coverage; control effectiveness; finding status; remediation progress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Formal report with evidence packages</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Quarterly</w:t>
            </w:r>
          </w:p>
        </w:tc>
      </w:tr>
      <w:tr>
        <w:tc>
          <w:tcPr>
            <w:tcW w:type="dxa" w:w="2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Innovation Pipeline Report</w:t>
            </w:r>
          </w:p>
        </w:tc>
        <w:tc>
          <w:tcPr>
            <w:tcW w:type="dxa" w:w="14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Innovation Council</w:t>
            </w:r>
          </w:p>
        </w:tc>
        <w:tc>
          <w:tcPr>
            <w:tcW w:type="dxa" w:w="26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Experiment status; prototype outcomes; adoption pipeline; ROI from innovations</w:t>
            </w:r>
          </w:p>
        </w:tc>
        <w:tc>
          <w:tcPr>
            <w:tcW w:type="dxa" w:w="1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Presentation with decision requests</w:t>
            </w:r>
          </w:p>
        </w:tc>
        <w:tc>
          <w:tcPr>
            <w:tcW w:type="dxa" w:w="15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Monthly</w:t>
            </w:r>
          </w:p>
        </w:tc>
      </w:tr>
    </w:tbl>
    <w:p>
      <w:pPr>
        <w:pStyle w:val="Heading2"/>
        <w:spacing w:after="160" w:before="280"/>
      </w:pPr>
      <w:r>
        <w:rPr>
          <w:rFonts w:ascii="Arial" w:cs="Arial" w:eastAsia="Arial" w:hAnsi="Arial"/>
          <w:b/>
          <w:bCs/>
          <w:color w:val="2E75B6"/>
          <w:sz w:val="28"/>
          <w:szCs w:val="28"/>
        </w:rPr>
        <w:t xml:space="preserve">XI.9.2 Executive Communication Strategy</w:t>
      </w:r>
    </w:p>
    <w:p>
      <w:pPr>
        <w:spacing w:after="120"/>
      </w:pPr>
      <w:r>
        <w:rPr>
          <w:rFonts w:ascii="Arial" w:cs="Arial" w:eastAsia="Arial" w:hAnsi="Arial"/>
          <w:sz w:val="22"/>
          <w:szCs w:val="22"/>
        </w:rPr>
        <w:t xml:space="preserve">Executive communication about governance follows a structured narrative approach that connects governance activities to business outcomes in language and frameworks familiar to executive audiences. The communication strategy avoids technical jargon and focuses on the business implications of governance health, investment recommendations, and risk exposure.</w:t>
      </w:r>
    </w:p>
    <w:p>
      <w:pPr>
        <w:spacing w:after="120"/>
      </w:pPr>
      <w:r>
        <w:rPr>
          <w:rFonts w:ascii="Arial" w:cs="Arial" w:eastAsia="Arial" w:hAnsi="Arial"/>
          <w:b/>
          <w:bCs/>
          <w:sz w:val="22"/>
          <w:szCs w:val="22"/>
        </w:rPr>
        <w:t xml:space="preserve">Quarterly Business Review Integration: </w:t>
      </w:r>
      <w:r>
        <w:rPr>
          <w:rFonts w:ascii="Arial" w:cs="Arial" w:eastAsia="Arial" w:hAnsi="Arial"/>
          <w:sz w:val="22"/>
          <w:szCs w:val="22"/>
        </w:rPr>
        <w:t xml:space="preserve">Governance metrics are presented as an integral component of the quarterly business review rather than a separate governance review. This integration normalizes governance as a core business function rather than a technical overhead function.</w:t>
      </w:r>
    </w:p>
    <w:p>
      <w:pPr>
        <w:spacing w:after="120"/>
      </w:pPr>
      <w:r>
        <w:rPr>
          <w:rFonts w:ascii="Arial" w:cs="Arial" w:eastAsia="Arial" w:hAnsi="Arial"/>
          <w:b/>
          <w:bCs/>
          <w:sz w:val="22"/>
          <w:szCs w:val="22"/>
        </w:rPr>
        <w:t xml:space="preserve">Risk-Informed Decision Briefings: </w:t>
      </w:r>
      <w:r>
        <w:rPr>
          <w:rFonts w:ascii="Arial" w:cs="Arial" w:eastAsia="Arial" w:hAnsi="Arial"/>
          <w:sz w:val="22"/>
          <w:szCs w:val="22"/>
        </w:rPr>
        <w:t xml:space="preserve">When governance metrics indicate emerging risks, structured decision briefings present the risk context, options with tradeoffs, and recommended actions in a format that enables rapid executive decision-making.</w:t>
      </w:r>
    </w:p>
    <w:p>
      <w:pPr>
        <w:spacing w:after="120"/>
      </w:pPr>
      <w:r>
        <w:rPr>
          <w:rFonts w:ascii="Arial" w:cs="Arial" w:eastAsia="Arial" w:hAnsi="Arial"/>
          <w:b/>
          <w:bCs/>
          <w:sz w:val="22"/>
          <w:szCs w:val="22"/>
        </w:rPr>
        <w:t xml:space="preserve">Annual Governance State of the Union: </w:t>
      </w:r>
      <w:r>
        <w:rPr>
          <w:rFonts w:ascii="Arial" w:cs="Arial" w:eastAsia="Arial" w:hAnsi="Arial"/>
          <w:sz w:val="22"/>
          <w:szCs w:val="22"/>
        </w:rPr>
        <w:t xml:space="preserve">Comprehensive annual assessment of governance health, progress against strategic objectives, comparison to industry benchmarks, and recommended investment priorities for the upcoming fiscal year.</w:t>
      </w:r>
    </w:p>
    <w:p>
      <w:r>
        <w:br w:type="page"/>
      </w:r>
    </w:p>
    <w:p>
      <w:pPr>
        <w:pStyle w:val="Heading1"/>
        <w:spacing w:after="200" w:before="360"/>
      </w:pPr>
      <w:r>
        <w:rPr>
          <w:rFonts w:ascii="Arial" w:cs="Arial" w:eastAsia="Arial" w:hAnsi="Arial"/>
          <w:b/>
          <w:bCs/>
          <w:color w:val="1F3864"/>
          <w:sz w:val="32"/>
          <w:szCs w:val="32"/>
        </w:rPr>
        <w:t xml:space="preserve">XI.10 Operating Model Maturity Assessment</w:t>
      </w:r>
    </w:p>
    <w:p>
      <w:pPr>
        <w:pBdr>
          <w:bottom w:val="single" w:color="2E75B6" w:sz="6" w:space="1"/>
        </w:pBdr>
        <w:spacing w:after="200" w:before="200"/>
      </w:pPr>
    </w:p>
    <w:p>
      <w:pPr>
        <w:pStyle w:val="Heading2"/>
        <w:spacing w:after="160" w:before="280"/>
      </w:pPr>
      <w:r>
        <w:rPr>
          <w:rFonts w:ascii="Arial" w:cs="Arial" w:eastAsia="Arial" w:hAnsi="Arial"/>
          <w:b/>
          <w:bCs/>
          <w:color w:val="2E75B6"/>
          <w:sz w:val="28"/>
          <w:szCs w:val="28"/>
        </w:rPr>
        <w:t xml:space="preserve">XI.10.1 Operating Model Maturity Framework</w:t>
      </w:r>
    </w:p>
    <w:p>
      <w:pPr>
        <w:spacing w:after="120"/>
      </w:pPr>
      <w:r>
        <w:rPr>
          <w:rFonts w:ascii="Arial" w:cs="Arial" w:eastAsia="Arial" w:hAnsi="Arial"/>
          <w:sz w:val="22"/>
          <w:szCs w:val="22"/>
        </w:rPr>
        <w:t xml:space="preserve">The operating model maturity framework provides a structured assessment methodology for evaluating the effectiveness and sophistication of the governance operating model itself. Distinct from the domain-specific maturity models defined in earlier parts of this playbook, this framework assesses the meta-governance capabilities that enable all domain-specific governance functions.</w:t>
      </w:r>
    </w:p>
    <w:p>
      <w:pPr>
        <w:pStyle w:val="Heading3"/>
        <w:spacing w:after="120" w:before="200"/>
      </w:pPr>
      <w:r>
        <w:rPr>
          <w:rFonts w:ascii="Arial" w:cs="Arial" w:eastAsia="Arial" w:hAnsi="Arial"/>
          <w:b/>
          <w:bCs/>
          <w:color w:val="1F3864"/>
          <w:sz w:val="24"/>
          <w:szCs w:val="24"/>
        </w:rPr>
        <w:t xml:space="preserve">Five-Level Maturity Model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1200"/>
        <w:gridCol w:w="3400"/>
        <w:gridCol w:w="3960"/>
      </w:tblGrid>
      <w:tr>
        <w:tc>
          <w:tcPr>
            <w:tcW w:type="dxa" w:w="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F3864"/>
                <w:sz w:val="20"/>
                <w:szCs w:val="20"/>
              </w:rPr>
              <w:t xml:space="preserve">Level</w:t>
            </w:r>
          </w:p>
        </w:tc>
        <w:tc>
          <w:tcPr>
            <w:tcW w:type="dxa" w:w="1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F3864"/>
                <w:sz w:val="20"/>
                <w:szCs w:val="20"/>
              </w:rPr>
              <w:t xml:space="preserve">Name</w:t>
            </w:r>
          </w:p>
        </w:tc>
        <w:tc>
          <w:tcPr>
            <w:tcW w:type="dxa" w:w="3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F3864"/>
                <w:sz w:val="20"/>
                <w:szCs w:val="20"/>
              </w:rPr>
              <w:t xml:space="preserve">Characteristics</w:t>
            </w:r>
          </w:p>
        </w:tc>
        <w:tc>
          <w:tcPr>
            <w:tcW w:type="dxa" w:w="39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F3864"/>
                <w:sz w:val="20"/>
                <w:szCs w:val="20"/>
              </w:rPr>
              <w:t xml:space="preserve">Operating Model Capabilities</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Level 1</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Initial</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Ad-hoc governance; reactive responses; individual heroics</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 formal structure; tribal knowledge; manual processes</w:t>
            </w:r>
          </w:p>
        </w:tc>
      </w:tr>
      <w:tr>
        <w:tc>
          <w:tcPr>
            <w:tcW w:type="dxa" w:w="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Level 2</w:t>
            </w:r>
          </w:p>
        </w:tc>
        <w:tc>
          <w:tcPr>
            <w:tcW w:type="dxa" w:w="1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Defined</w:t>
            </w:r>
          </w:p>
        </w:tc>
        <w:tc>
          <w:tcPr>
            <w:tcW w:type="dxa" w:w="34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Documented processes; established roles; basic metrics</w:t>
            </w:r>
          </w:p>
        </w:tc>
        <w:tc>
          <w:tcPr>
            <w:tcW w:type="dxa" w:w="39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CoE established; RACI defined; quarterly reporting</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Level 3</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Managed</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Measured processes; data-driven decisions; consistent execution</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Dashboard analytics; automated compliance; champion network active</w:t>
            </w:r>
          </w:p>
        </w:tc>
      </w:tr>
      <w:tr>
        <w:tc>
          <w:tcPr>
            <w:tcW w:type="dxa" w:w="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Level 4</w:t>
            </w:r>
          </w:p>
        </w:tc>
        <w:tc>
          <w:tcPr>
            <w:tcW w:type="dxa" w:w="1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Optimized</w:t>
            </w:r>
          </w:p>
        </w:tc>
        <w:tc>
          <w:tcPr>
            <w:tcW w:type="dxa" w:w="34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Continuous improvement; predictive analytics; proactive governance</w:t>
            </w:r>
          </w:p>
        </w:tc>
        <w:tc>
          <w:tcPr>
            <w:tcW w:type="dxa" w:w="39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AI-assisted optimization; federated model operational; full FinOps integration</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Level 5</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Innovating</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Industry-leading; governance as competitive advantage; self-evolving</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Autonomous optimization; governance innovation exported; industry influence</w:t>
            </w:r>
          </w:p>
        </w:tc>
      </w:tr>
    </w:tbl>
    <w:p>
      <w:pPr>
        <w:pStyle w:val="Heading2"/>
        <w:spacing w:after="160" w:before="280"/>
      </w:pPr>
      <w:r>
        <w:rPr>
          <w:rFonts w:ascii="Arial" w:cs="Arial" w:eastAsia="Arial" w:hAnsi="Arial"/>
          <w:b/>
          <w:bCs/>
          <w:color w:val="2E75B6"/>
          <w:sz w:val="28"/>
          <w:szCs w:val="28"/>
        </w:rPr>
        <w:t xml:space="preserve">XI.10.2 Maturity Assessment Dimensions</w:t>
      </w:r>
    </w:p>
    <w:p>
      <w:pPr>
        <w:spacing w:after="120"/>
      </w:pPr>
      <w:r>
        <w:rPr>
          <w:rFonts w:ascii="Arial" w:cs="Arial" w:eastAsia="Arial" w:hAnsi="Arial"/>
          <w:sz w:val="22"/>
          <w:szCs w:val="22"/>
        </w:rPr>
        <w:t xml:space="preserve">The operating model maturity is assessed across ten dimensions, each scored independently to enable targeted improvement planning.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500"/>
        <w:gridCol w:w="2600"/>
        <w:gridCol w:w="2660"/>
      </w:tblGrid>
      <w:tr>
        <w:tc>
          <w:tcPr>
            <w:tcW w:type="dxa" w:w="1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F3864"/>
                <w:sz w:val="20"/>
                <w:szCs w:val="20"/>
              </w:rPr>
              <w:t xml:space="preserve">Dimension</w:t>
            </w:r>
          </w:p>
        </w:tc>
        <w:tc>
          <w:tcPr>
            <w:tcW w:type="dxa" w:w="25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F3864"/>
                <w:sz w:val="20"/>
                <w:szCs w:val="20"/>
              </w:rPr>
              <w:t xml:space="preserve">Level 1 Indicator</w:t>
            </w:r>
          </w:p>
        </w:tc>
        <w:tc>
          <w:tcPr>
            <w:tcW w:type="dxa" w:w="2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F3864"/>
                <w:sz w:val="20"/>
                <w:szCs w:val="20"/>
              </w:rPr>
              <w:t xml:space="preserve">Level 3 Indicator</w:t>
            </w:r>
          </w:p>
        </w:tc>
        <w:tc>
          <w:tcPr>
            <w:tcW w:type="dxa" w:w="26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F3864"/>
                <w:sz w:val="20"/>
                <w:szCs w:val="20"/>
              </w:rPr>
              <w:t xml:space="preserve">Level 5 Indicator</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Strategy and Vision</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 formal governance strategy</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Documented and annually reviewed strategy</w:t>
            </w:r>
          </w:p>
        </w:tc>
        <w:tc>
          <w:tcPr>
            <w:tcW w:type="dxa" w:w="2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Strategy drives industry governance evolution</w:t>
            </w:r>
          </w:p>
        </w:tc>
      </w:tr>
      <w:tr>
        <w:tc>
          <w:tcPr>
            <w:tcW w:type="dxa" w:w="16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Organizational Structure</w:t>
            </w:r>
          </w:p>
        </w:tc>
        <w:tc>
          <w:tcPr>
            <w:tcW w:type="dxa" w:w="25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No dedicated governance function</w:t>
            </w:r>
          </w:p>
        </w:tc>
        <w:tc>
          <w:tcPr>
            <w:tcW w:type="dxa" w:w="26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Staffed CoE with defined charter</w:t>
            </w:r>
          </w:p>
        </w:tc>
        <w:tc>
          <w:tcPr>
            <w:tcW w:type="dxa" w:w="26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Self-optimizing federated model</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Process Maturity</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Ad-hoc, undocumented processes</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Measured and managed processes</w:t>
            </w:r>
          </w:p>
        </w:tc>
        <w:tc>
          <w:tcPr>
            <w:tcW w:type="dxa" w:w="2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Continuously self-improving processes</w:t>
            </w:r>
          </w:p>
        </w:tc>
      </w:tr>
      <w:tr>
        <w:tc>
          <w:tcPr>
            <w:tcW w:type="dxa" w:w="16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Technology Enablement</w:t>
            </w:r>
          </w:p>
        </w:tc>
        <w:tc>
          <w:tcPr>
            <w:tcW w:type="dxa" w:w="25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Manual governance activities</w:t>
            </w:r>
          </w:p>
        </w:tc>
        <w:tc>
          <w:tcPr>
            <w:tcW w:type="dxa" w:w="26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Automated compliance and reporting</w:t>
            </w:r>
          </w:p>
        </w:tc>
        <w:tc>
          <w:tcPr>
            <w:tcW w:type="dxa" w:w="26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AI-driven governance optimization</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People and Culture</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Governance perceived as overhead</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Active champion network; training program</w:t>
            </w:r>
          </w:p>
        </w:tc>
        <w:tc>
          <w:tcPr>
            <w:tcW w:type="dxa" w:w="2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Governance excellence embedded in culture</w:t>
            </w:r>
          </w:p>
        </w:tc>
      </w:tr>
      <w:tr>
        <w:tc>
          <w:tcPr>
            <w:tcW w:type="dxa" w:w="16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Metrics and Measurement</w:t>
            </w:r>
          </w:p>
        </w:tc>
        <w:tc>
          <w:tcPr>
            <w:tcW w:type="dxa" w:w="25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No governance metrics</w:t>
            </w:r>
          </w:p>
        </w:tc>
        <w:tc>
          <w:tcPr>
            <w:tcW w:type="dxa" w:w="26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Comprehensive dashboard; quarterly reviews</w:t>
            </w:r>
          </w:p>
        </w:tc>
        <w:tc>
          <w:tcPr>
            <w:tcW w:type="dxa" w:w="26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Predictive analytics; automated optimization</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Financial Management</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 governance budget tracking</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Activity-based costing; ROI measurement</w:t>
            </w:r>
          </w:p>
        </w:tc>
        <w:tc>
          <w:tcPr>
            <w:tcW w:type="dxa" w:w="2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Optimized unit economics; value-maximizing allocation</w:t>
            </w:r>
          </w:p>
        </w:tc>
      </w:tr>
      <w:tr>
        <w:tc>
          <w:tcPr>
            <w:tcW w:type="dxa" w:w="16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Stakeholder Engagement</w:t>
            </w:r>
          </w:p>
        </w:tc>
        <w:tc>
          <w:tcPr>
            <w:tcW w:type="dxa" w:w="25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Minimal executive awareness</w:t>
            </w:r>
          </w:p>
        </w:tc>
        <w:tc>
          <w:tcPr>
            <w:tcW w:type="dxa" w:w="26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Structured reporting; active engagement</w:t>
            </w:r>
          </w:p>
        </w:tc>
        <w:tc>
          <w:tcPr>
            <w:tcW w:type="dxa" w:w="26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Governance integrated in business strategy</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Risk Management</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Reactive incident response</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Proactive risk identification; continuous monitoring</w:t>
            </w:r>
          </w:p>
        </w:tc>
        <w:tc>
          <w:tcPr>
            <w:tcW w:type="dxa" w:w="2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Predictive risk prevention; autonomous response</w:t>
            </w:r>
          </w:p>
        </w:tc>
      </w:tr>
      <w:tr>
        <w:tc>
          <w:tcPr>
            <w:tcW w:type="dxa" w:w="16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Continuous Improvement</w:t>
            </w:r>
          </w:p>
        </w:tc>
        <w:tc>
          <w:tcPr>
            <w:tcW w:type="dxa" w:w="25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No formal improvement process</w:t>
            </w:r>
          </w:p>
        </w:tc>
        <w:tc>
          <w:tcPr>
            <w:tcW w:type="dxa" w:w="26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Retrospectives; annual maturity assessments</w:t>
            </w:r>
          </w:p>
        </w:tc>
        <w:tc>
          <w:tcPr>
            <w:tcW w:type="dxa" w:w="26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AI-driven improvement identification; rapid experimentation</w:t>
            </w:r>
          </w:p>
        </w:tc>
      </w:tr>
    </w:tbl>
    <w:p>
      <w:pPr>
        <w:pStyle w:val="Heading2"/>
        <w:spacing w:after="160" w:before="280"/>
      </w:pPr>
      <w:r>
        <w:rPr>
          <w:rFonts w:ascii="Arial" w:cs="Arial" w:eastAsia="Arial" w:hAnsi="Arial"/>
          <w:b/>
          <w:bCs/>
          <w:color w:val="2E75B6"/>
          <w:sz w:val="28"/>
          <w:szCs w:val="28"/>
        </w:rPr>
        <w:t xml:space="preserve">XI.10.3 Maturity Advancement Roadmap</w:t>
      </w:r>
    </w:p>
    <w:p>
      <w:pPr>
        <w:spacing w:after="120"/>
      </w:pPr>
      <w:r>
        <w:rPr>
          <w:rFonts w:ascii="Arial" w:cs="Arial" w:eastAsia="Arial" w:hAnsi="Arial"/>
          <w:sz w:val="22"/>
          <w:szCs w:val="22"/>
        </w:rPr>
        <w:t xml:space="preserve">Organizations should target advancing one maturity level per year across the majority of assessment dimensions, with targeted acceleration in dimensions that represent the greatest risk or opportunity. The advancement roadmap provides a phased approach to building operating model maturity.</w:t>
      </w:r>
    </w:p>
    <w:p>
      <w:pPr>
        <w:pStyle w:val="ListParagraph"/>
        <w:numPr>
          <w:ilvl w:val="0"/>
          <w:numId w:val="11"/>
        </w:numPr>
        <w:spacing w:after="80"/>
      </w:pPr>
      <w:r>
        <w:rPr>
          <w:rFonts w:ascii="Arial" w:cs="Arial" w:eastAsia="Arial" w:hAnsi="Arial"/>
          <w:sz w:val="22"/>
          <w:szCs w:val="22"/>
        </w:rPr>
        <w:t xml:space="preserve">Year 1 - Foundation Building (Target Level 2): Establish CoE; define RACI; implement basic metrics; deploy initial dashboards; launch champion network; create training curriculum. Success criteria: All dimensions at Level 2 or above.</w:t>
      </w:r>
    </w:p>
    <w:p>
      <w:pPr>
        <w:pStyle w:val="ListParagraph"/>
        <w:numPr>
          <w:ilvl w:val="0"/>
          <w:numId w:val="11"/>
        </w:numPr>
        <w:spacing w:after="80"/>
      </w:pPr>
      <w:r>
        <w:rPr>
          <w:rFonts w:ascii="Arial" w:cs="Arial" w:eastAsia="Arial" w:hAnsi="Arial"/>
          <w:sz w:val="22"/>
          <w:szCs w:val="22"/>
        </w:rPr>
        <w:t xml:space="preserve">Year 2 - Operational Excellence (Target Level 3): Automate compliance monitoring; implement governance analytics; operationalize federated model; establish FinOps practices; achieve consistent process execution. Success criteria: 80% of dimensions at Level 3 or above.</w:t>
      </w:r>
    </w:p>
    <w:p>
      <w:pPr>
        <w:pStyle w:val="ListParagraph"/>
        <w:numPr>
          <w:ilvl w:val="0"/>
          <w:numId w:val="11"/>
        </w:numPr>
        <w:spacing w:after="80"/>
      </w:pPr>
      <w:r>
        <w:rPr>
          <w:rFonts w:ascii="Arial" w:cs="Arial" w:eastAsia="Arial" w:hAnsi="Arial"/>
          <w:sz w:val="22"/>
          <w:szCs w:val="22"/>
        </w:rPr>
        <w:t xml:space="preserve">Year 3 - Optimization (Target Level 4): Deploy AI-assisted governance; implement predictive analytics; optimize unit economics; achieve full automation of routine governance activities; enable autonomous team governance. Success criteria: 60% of dimensions at Level 4 or above.</w:t>
      </w:r>
    </w:p>
    <w:p>
      <w:pPr>
        <w:pStyle w:val="ListParagraph"/>
        <w:numPr>
          <w:ilvl w:val="0"/>
          <w:numId w:val="11"/>
        </w:numPr>
        <w:spacing w:after="80"/>
      </w:pPr>
      <w:r>
        <w:rPr>
          <w:rFonts w:ascii="Arial" w:cs="Arial" w:eastAsia="Arial" w:hAnsi="Arial"/>
          <w:sz w:val="22"/>
          <w:szCs w:val="22"/>
        </w:rPr>
        <w:t xml:space="preserve">Year 4+ - Innovation Leadership (Target Level 5): Contribute to industry governance standards; export governance innovations; achieve autonomous self-improvement; demonstrate governance as measurable competitive advantage. Success criteria: Industry recognition as governance leader.</w:t>
      </w:r>
    </w:p>
    <w:p>
      <w:pPr>
        <w:pStyle w:val="Heading2"/>
        <w:spacing w:after="160" w:before="280"/>
      </w:pPr>
      <w:r>
        <w:rPr>
          <w:rFonts w:ascii="Arial" w:cs="Arial" w:eastAsia="Arial" w:hAnsi="Arial"/>
          <w:b/>
          <w:bCs/>
          <w:color w:val="2E75B6"/>
          <w:sz w:val="28"/>
          <w:szCs w:val="28"/>
        </w:rPr>
        <w:t xml:space="preserve">XI.10.4 Continuous Improvement Mechanisms</w:t>
      </w:r>
    </w:p>
    <w:p>
      <w:pPr>
        <w:spacing w:after="120"/>
      </w:pPr>
      <w:r>
        <w:rPr>
          <w:rFonts w:ascii="Arial" w:cs="Arial" w:eastAsia="Arial" w:hAnsi="Arial"/>
          <w:sz w:val="22"/>
          <w:szCs w:val="22"/>
        </w:rPr>
        <w:t xml:space="preserve">The operating model employs six continuous improvement mechanisms that ensure governance capabilities evolve in response to changing organizational needs, technological advances, and industry best practices.</w:t>
      </w:r>
    </w:p>
    <w:p>
      <w:pPr>
        <w:pStyle w:val="ListParagraph"/>
        <w:numPr>
          <w:ilvl w:val="0"/>
          <w:numId w:val="5"/>
        </w:numPr>
        <w:spacing w:after="80"/>
      </w:pPr>
      <w:r>
        <w:rPr>
          <w:rFonts w:ascii="Arial" w:cs="Arial" w:eastAsia="Arial" w:hAnsi="Arial"/>
          <w:b/>
          <w:bCs/>
          <w:sz w:val="22"/>
          <w:szCs w:val="22"/>
        </w:rPr>
        <w:t xml:space="preserve">Quarterly Maturity Assessments: </w:t>
      </w:r>
      <w:r>
        <w:rPr>
          <w:rFonts w:ascii="Arial" w:cs="Arial" w:eastAsia="Arial" w:hAnsi="Arial"/>
          <w:sz w:val="22"/>
          <w:szCs w:val="22"/>
        </w:rPr>
        <w:t xml:space="preserve">Structured assessments across all ten dimensions with trend tracking and gap analysis. Results drive the next quarter's improvement priorities and resource allocation decisions.</w:t>
      </w:r>
    </w:p>
    <w:p>
      <w:pPr>
        <w:pStyle w:val="ListParagraph"/>
        <w:numPr>
          <w:ilvl w:val="0"/>
          <w:numId w:val="5"/>
        </w:numPr>
        <w:spacing w:after="80"/>
      </w:pPr>
      <w:r>
        <w:rPr>
          <w:rFonts w:ascii="Arial" w:cs="Arial" w:eastAsia="Arial" w:hAnsi="Arial"/>
          <w:b/>
          <w:bCs/>
          <w:sz w:val="22"/>
          <w:szCs w:val="22"/>
        </w:rPr>
        <w:t xml:space="preserve">Governance Retrospectives: </w:t>
      </w:r>
      <w:r>
        <w:rPr>
          <w:rFonts w:ascii="Arial" w:cs="Arial" w:eastAsia="Arial" w:hAnsi="Arial"/>
          <w:sz w:val="22"/>
          <w:szCs w:val="22"/>
        </w:rPr>
        <w:t xml:space="preserve">Monthly retrospectives involving CoE staff, champions, and team representatives to identify what is working well, what needs improvement, and what experiments to try.</w:t>
      </w:r>
    </w:p>
    <w:p>
      <w:pPr>
        <w:pStyle w:val="ListParagraph"/>
        <w:numPr>
          <w:ilvl w:val="0"/>
          <w:numId w:val="5"/>
        </w:numPr>
        <w:spacing w:after="80"/>
      </w:pPr>
      <w:r>
        <w:rPr>
          <w:rFonts w:ascii="Arial" w:cs="Arial" w:eastAsia="Arial" w:hAnsi="Arial"/>
          <w:b/>
          <w:bCs/>
          <w:sz w:val="22"/>
          <w:szCs w:val="22"/>
        </w:rPr>
        <w:t xml:space="preserve">Industry Benchmarking: </w:t>
      </w:r>
      <w:r>
        <w:rPr>
          <w:rFonts w:ascii="Arial" w:cs="Arial" w:eastAsia="Arial" w:hAnsi="Arial"/>
          <w:sz w:val="22"/>
          <w:szCs w:val="22"/>
        </w:rPr>
        <w:t xml:space="preserve">Annual participation in governance maturity benchmarking studies to compare organizational capabilities against peers and identify areas where the organization lags or leads.</w:t>
      </w:r>
    </w:p>
    <w:p>
      <w:pPr>
        <w:pStyle w:val="ListParagraph"/>
        <w:numPr>
          <w:ilvl w:val="0"/>
          <w:numId w:val="5"/>
        </w:numPr>
        <w:spacing w:after="80"/>
      </w:pPr>
      <w:r>
        <w:rPr>
          <w:rFonts w:ascii="Arial" w:cs="Arial" w:eastAsia="Arial" w:hAnsi="Arial"/>
          <w:b/>
          <w:bCs/>
          <w:sz w:val="22"/>
          <w:szCs w:val="22"/>
        </w:rPr>
        <w:t xml:space="preserve">Innovation Experiments: </w:t>
      </w:r>
      <w:r>
        <w:rPr>
          <w:rFonts w:ascii="Arial" w:cs="Arial" w:eastAsia="Arial" w:hAnsi="Arial"/>
          <w:sz w:val="22"/>
          <w:szCs w:val="22"/>
        </w:rPr>
        <w:t xml:space="preserve">Dedicated capacity for governance innovation experiments where new approaches, tools, and practices are tested in controlled environments before broader rollout.</w:t>
      </w:r>
    </w:p>
    <w:p>
      <w:pPr>
        <w:pStyle w:val="ListParagraph"/>
        <w:numPr>
          <w:ilvl w:val="0"/>
          <w:numId w:val="5"/>
        </w:numPr>
        <w:spacing w:after="80"/>
      </w:pPr>
      <w:r>
        <w:rPr>
          <w:rFonts w:ascii="Arial" w:cs="Arial" w:eastAsia="Arial" w:hAnsi="Arial"/>
          <w:b/>
          <w:bCs/>
          <w:sz w:val="22"/>
          <w:szCs w:val="22"/>
        </w:rPr>
        <w:t xml:space="preserve">Feedback Synthesis: </w:t>
      </w:r>
      <w:r>
        <w:rPr>
          <w:rFonts w:ascii="Arial" w:cs="Arial" w:eastAsia="Arial" w:hAnsi="Arial"/>
          <w:sz w:val="22"/>
          <w:szCs w:val="22"/>
        </w:rPr>
        <w:t xml:space="preserve">AI-assisted analysis of all governance feedback channels including champion reports, developer surveys, support tickets, and community discussions to identify emergent themes and improvement opportunities.</w:t>
      </w:r>
    </w:p>
    <w:p>
      <w:pPr>
        <w:pStyle w:val="ListParagraph"/>
        <w:numPr>
          <w:ilvl w:val="0"/>
          <w:numId w:val="5"/>
        </w:numPr>
        <w:spacing w:after="80"/>
      </w:pPr>
      <w:r>
        <w:rPr>
          <w:rFonts w:ascii="Arial" w:cs="Arial" w:eastAsia="Arial" w:hAnsi="Arial"/>
          <w:b/>
          <w:bCs/>
          <w:sz w:val="22"/>
          <w:szCs w:val="22"/>
        </w:rPr>
        <w:t xml:space="preserve">External Advisory: </w:t>
      </w:r>
      <w:r>
        <w:rPr>
          <w:rFonts w:ascii="Arial" w:cs="Arial" w:eastAsia="Arial" w:hAnsi="Arial"/>
          <w:sz w:val="22"/>
          <w:szCs w:val="22"/>
        </w:rPr>
        <w:t xml:space="preserve">Semi-annual engagement with external governance advisors and industry analysts to provide independent perspective on governance strategy and operating model effectiveness.</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8"/>
        <w:szCs w:val="18"/>
      </w:rPr>
      <w:t xml:space="preserve">Confidential  |  Page </w:t>
    </w:r>
    <w:r>
      <w:rPr>
        <w:rFonts w:ascii="Arial" w:cs="Arial" w:eastAsia="Arial" w:hAnsi="Arial"/>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9026"/>
      </w:tabs>
    </w:pPr>
    <w:r>
      <w:rPr>
        <w:rFonts w:ascii="Arial" w:cs="Arial" w:eastAsia="Arial" w:hAnsi="Arial"/>
        <w:i/>
        <w:iCs/>
        <w:color w:val="888888"/>
        <w:sz w:val="18"/>
        <w:szCs w:val="18"/>
      </w:rPr>
      <w:t xml:space="preserve">Enterprise Software Governance Playbook</w:t>
    </w:r>
    <w:r>
      <w:rPr>
        <w:rFonts w:ascii="Arial" w:cs="Arial" w:eastAsia="Arial" w:hAnsi="Arial"/>
        <w:i/>
        <w:iCs/>
        <w:color w:val="888888"/>
        <w:sz w:val="18"/>
        <w:szCs w:val="18"/>
      </w:rPr>
      <w:t xml:space="preserve">	Section 7: Acceleration, Measurement &amp; Operating Model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440" w:hanging="360"/>
      </w:pPr>
    </w:lvl>
  </w:abstractNum>
  <w:abstractNum w:abstractNumId="4"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440" w:hanging="360"/>
      </w:pPr>
    </w:lvl>
  </w:abstractNum>
  <w:abstractNum w:abstractNumId="5"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440" w:hanging="360"/>
      </w:pPr>
    </w:lvl>
  </w:abstractNum>
  <w:abstractNum w:abstractNumId="6"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440" w:hanging="360"/>
      </w:pPr>
    </w:lvl>
  </w:abstractNum>
  <w:abstractNum w:abstractNumId="7"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440" w:hanging="360"/>
      </w:pPr>
    </w:lvl>
  </w:abstractNum>
  <w:abstractNum w:abstractNumId="8"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440" w:hanging="360"/>
      </w:pPr>
    </w:lvl>
  </w:abstractNum>
  <w:abstractNum w:abstractNumId="9"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440" w:hanging="360"/>
      </w:pPr>
    </w:lvl>
  </w:abstractNum>
  <w:abstractNum w:abstractNumId="10"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440" w:hanging="360"/>
      </w:pPr>
    </w:lvl>
  </w:abstractNum>
  <w:abstractNum w:abstractNumId="11"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440" w:hanging="360"/>
      </w:pPr>
    </w:lvl>
  </w:abstractNum>
  <w:abstractNum w:abstractNumId="12"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440" w:hanging="360"/>
      </w:pPr>
    </w:lvl>
  </w:abstractNum>
  <w:abstractNum w:abstractNumId="13"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440" w:hanging="360"/>
      </w:pPr>
    </w:lvl>
  </w:abstractNum>
  <w:abstractNum w:abstractNumId="14"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440" w:hanging="360"/>
      </w:pPr>
    </w:lvl>
  </w:abstractNum>
  <w:num w:numId="1">
    <w:abstractNumId w:val="1"/>
    <w:lvlOverride w:ilvl="0">
      <w:startOverride w:val="1"/>
    </w:lvlOverride>
  </w:num>
  <w:num w:numId="2">
    <w:abstractNumId w:val="3"/>
    <w:lvlOverride w:ilvl="0">
      <w:startOverride w:val="1"/>
    </w:lvlOverride>
  </w:num>
  <w:num w:numId="3">
    <w:abstractNumId w:val="4"/>
    <w:lvlOverride w:ilvl="0">
      <w:startOverride w:val="1"/>
    </w:lvlOverride>
  </w:num>
  <w:num w:numId="4">
    <w:abstractNumId w:val="5"/>
    <w:lvlOverride w:ilvl="0">
      <w:startOverride w:val="1"/>
    </w:lvlOverride>
  </w:num>
  <w:num w:numId="5">
    <w:abstractNumId w:val="2"/>
    <w:lvlOverride w:ilvl="0">
      <w:startOverride w:val="1"/>
    </w:lvlOverride>
  </w:num>
  <w:num w:numId="6">
    <w:abstractNumId w:val="6"/>
    <w:lvlOverride w:ilvl="0">
      <w:startOverride w:val="1"/>
    </w:lvlOverride>
  </w:num>
  <w:num w:numId="7">
    <w:abstractNumId w:val="7"/>
    <w:lvlOverride w:ilvl="0">
      <w:startOverride w:val="1"/>
    </w:lvlOverride>
  </w:num>
  <w:num w:numId="8">
    <w:abstractNumId w:val="8"/>
    <w:lvlOverride w:ilvl="0">
      <w:startOverride w:val="1"/>
    </w:lvlOverride>
  </w:num>
  <w:num w:numId="9">
    <w:abstractNumId w:val="9"/>
    <w:lvlOverride w:ilvl="0">
      <w:startOverride w:val="1"/>
    </w:lvlOverride>
  </w:num>
  <w:num w:numId="10">
    <w:abstractNumId w:val="10"/>
    <w:lvlOverride w:ilvl="0">
      <w:startOverride w:val="1"/>
    </w:lvlOverride>
  </w:num>
  <w:num w:numId="11">
    <w:abstractNumId w:val="1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F3864"/>
      <w:sz w:val="32"/>
      <w:szCs w:val="32"/>
    </w:rPr>
  </w:style>
  <w:style w:type="paragraph" w:styleId="Heading2">
    <w:name w:val="Heading 2"/>
    <w:basedOn w:val="Normal"/>
    <w:next w:val="Normal"/>
    <w:qFormat/>
    <w:pPr>
      <w:spacing w:after="160" w:before="280"/>
      <w:outlineLvl w:val="1"/>
    </w:pPr>
    <w:rPr>
      <w:rFonts w:ascii="Arial" w:cs="Arial" w:eastAsia="Arial" w:hAnsi="Arial"/>
      <w:b/>
      <w:bCs/>
      <w:color w:val="2E75B6"/>
      <w:sz w:val="28"/>
      <w:szCs w:val="28"/>
    </w:rPr>
  </w:style>
  <w:style w:type="paragraph" w:styleId="Heading3">
    <w:name w:val="Heading 3"/>
    <w:basedOn w:val="Normal"/>
    <w:next w:val="Normal"/>
    <w:qFormat/>
    <w:pPr>
      <w:spacing w:after="120" w:before="200"/>
      <w:outlineLvl w:val="2"/>
    </w:pPr>
    <w:rPr>
      <w:rFonts w:ascii="Arial" w:cs="Arial" w:eastAsia="Arial" w:hAnsi="Arial"/>
      <w:b/>
      <w:bCs/>
      <w:color w:val="1F386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2026-03-03T00:19:42.970Z</dcterms:created>
  <dcterms:modified xsi:type="dcterms:W3CDTF">2026-03-03T00:19:42.971Z</dcterms:modified>
</cp:coreProperties>
</file>

<file path=docProps/custom.xml><?xml version="1.0" encoding="utf-8"?>
<Properties xmlns="http://schemas.openxmlformats.org/officeDocument/2006/custom-properties" xmlns:vt="http://schemas.openxmlformats.org/officeDocument/2006/docPropsVTypes"/>
</file>