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Xe7844d71788e66d253de5a546b2c762140a734b"/>
    <w:p>
      <w:pPr>
        <w:pStyle w:val="Heading1"/>
      </w:pPr>
      <w:r>
        <w:t xml:space="preserve">Enterprise Software Governance: Integrated TPRM, AI Governance &amp; PDLC Framework</w:t>
      </w:r>
    </w:p>
    <w:p>
      <w:pPr>
        <w:pStyle w:val="FirstParagraph"/>
      </w:pPr>
      <w:r>
        <w:rPr>
          <w:b/>
          <w:bCs/>
        </w:rPr>
        <w:t xml:space="preserve">Intake-to-Retirement Framework | BPMN-Governed, DMN-Driven, Agent-Ready</w:t>
      </w:r>
    </w:p>
    <w:p>
      <w:pPr>
        <w:pStyle w:val="BodyText"/>
      </w:pPr>
      <w:r>
        <w:rPr>
          <w:i/>
          <w:iCs/>
        </w:rPr>
        <w:t xml:space="preserve">Role-Based Reference Architecture for Financial Services Institutions</w:t>
      </w:r>
    </w:p>
    <w:p>
      <w:pPr>
        <w:pStyle w:val="BodyText"/>
      </w:pPr>
      <w:r>
        <w:rPr>
          <w:b/>
          <w:bCs/>
        </w:rPr>
        <w:t xml:space="preserve">Regulatory Alignment:</w:t>
      </w:r>
      <w:r>
        <w:t xml:space="preserve"> </w:t>
      </w:r>
      <w:r>
        <w:t xml:space="preserve">OCC Bulletin 2023-17 | SR 11-7 MRM | NIST AI RMF 1.0 | ISO/IEC 27001:2022 | BCBS d577 | ISO/IEC 19770 ITAM | FINRA Rules 3110 / 4511 | SEC Cybersecurity Disclosure Rule | NIST SP 1800-5 | GLB Act | GDPR / CCPA | EU AI Act | DORA</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Classification</w:t>
            </w:r>
          </w:p>
        </w:tc>
        <w:tc>
          <w:tcPr/>
          <w:p>
            <w:pPr>
              <w:pStyle w:val="Compact"/>
            </w:pPr>
            <w:r>
              <w:t xml:space="preserve">Internal / Confidential</w:t>
            </w:r>
          </w:p>
        </w:tc>
      </w:tr>
      <w:tr>
        <w:tc>
          <w:tcPr/>
          <w:p>
            <w:pPr>
              <w:pStyle w:val="Compact"/>
            </w:pPr>
            <w:r>
              <w:rPr>
                <w:b/>
                <w:bCs/>
              </w:rPr>
              <w:t xml:space="preserve">Applicability</w:t>
            </w:r>
          </w:p>
        </w:tc>
        <w:tc>
          <w:tcPr/>
          <w:p>
            <w:pPr>
              <w:pStyle w:val="Compact"/>
            </w:pPr>
            <w:r>
              <w:t xml:space="preserve">All Financial Services Institutions</w:t>
            </w:r>
          </w:p>
        </w:tc>
      </w:tr>
      <w:tr>
        <w:tc>
          <w:tcPr/>
          <w:p>
            <w:pPr>
              <w:pStyle w:val="Compact"/>
            </w:pPr>
            <w:r>
              <w:rPr>
                <w:b/>
                <w:bCs/>
              </w:rPr>
              <w:t xml:space="preserve">Review Cycle</w:t>
            </w:r>
          </w:p>
        </w:tc>
        <w:tc>
          <w:tcPr/>
          <w:p>
            <w:pPr>
              <w:pStyle w:val="Compact"/>
            </w:pPr>
            <w:r>
              <w:t xml:space="preserve">Annual or upon material regulatory change</w:t>
            </w:r>
          </w:p>
        </w:tc>
      </w:tr>
      <w:tr>
        <w:tc>
          <w:tcPr/>
          <w:p>
            <w:pPr>
              <w:pStyle w:val="Compact"/>
            </w:pPr>
            <w:r>
              <w:rPr>
                <w:b/>
                <w:bCs/>
              </w:rPr>
              <w:t xml:space="preserve">Governance Owner</w:t>
            </w:r>
          </w:p>
        </w:tc>
        <w:tc>
          <w:tcPr/>
          <w:p>
            <w:pPr>
              <w:pStyle w:val="Compact"/>
            </w:pPr>
            <w:r>
              <w:t xml:space="preserve">Enterprise Architecture / Technology Governance</w:t>
            </w:r>
          </w:p>
        </w:tc>
      </w:tr>
      <w:tr>
        <w:tc>
          <w:tcPr/>
          <w:p>
            <w:pPr>
              <w:pStyle w:val="Compact"/>
            </w:pPr>
            <w:r>
              <w:rPr>
                <w:b/>
                <w:bCs/>
              </w:rPr>
              <w:t xml:space="preserve">Approval Authority</w:t>
            </w:r>
          </w:p>
        </w:tc>
        <w:tc>
          <w:tcPr/>
          <w:p>
            <w:pPr>
              <w:pStyle w:val="Compact"/>
            </w:pPr>
            <w:r>
              <w:t xml:space="preserve">Technology Governance Council / Risk Governance Council</w:t>
            </w:r>
          </w:p>
        </w:tc>
      </w:tr>
      <w:tr>
        <w:tc>
          <w:tcPr/>
          <w:p>
            <w:pPr>
              <w:pStyle w:val="Compact"/>
            </w:pPr>
            <w:r>
              <w:rPr>
                <w:b/>
                <w:bCs/>
              </w:rPr>
              <w:t xml:space="preserve">Version</w:t>
            </w:r>
          </w:p>
        </w:tc>
        <w:tc>
          <w:tcPr/>
          <w:p>
            <w:pPr>
              <w:pStyle w:val="Compact"/>
            </w:pPr>
            <w:r>
              <w:t xml:space="preserve">2.0 — Comprehensive End-to-End Lifecycle</w:t>
            </w:r>
          </w:p>
        </w:tc>
      </w:tr>
      <w:tr>
        <w:tc>
          <w:tcPr/>
          <w:p>
            <w:pPr>
              <w:pStyle w:val="Compact"/>
            </w:pPr>
            <w:r>
              <w:rPr>
                <w:b/>
                <w:bCs/>
              </w:rPr>
              <w:t xml:space="preserve">Date</w:t>
            </w:r>
          </w:p>
        </w:tc>
        <w:tc>
          <w:tcPr/>
          <w:p>
            <w:pPr>
              <w:pStyle w:val="Compact"/>
            </w:pPr>
            <w:r>
              <w:t xml:space="preserve">March 2026</w:t>
            </w:r>
          </w:p>
        </w:tc>
      </w:tr>
    </w:tbl>
    <w:p>
      <w:r>
        <w:pict>
          <v:rect style="width:0;height:1.5pt" o:hralign="center" o:hrstd="t" o:hr="t"/>
        </w:pict>
      </w:r>
    </w:p>
    <w:bookmarkEnd w:id="16"/>
    <w:bookmarkStart w:id="24" w:name="part-i-foundation"/>
    <w:p>
      <w:pPr>
        <w:pStyle w:val="Heading1"/>
      </w:pPr>
      <w:r>
        <w:t xml:space="preserve">Part I: Foundation</w:t>
      </w:r>
    </w:p>
    <w:bookmarkStart w:id="18" w:name="executive-summary"/>
    <w:p>
      <w:pPr>
        <w:pStyle w:val="Heading2"/>
      </w:pPr>
      <w:r>
        <w:t xml:space="preserve">1. Executive Summary</w:t>
      </w:r>
    </w:p>
    <w:p>
      <w:pPr>
        <w:pStyle w:val="FirstParagraph"/>
      </w:pPr>
      <w:r>
        <w:t xml:space="preserve">Financial services institutions face a compounding challenge: the pace</w:t>
      </w:r>
      <w:r>
        <w:t xml:space="preserve"> </w:t>
      </w:r>
      <w:r>
        <w:t xml:space="preserve">of technology adoption is accelerating while regulatory expectations for</w:t>
      </w:r>
      <w:r>
        <w:t xml:space="preserve"> </w:t>
      </w:r>
      <w:r>
        <w:t xml:space="preserve">governance, risk management, and auditability are simultaneously</w:t>
      </w:r>
      <w:r>
        <w:t xml:space="preserve"> </w:t>
      </w:r>
      <w:r>
        <w:t xml:space="preserve">tightening. Most organizations manage software acquisition and</w:t>
      </w:r>
      <w:r>
        <w:t xml:space="preserve"> </w:t>
      </w:r>
      <w:r>
        <w:t xml:space="preserve">development through fragmented, reactive processes that create</w:t>
      </w:r>
      <w:r>
        <w:t xml:space="preserve"> </w:t>
      </w:r>
      <w:r>
        <w:t xml:space="preserve">duplication, compliance exposure, delayed value realization, and an</w:t>
      </w:r>
      <w:r>
        <w:t xml:space="preserve"> </w:t>
      </w:r>
      <w:r>
        <w:t xml:space="preserve">inability to demonstrate to regulators that technology decisions are</w:t>
      </w:r>
      <w:r>
        <w:t xml:space="preserve"> </w:t>
      </w:r>
      <w:r>
        <w:t xml:space="preserve">made through disciplined, documented, and repeatable methods.</w:t>
      </w:r>
    </w:p>
    <w:p>
      <w:pPr>
        <w:pStyle w:val="BodyText"/>
      </w:pPr>
      <w:r>
        <w:t xml:space="preserve">This framework establishes an end-to-end Enterprise Software Governance</w:t>
      </w:r>
      <w:r>
        <w:t xml:space="preserve"> </w:t>
      </w:r>
      <w:r>
        <w:t xml:space="preserve">process—from the moment a capability gap is identified to</w:t>
      </w:r>
      <w:r>
        <w:t xml:space="preserve"> </w:t>
      </w:r>
      <w:r>
        <w:t xml:space="preserve">post-deployment observability—designed to satisfy the most demanding</w:t>
      </w:r>
      <w:r>
        <w:t xml:space="preserve"> </w:t>
      </w:r>
      <w:r>
        <w:t xml:space="preserve">regulatory environments in financial services while materially</w:t>
      </w:r>
      <w:r>
        <w:t xml:space="preserve"> </w:t>
      </w:r>
      <w:r>
        <w:t xml:space="preserve">accelerating delivery velocity. It integrates:</w:t>
      </w:r>
    </w:p>
    <w:p>
      <w:pPr>
        <w:numPr>
          <w:ilvl w:val="0"/>
          <w:numId w:val="1001"/>
        </w:numPr>
      </w:pPr>
      <w:r>
        <w:t xml:space="preserve">A continuously-updated Software Asset Intelligence layer that prevents</w:t>
      </w:r>
      <w:r>
        <w:t xml:space="preserve"> </w:t>
      </w:r>
      <w:r>
        <w:t xml:space="preserve">duplicate spend and surfaces reuse opportunities before any request is</w:t>
      </w:r>
      <w:r>
        <w:t xml:space="preserve"> </w:t>
      </w:r>
      <w:r>
        <w:t xml:space="preserve">submitted.</w:t>
      </w:r>
    </w:p>
    <w:p>
      <w:pPr>
        <w:numPr>
          <w:ilvl w:val="0"/>
          <w:numId w:val="1001"/>
        </w:numPr>
      </w:pPr>
      <w:r>
        <w:t xml:space="preserve">A conversational AI intake engine that enforces completeness,</w:t>
      </w:r>
      <w:r>
        <w:t xml:space="preserve"> </w:t>
      </w:r>
      <w:r>
        <w:t xml:space="preserve">concurrently classifies AI and vendor risk, and auto-generates</w:t>
      </w:r>
      <w:r>
        <w:t xml:space="preserve"> </w:t>
      </w:r>
      <w:r>
        <w:t xml:space="preserve">structured product requirements artifacts pushed directly to</w:t>
      </w:r>
      <w:r>
        <w:t xml:space="preserve"> </w:t>
      </w:r>
      <w:r>
        <w:t xml:space="preserve">development backlogs.</w:t>
      </w:r>
    </w:p>
    <w:p>
      <w:pPr>
        <w:numPr>
          <w:ilvl w:val="0"/>
          <w:numId w:val="1001"/>
        </w:numPr>
      </w:pPr>
      <w:r>
        <w:t xml:space="preserve">Fourteen formalized Decision Model and Notation (DMN) decision tables</w:t>
      </w:r>
      <w:r>
        <w:t xml:space="preserve"> </w:t>
      </w:r>
      <w:r>
        <w:t xml:space="preserve">that replace informal gateway reviews with deterministic, auditable,</w:t>
      </w:r>
      <w:r>
        <w:t xml:space="preserve"> </w:t>
      </w:r>
      <w:r>
        <w:t xml:space="preserve">and independently verifiable decision logic.</w:t>
      </w:r>
    </w:p>
    <w:p>
      <w:pPr>
        <w:numPr>
          <w:ilvl w:val="0"/>
          <w:numId w:val="1001"/>
        </w:numPr>
      </w:pPr>
      <w:r>
        <w:t xml:space="preserve">A mandatory capability reuse gate—governed by DMN—that queries the</w:t>
      </w:r>
      <w:r>
        <w:t xml:space="preserve"> </w:t>
      </w:r>
      <w:r>
        <w:t xml:space="preserve">institutional registry and tests reuse potential before any downstream</w:t>
      </w:r>
      <w:r>
        <w:t xml:space="preserve"> </w:t>
      </w:r>
      <w:r>
        <w:t xml:space="preserve">design or build activity proceeds.</w:t>
      </w:r>
    </w:p>
    <w:p>
      <w:pPr>
        <w:numPr>
          <w:ilvl w:val="0"/>
          <w:numId w:val="1001"/>
        </w:numPr>
      </w:pPr>
      <w:r>
        <w:t xml:space="preserve">A full six-stage Third-Party Risk Management lifecycle aligned to OCC</w:t>
      </w:r>
      <w:r>
        <w:t xml:space="preserve"> </w:t>
      </w:r>
      <w:r>
        <w:t xml:space="preserve">Bulletin 2023-17, with proportionate due diligence, ongoing</w:t>
      </w:r>
      <w:r>
        <w:t xml:space="preserve"> </w:t>
      </w:r>
      <w:r>
        <w:t xml:space="preserve">monitoring, and termination management calibrated to vendor risk tier.</w:t>
      </w:r>
    </w:p>
    <w:p>
      <w:pPr>
        <w:numPr>
          <w:ilvl w:val="0"/>
          <w:numId w:val="1001"/>
        </w:numPr>
      </w:pPr>
      <w:r>
        <w:t xml:space="preserve">An SR 11-7 Model Risk Management architecture for all AI-enabled</w:t>
      </w:r>
      <w:r>
        <w:t xml:space="preserve"> </w:t>
      </w:r>
      <w:r>
        <w:t xml:space="preserve">components, including concurrent risk classification at intake,</w:t>
      </w:r>
      <w:r>
        <w:t xml:space="preserve"> </w:t>
      </w:r>
      <w:r>
        <w:t xml:space="preserve">independent validation pathways, model inventory governance, and</w:t>
      </w:r>
      <w:r>
        <w:t xml:space="preserve"> </w:t>
      </w:r>
      <w:r>
        <w:t xml:space="preserve">mandatory observability telemetry.</w:t>
      </w:r>
    </w:p>
    <w:p>
      <w:pPr>
        <w:numPr>
          <w:ilvl w:val="0"/>
          <w:numId w:val="1001"/>
        </w:numPr>
      </w:pPr>
      <w:r>
        <w:t xml:space="preserve">A graph-based Legal Knowledge Base that contextualizes RFP and Master</w:t>
      </w:r>
      <w:r>
        <w:t xml:space="preserve"> </w:t>
      </w:r>
      <w:r>
        <w:t xml:space="preserve">Services Agreement language by acquisition type, regulatory domain,</w:t>
      </w:r>
      <w:r>
        <w:t xml:space="preserve"> </w:t>
      </w:r>
      <w:r>
        <w:t xml:space="preserve">and vendor risk tier.</w:t>
      </w:r>
    </w:p>
    <w:p>
      <w:pPr>
        <w:numPr>
          <w:ilvl w:val="0"/>
          <w:numId w:val="1001"/>
        </w:numPr>
      </w:pPr>
      <w:r>
        <w:t xml:space="preserve">Controlled agent usage governed by deterministic knowledge bases, DMN</w:t>
      </w:r>
      <w:r>
        <w:t xml:space="preserve"> </w:t>
      </w:r>
      <w:r>
        <w:t xml:space="preserve">rules, and full decision provenance logging—agents augment but never</w:t>
      </w:r>
      <w:r>
        <w:t xml:space="preserve"> </w:t>
      </w:r>
      <w:r>
        <w:t xml:space="preserve">make unmonitored decisions.</w:t>
      </w:r>
    </w:p>
    <w:p>
      <w:pPr>
        <w:numPr>
          <w:ilvl w:val="0"/>
          <w:numId w:val="1001"/>
        </w:numPr>
      </w:pPr>
      <w:r>
        <w:t xml:space="preserve">Phased automation driven by evidence of recurring friction, gradually</w:t>
      </w:r>
      <w:r>
        <w:t xml:space="preserve"> </w:t>
      </w:r>
      <w:r>
        <w:t xml:space="preserve">reducing manual overhead while maintaining auditability at every step.</w:t>
      </w:r>
    </w:p>
    <w:p>
      <w:pPr>
        <w:pStyle w:val="BlockText"/>
      </w:pPr>
      <w:r>
        <w:rPr>
          <w:i/>
          <w:iCs/>
        </w:rPr>
        <w:t xml:space="preserve">Core Design Philosophy: Deterministic-first, AI-augmented. Every</w:t>
      </w:r>
      <w:r>
        <w:rPr>
          <w:i/>
          <w:iCs/>
        </w:rPr>
        <w:t xml:space="preserve"> </w:t>
      </w:r>
      <w:r>
        <w:rPr>
          <w:i/>
          <w:iCs/>
        </w:rPr>
        <w:t xml:space="preserve">material routing and approval decision is governed by explicit,</w:t>
      </w:r>
      <w:r>
        <w:rPr>
          <w:i/>
          <w:iCs/>
        </w:rPr>
        <w:t xml:space="preserve"> </w:t>
      </w:r>
      <w:r>
        <w:rPr>
          <w:i/>
          <w:iCs/>
        </w:rPr>
        <w:t xml:space="preserve">auditable rules (DMN). Agents and AI accelerate intake, enrichment,</w:t>
      </w:r>
      <w:r>
        <w:rPr>
          <w:i/>
          <w:iCs/>
        </w:rPr>
        <w:t xml:space="preserve"> </w:t>
      </w:r>
      <w:r>
        <w:rPr>
          <w:i/>
          <w:iCs/>
        </w:rPr>
        <w:t xml:space="preserve">classification, and generation—but never make unmonitored,</w:t>
      </w:r>
      <w:r>
        <w:rPr>
          <w:i/>
          <w:iCs/>
        </w:rPr>
        <w:t xml:space="preserve"> </w:t>
      </w:r>
      <w:r>
        <w:rPr>
          <w:i/>
          <w:iCs/>
        </w:rPr>
        <w:t xml:space="preserve">unexplained decisions that affect business or regulatory outcomes. All</w:t>
      </w:r>
      <w:r>
        <w:rPr>
          <w:i/>
          <w:iCs/>
        </w:rPr>
        <w:t xml:space="preserve"> </w:t>
      </w:r>
      <w:r>
        <w:rPr>
          <w:i/>
          <w:iCs/>
        </w:rPr>
        <w:t xml:space="preserve">activities—human, automated, or agent-enabled—are orchestrated and</w:t>
      </w:r>
      <w:r>
        <w:rPr>
          <w:i/>
          <w:iCs/>
        </w:rPr>
        <w:t xml:space="preserve"> </w:t>
      </w:r>
      <w:r>
        <w:rPr>
          <w:i/>
          <w:iCs/>
        </w:rPr>
        <w:t xml:space="preserve">observable within a single BPMN workflow.</w:t>
      </w:r>
    </w:p>
    <w:p>
      <w:pPr>
        <w:pStyle w:val="BlockText"/>
      </w:pPr>
      <w:r>
        <w:rPr>
          <w:i/>
          <w:iCs/>
        </w:rPr>
        <w:t xml:space="preserve">BPMN Mandate: This document is structured for direct translation into</w:t>
      </w:r>
      <w:r>
        <w:rPr>
          <w:i/>
          <w:iCs/>
        </w:rPr>
        <w:t xml:space="preserve"> </w:t>
      </w:r>
      <w:r>
        <w:rPr>
          <w:i/>
          <w:iCs/>
        </w:rPr>
        <w:t xml:space="preserve">executable BPMN. Every phase maps to a BPMN sub-process. Every</w:t>
      </w:r>
      <w:r>
        <w:rPr>
          <w:i/>
          <w:iCs/>
        </w:rPr>
        <w:t xml:space="preserve"> </w:t>
      </w:r>
      <w:r>
        <w:rPr>
          <w:i/>
          <w:iCs/>
        </w:rPr>
        <w:t xml:space="preserve">decision gate maps to a DMN Business Rules Task. Every task is</w:t>
      </w:r>
      <w:r>
        <w:rPr>
          <w:i/>
          <w:iCs/>
        </w:rPr>
        <w:t xml:space="preserve"> </w:t>
      </w:r>
      <w:r>
        <w:rPr>
          <w:i/>
          <w:iCs/>
        </w:rPr>
        <w:t xml:space="preserve">observable, time-bound, and measurable. Every role maps to a BPMN swim</w:t>
      </w:r>
      <w:r>
        <w:rPr>
          <w:i/>
          <w:iCs/>
        </w:rPr>
        <w:t xml:space="preserve"> </w:t>
      </w:r>
      <w:r>
        <w:rPr>
          <w:i/>
          <w:iCs/>
        </w:rPr>
        <w:t xml:space="preserve">lane.</w:t>
      </w:r>
    </w:p>
    <w:bookmarkStart w:id="17" w:name="integrated-lifecycle-design-principles"/>
    <w:p>
      <w:pPr>
        <w:pStyle w:val="Heading3"/>
      </w:pPr>
      <w:r>
        <w:t xml:space="preserve">Integrated Lifecycle Design Principles</w:t>
      </w:r>
    </w:p>
    <w:p>
      <w:pPr>
        <w:pStyle w:val="FirstParagraph"/>
      </w:pPr>
      <w:r>
        <w:t xml:space="preserve">This framework is designed around three foundational principles:</w:t>
      </w:r>
    </w:p>
    <w:p>
      <w:pPr>
        <w:pStyle w:val="Compact"/>
        <w:numPr>
          <w:ilvl w:val="0"/>
          <w:numId w:val="1002"/>
        </w:numPr>
      </w:pPr>
      <w:r>
        <w:rPr>
          <w:b/>
          <w:bCs/>
        </w:rPr>
        <w:t xml:space="preserve">Deterministic knowledge capture</w:t>
      </w:r>
      <w:r>
        <w:t xml:space="preserve"> </w:t>
      </w:r>
      <w:r>
        <w:t xml:space="preserve">that front-loads information harvesting to compress downstream cycle times.</w:t>
      </w:r>
    </w:p>
    <w:p>
      <w:pPr>
        <w:pStyle w:val="Compact"/>
        <w:numPr>
          <w:ilvl w:val="0"/>
          <w:numId w:val="1002"/>
        </w:numPr>
      </w:pPr>
      <w:r>
        <w:rPr>
          <w:b/>
          <w:bCs/>
        </w:rPr>
        <w:t xml:space="preserve">Automation-first design</w:t>
      </w:r>
      <w:r>
        <w:t xml:space="preserve"> </w:t>
      </w:r>
      <w:r>
        <w:t xml:space="preserve">that identifies every opportunity for AI-driven acceleration across the lifecycle.</w:t>
      </w:r>
    </w:p>
    <w:p>
      <w:pPr>
        <w:pStyle w:val="Compact"/>
        <w:numPr>
          <w:ilvl w:val="0"/>
          <w:numId w:val="1002"/>
        </w:numPr>
      </w:pPr>
      <w:r>
        <w:rPr>
          <w:b/>
          <w:bCs/>
        </w:rPr>
        <w:t xml:space="preserve">Governance-by-design</w:t>
      </w:r>
      <w:r>
        <w:t xml:space="preserve"> </w:t>
      </w:r>
      <w:r>
        <w:t xml:space="preserve">that ensures no control gaps exist between TPRM, AI governance, legal, risk, compliance, security, and regulatory obligations.</w:t>
      </w:r>
    </w:p>
    <w:p>
      <w:pPr>
        <w:pStyle w:val="FirstParagraph"/>
      </w:pPr>
      <w:r>
        <w:t xml:space="preserve">By integrating best-practice cycle times at the task, activity, functional, and overall lifecycle levels, this framework establishes clear Service Level Agreements (SLAs) and provides the operational visibility needed to identify bottlenecks, eliminate rework, and drive continuous process improvement. The target end-to-end lifecycle for a standard-risk vendor onboarding is compressed from the industry average of 90–120 days to a best-practice target of 35–50 days through systematic application of the acceleration strategies detailed herein.</w:t>
      </w:r>
    </w:p>
    <w:p>
      <w:pPr>
        <w:pStyle w:val="BodyText"/>
      </w:pPr>
      <w:r>
        <w:rPr>
          <w:b/>
          <w:bCs/>
        </w:rPr>
        <w:t xml:space="preserve">Key Outcomes Delivered by This Framework:</w:t>
      </w:r>
    </w:p>
    <w:p>
      <w:pPr>
        <w:pStyle w:val="Compact"/>
        <w:numPr>
          <w:ilvl w:val="0"/>
          <w:numId w:val="1003"/>
        </w:numPr>
      </w:pPr>
      <w:r>
        <w:t xml:space="preserve">Complete BPMN lifecycle from idea inception to asset retirement with RACI accountability at every node</w:t>
      </w:r>
    </w:p>
    <w:p>
      <w:pPr>
        <w:pStyle w:val="Compact"/>
        <w:numPr>
          <w:ilvl w:val="0"/>
          <w:numId w:val="1003"/>
        </w:numPr>
      </w:pPr>
      <w:r>
        <w:t xml:space="preserve">Best-practice cycle times for all 8 phases, 42 activities, and 180+ sub-tasks</w:t>
      </w:r>
    </w:p>
    <w:p>
      <w:pPr>
        <w:pStyle w:val="Compact"/>
        <w:numPr>
          <w:ilvl w:val="0"/>
          <w:numId w:val="1003"/>
        </w:numPr>
      </w:pPr>
      <w:r>
        <w:t xml:space="preserve">Automation mapping showing Full, Partial, and Manual designations for every task</w:t>
      </w:r>
    </w:p>
    <w:p>
      <w:pPr>
        <w:pStyle w:val="Compact"/>
        <w:numPr>
          <w:ilvl w:val="0"/>
          <w:numId w:val="1003"/>
        </w:numPr>
      </w:pPr>
      <w:r>
        <w:t xml:space="preserve">Front-loaded knowledge capture model that eliminates 60%+ of downstream rework</w:t>
      </w:r>
    </w:p>
    <w:p>
      <w:pPr>
        <w:pStyle w:val="Compact"/>
        <w:numPr>
          <w:ilvl w:val="0"/>
          <w:numId w:val="1003"/>
        </w:numPr>
      </w:pPr>
      <w:r>
        <w:t xml:space="preserve">Integrated governance controls spanning TPRM, AI, Legal, Risk, Compliance, and Security</w:t>
      </w:r>
    </w:p>
    <w:p>
      <w:pPr>
        <w:pStyle w:val="Compact"/>
        <w:numPr>
          <w:ilvl w:val="0"/>
          <w:numId w:val="1003"/>
        </w:numPr>
      </w:pPr>
      <w:r>
        <w:t xml:space="preserve">Dependency and traceability matrix connecting inputs, outputs, owners, and SLA implications across all functions</w:t>
      </w:r>
    </w:p>
    <w:p>
      <w:pPr>
        <w:pStyle w:val="Compact"/>
        <w:numPr>
          <w:ilvl w:val="0"/>
          <w:numId w:val="1003"/>
        </w:numPr>
      </w:pPr>
      <w:r>
        <w:t xml:space="preserve">Measurable cycle-time reduction targets anchored to deterministic knowledge foundations</w:t>
      </w:r>
    </w:p>
    <w:bookmarkEnd w:id="17"/>
    <w:bookmarkEnd w:id="18"/>
    <w:bookmarkStart w:id="22" w:name="scope-and-applicability"/>
    <w:p>
      <w:pPr>
        <w:pStyle w:val="Heading2"/>
      </w:pPr>
      <w:r>
        <w:t xml:space="preserve">2. Scope and Applicability</w:t>
      </w:r>
    </w:p>
    <w:bookmarkStart w:id="19" w:name="institutional-applicability"/>
    <w:p>
      <w:pPr>
        <w:pStyle w:val="Heading3"/>
      </w:pPr>
      <w:r>
        <w:t xml:space="preserve">2.1 Institutional Applicability</w:t>
      </w:r>
    </w:p>
    <w:p>
      <w:pPr>
        <w:pStyle w:val="FirstParagraph"/>
      </w:pPr>
      <w:r>
        <w:t xml:space="preserve">This framework applies to any institution regulated under OCC, Federal</w:t>
      </w:r>
      <w:r>
        <w:t xml:space="preserve"> </w:t>
      </w:r>
      <w:r>
        <w:t xml:space="preserve">Reserve, FDIC, FINRA, or SEC jurisdiction, including commercial banks,</w:t>
      </w:r>
      <w:r>
        <w:t xml:space="preserve"> </w:t>
      </w:r>
      <w:r>
        <w:t xml:space="preserve">broker-dealers, investment advisers, insurance companies, trust</w:t>
      </w:r>
      <w:r>
        <w:t xml:space="preserve"> </w:t>
      </w:r>
      <w:r>
        <w:t xml:space="preserve">companies, credit unions, and financial technology companies subject to</w:t>
      </w:r>
      <w:r>
        <w:t xml:space="preserve"> </w:t>
      </w:r>
      <w:r>
        <w:t xml:space="preserve">equivalent standards. The framework is principle-based and scalable:</w:t>
      </w:r>
      <w:r>
        <w:t xml:space="preserve"> </w:t>
      </w:r>
      <w:r>
        <w:t xml:space="preserve">smaller institutions adopt the core workflow with lighter-weight</w:t>
      </w:r>
      <w:r>
        <w:t xml:space="preserve"> </w:t>
      </w:r>
      <w:r>
        <w:t xml:space="preserve">tooling; larger institutions implement the full architecture including</w:t>
      </w:r>
      <w:r>
        <w:t xml:space="preserve"> </w:t>
      </w:r>
      <w:r>
        <w:t xml:space="preserve">automated tooling integrations.</w:t>
      </w:r>
    </w:p>
    <w:bookmarkEnd w:id="19"/>
    <w:bookmarkStart w:id="20" w:name="process-scope"/>
    <w:p>
      <w:pPr>
        <w:pStyle w:val="Heading3"/>
      </w:pPr>
      <w:r>
        <w:t xml:space="preserve">2.2 Process Scope</w:t>
      </w:r>
    </w:p>
    <w:p>
      <w:pPr>
        <w:pStyle w:val="FirstParagraph"/>
      </w:pPr>
      <w:r>
        <w:t xml:space="preserve">This framework governs every instance in which the institution acquires,</w:t>
      </w:r>
      <w:r>
        <w:t xml:space="preserve"> </w:t>
      </w:r>
      <w:r>
        <w:t xml:space="preserve">builds, enables, or renews software—regardless of whether the solution</w:t>
      </w:r>
      <w:r>
        <w:t xml:space="preserve"> </w:t>
      </w:r>
      <w:r>
        <w:t xml:space="preserve">is commercially purchased, internally developed, open-source,</w:t>
      </w:r>
      <w:r>
        <w:t xml:space="preserve"> </w:t>
      </w:r>
      <w:r>
        <w:t xml:space="preserve">cloud-hosted, or AI-enabled. Specifically:</w:t>
      </w:r>
    </w:p>
    <w:p>
      <w:pPr>
        <w:numPr>
          <w:ilvl w:val="0"/>
          <w:numId w:val="1004"/>
        </w:numPr>
      </w:pPr>
      <w:r>
        <w:t xml:space="preserve">Net-new software acquisitions from commercial vendors (SaaS, PaaS,</w:t>
      </w:r>
      <w:r>
        <w:t xml:space="preserve"> </w:t>
      </w:r>
      <w:r>
        <w:t xml:space="preserve">licensed software).</w:t>
      </w:r>
    </w:p>
    <w:p>
      <w:pPr>
        <w:numPr>
          <w:ilvl w:val="0"/>
          <w:numId w:val="1004"/>
        </w:numPr>
      </w:pPr>
      <w:r>
        <w:t xml:space="preserve">Internal software development initiatives (new capabilities,</w:t>
      </w:r>
      <w:r>
        <w:t xml:space="preserve"> </w:t>
      </w:r>
      <w:r>
        <w:t xml:space="preserve">platforms, and significant enhancements).</w:t>
      </w:r>
    </w:p>
    <w:p>
      <w:pPr>
        <w:numPr>
          <w:ilvl w:val="0"/>
          <w:numId w:val="1004"/>
        </w:numPr>
      </w:pPr>
      <w:r>
        <w:t xml:space="preserve">AI and machine learning model acquisitions and deployments (subject to</w:t>
      </w:r>
      <w:r>
        <w:t xml:space="preserve"> </w:t>
      </w:r>
      <w:r>
        <w:t xml:space="preserve">SR 11-7 / NIST AI RMF).</w:t>
      </w:r>
    </w:p>
    <w:p>
      <w:pPr>
        <w:numPr>
          <w:ilvl w:val="0"/>
          <w:numId w:val="1004"/>
        </w:numPr>
      </w:pPr>
      <w:r>
        <w:t xml:space="preserve">Open-source software adoption in production environments.</w:t>
      </w:r>
    </w:p>
    <w:p>
      <w:pPr>
        <w:numPr>
          <w:ilvl w:val="0"/>
          <w:numId w:val="1004"/>
        </w:numPr>
      </w:pPr>
      <w:r>
        <w:t xml:space="preserve">Significant upgrades or contract renewals where the risk profile</w:t>
      </w:r>
      <w:r>
        <w:t xml:space="preserve"> </w:t>
      </w:r>
      <w:r>
        <w:t xml:space="preserve">materially changes.</w:t>
      </w:r>
    </w:p>
    <w:p>
      <w:pPr>
        <w:numPr>
          <w:ilvl w:val="0"/>
          <w:numId w:val="1004"/>
        </w:numPr>
      </w:pPr>
      <w:r>
        <w:t xml:space="preserve">Shadow IT identified through continuous Software Asset Management</w:t>
      </w:r>
      <w:r>
        <w:t xml:space="preserve"> </w:t>
      </w:r>
      <w:r>
        <w:t xml:space="preserve">scanning.</w:t>
      </w:r>
    </w:p>
    <w:bookmarkEnd w:id="20"/>
    <w:bookmarkStart w:id="21" w:name="exclusions"/>
    <w:p>
      <w:pPr>
        <w:pStyle w:val="Heading3"/>
      </w:pPr>
      <w:r>
        <w:t xml:space="preserve">2.3 Exclusions</w:t>
      </w:r>
    </w:p>
    <w:p>
      <w:pPr>
        <w:numPr>
          <w:ilvl w:val="0"/>
          <w:numId w:val="1005"/>
        </w:numPr>
      </w:pPr>
      <w:r>
        <w:t xml:space="preserve">Minor software updates and patches governed by the institution’s</w:t>
      </w:r>
      <w:r>
        <w:t xml:space="preserve"> </w:t>
      </w:r>
      <w:r>
        <w:t xml:space="preserve">Change Management process.</w:t>
      </w:r>
    </w:p>
    <w:p>
      <w:pPr>
        <w:numPr>
          <w:ilvl w:val="0"/>
          <w:numId w:val="1005"/>
        </w:numPr>
      </w:pPr>
      <w:r>
        <w:t xml:space="preserve">Emergency break-fix activities governed by Incident Management.</w:t>
      </w:r>
    </w:p>
    <w:p>
      <w:pPr>
        <w:numPr>
          <w:ilvl w:val="0"/>
          <w:numId w:val="1005"/>
        </w:numPr>
      </w:pPr>
      <w:r>
        <w:t xml:space="preserve">Hardware procurement (governed by IT Asset Management separately).</w:t>
      </w:r>
    </w:p>
    <w:bookmarkEnd w:id="21"/>
    <w:bookmarkEnd w:id="22"/>
    <w:bookmarkStart w:id="23" w:name="guiding-design-principles"/>
    <w:p>
      <w:pPr>
        <w:pStyle w:val="Heading2"/>
      </w:pPr>
      <w:r>
        <w:t xml:space="preserve">3. Guiding Design Principles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Principle</w:t>
            </w:r>
          </w:p>
        </w:tc>
        <w:tc>
          <w:tcPr/>
          <w:p>
            <w:pPr>
              <w:pStyle w:val="Compact"/>
            </w:pPr>
            <w:r>
              <w:t xml:space="preserve">Description</w:t>
            </w:r>
          </w:p>
        </w:tc>
        <w:tc>
          <w:tcPr/>
          <w:p>
            <w:pPr>
              <w:pStyle w:val="Compact"/>
            </w:pPr>
            <w:r>
              <w:t xml:space="preserve">Primary Benefit</w:t>
            </w:r>
          </w:p>
        </w:tc>
      </w:tr>
      <w:tr>
        <w:tc>
          <w:tcPr/>
          <w:p>
            <w:pPr>
              <w:pStyle w:val="Compact"/>
            </w:pPr>
            <w:r>
              <w:t xml:space="preserve">Compliance by Design</w:t>
            </w:r>
          </w:p>
        </w:tc>
        <w:tc>
          <w:tcPr/>
          <w:p>
            <w:pPr>
              <w:pStyle w:val="Compact"/>
            </w:pPr>
            <w:r>
              <w:t xml:space="preserve">Regulatory requirements (SR 11-7, OCC 2023-17, SEC, FINRA) are embedded in process steps, not added as post-hoc reviews. Every decision gate is traceable to a regulatory obligation.</w:t>
            </w:r>
          </w:p>
        </w:tc>
        <w:tc>
          <w:tcPr/>
          <w:p>
            <w:pPr>
              <w:pStyle w:val="Compact"/>
            </w:pPr>
            <w:r>
              <w:t xml:space="preserve">Reduces remediation cost; audit-ready at all times</w:t>
            </w:r>
          </w:p>
        </w:tc>
      </w:tr>
      <w:tr>
        <w:tc>
          <w:tcPr/>
          <w:p>
            <w:pPr>
              <w:pStyle w:val="Compact"/>
            </w:pPr>
            <w:r>
              <w:t xml:space="preserve">Deterministic-First Governance</w:t>
            </w:r>
          </w:p>
        </w:tc>
        <w:tc>
          <w:tcPr/>
          <w:p>
            <w:pPr>
              <w:pStyle w:val="Compact"/>
            </w:pPr>
            <w:r>
              <w:t xml:space="preserve">All material routing and approval decisions are encoded in explicit DMN rules. AI and agents augment but never silently determine outcomes. Every decision is logged with its rule ID or model version.</w:t>
            </w:r>
          </w:p>
        </w:tc>
        <w:tc>
          <w:tcPr/>
          <w:p>
            <w:pPr>
              <w:pStyle w:val="Compact"/>
            </w:pPr>
            <w:r>
              <w:t xml:space="preserve">Explainability; regulatory defensibility; reproducibility</w:t>
            </w:r>
          </w:p>
        </w:tc>
      </w:tr>
      <w:tr>
        <w:tc>
          <w:tcPr/>
          <w:p>
            <w:pPr>
              <w:pStyle w:val="Compact"/>
            </w:pPr>
            <w:r>
              <w:t xml:space="preserve">Capability Reuse Before Net-New Build</w:t>
            </w:r>
          </w:p>
        </w:tc>
        <w:tc>
          <w:tcPr/>
          <w:p>
            <w:pPr>
              <w:pStyle w:val="Compact"/>
            </w:pPr>
            <w:r>
              <w:t xml:space="preserve">A mandatory registry query and reuse assessment occurs before any downstream design or build activity. The decision rationale is logged and governed by DMN.</w:t>
            </w:r>
          </w:p>
        </w:tc>
        <w:tc>
          <w:tcPr/>
          <w:p>
            <w:pPr>
              <w:pStyle w:val="Compact"/>
            </w:pPr>
            <w:r>
              <w:t xml:space="preserve">Prevents redundancy; shortens cycle time; reduces downstream compliance effort</w:t>
            </w:r>
          </w:p>
        </w:tc>
      </w:tr>
      <w:tr>
        <w:tc>
          <w:tcPr/>
          <w:p>
            <w:pPr>
              <w:pStyle w:val="Compact"/>
            </w:pPr>
            <w:r>
              <w:t xml:space="preserve">Early Deterministic Compliance</w:t>
            </w:r>
          </w:p>
        </w:tc>
        <w:tc>
          <w:tcPr/>
          <w:p>
            <w:pPr>
              <w:pStyle w:val="Compact"/>
            </w:pPr>
            <w:r>
              <w:t xml:space="preserve">Compliance and risk evaluation occur at intake—not as a late-stage gate. All compliance inputs come from deterministic, auditable knowledge bases. No informal email-based validation loops.</w:t>
            </w:r>
          </w:p>
        </w:tc>
        <w:tc>
          <w:tcPr/>
          <w:p>
            <w:pPr>
              <w:pStyle w:val="Compact"/>
            </w:pPr>
            <w:r>
              <w:t xml:space="preserve">Shifts compliance left; identifies risk earlier; eliminates shadow work</w:t>
            </w:r>
          </w:p>
        </w:tc>
      </w:tr>
      <w:tr>
        <w:tc>
          <w:tcPr/>
          <w:p>
            <w:pPr>
              <w:pStyle w:val="Compact"/>
            </w:pPr>
            <w:r>
              <w:t xml:space="preserve">Proportionality</w:t>
            </w:r>
          </w:p>
        </w:tc>
        <w:tc>
          <w:tcPr/>
          <w:p>
            <w:pPr>
              <w:pStyle w:val="Compact"/>
            </w:pPr>
            <w:r>
              <w:t xml:space="preserve">Governance depth is calibrated to actual risk. A low-risk internal tool fast-tracks in days. A Tier 1 AI vendor for a credit decision triggers the full lifecycle.</w:t>
            </w:r>
          </w:p>
        </w:tc>
        <w:tc>
          <w:tcPr/>
          <w:p>
            <w:pPr>
              <w:pStyle w:val="Compact"/>
            </w:pPr>
            <w:r>
              <w:t xml:space="preserve">Avoids governance theatre; preserves velocity for low-risk work</w:t>
            </w:r>
          </w:p>
        </w:tc>
      </w:tr>
      <w:tr>
        <w:tc>
          <w:tcPr/>
          <w:p>
            <w:pPr>
              <w:pStyle w:val="Compact"/>
            </w:pPr>
            <w:r>
              <w:t xml:space="preserve">Continuous Intelligence Over Reactive Checking</w:t>
            </w:r>
          </w:p>
        </w:tc>
        <w:tc>
          <w:tcPr/>
          <w:p>
            <w:pPr>
              <w:pStyle w:val="Compact"/>
            </w:pPr>
            <w:r>
              <w:t xml:space="preserve">A live Software Asset Registry is maintained continuously. Duplication and reuse opportunities are surfaced automatically before a request is submitted, not discovered midway through procurement.</w:t>
            </w:r>
          </w:p>
        </w:tc>
        <w:tc>
          <w:tcPr/>
          <w:p>
            <w:pPr>
              <w:pStyle w:val="Compact"/>
            </w:pPr>
            <w:r>
              <w:t xml:space="preserve">Eliminates waste; reduces cycle time; prevents shadow IT</w:t>
            </w:r>
          </w:p>
        </w:tc>
      </w:tr>
      <w:tr>
        <w:tc>
          <w:tcPr/>
          <w:p>
            <w:pPr>
              <w:pStyle w:val="Compact"/>
            </w:pPr>
            <w:r>
              <w:t xml:space="preserve">Controlled Agent Usage</w:t>
            </w:r>
          </w:p>
        </w:tc>
        <w:tc>
          <w:tcPr/>
          <w:p>
            <w:pPr>
              <w:pStyle w:val="Compact"/>
            </w:pPr>
            <w:r>
              <w:t xml:space="preserve">Agents are permitted only when outputs are deterministic and reproducible, they use deterministic knowledge bases, decision provenance is logged, and they follow DMN rules.</w:t>
            </w:r>
          </w:p>
        </w:tc>
        <w:tc>
          <w:tcPr/>
          <w:p>
            <w:pPr>
              <w:pStyle w:val="Compact"/>
            </w:pPr>
            <w:r>
              <w:t xml:space="preserve">Trust; auditability; reproducibility</w:t>
            </w:r>
          </w:p>
        </w:tc>
      </w:tr>
      <w:tr>
        <w:tc>
          <w:tcPr/>
          <w:p>
            <w:pPr>
              <w:pStyle w:val="Compact"/>
            </w:pPr>
            <w:r>
              <w:t xml:space="preserve">Deterministic Knowledge Integration</w:t>
            </w:r>
          </w:p>
        </w:tc>
        <w:tc>
          <w:tcPr/>
          <w:p>
            <w:pPr>
              <w:pStyle w:val="Compact"/>
            </w:pPr>
            <w:r>
              <w:t xml:space="preserve">Where knowledge is generated, it is staged into deterministic knowledge bases. Manual follow-ups (email, ad hoc coordination) are replaced with structured retrieval and rule execution.</w:t>
            </w:r>
          </w:p>
        </w:tc>
        <w:tc>
          <w:tcPr/>
          <w:p>
            <w:pPr>
              <w:pStyle w:val="Compact"/>
            </w:pPr>
            <w:r>
              <w:t xml:space="preserve">Reduces person-to-person dependency; increases reuse; eliminates shadow work</w:t>
            </w:r>
          </w:p>
        </w:tc>
      </w:tr>
      <w:tr>
        <w:tc>
          <w:tcPr/>
          <w:p>
            <w:pPr>
              <w:pStyle w:val="Compact"/>
            </w:pPr>
            <w:r>
              <w:t xml:space="preserve">Automation of Commodity Work</w:t>
            </w:r>
          </w:p>
        </w:tc>
        <w:tc>
          <w:tcPr/>
          <w:p>
            <w:pPr>
              <w:pStyle w:val="Compact"/>
            </w:pPr>
            <w:r>
              <w:t xml:space="preserve">Intake completeness enforcement, PRD generation, story creation, Git branching, TPRM monitoring triggers, and routine governance notifications are automated. Human judgment is reserved for complex, novel, or high-stakes decisions.</w:t>
            </w:r>
          </w:p>
        </w:tc>
        <w:tc>
          <w:tcPr/>
          <w:p>
            <w:pPr>
              <w:pStyle w:val="Compact"/>
            </w:pPr>
            <w:r>
              <w:t xml:space="preserve">Throughput; consistency; reduced manual error</w:t>
            </w:r>
          </w:p>
        </w:tc>
      </w:tr>
      <w:tr>
        <w:tc>
          <w:tcPr/>
          <w:p>
            <w:pPr>
              <w:pStyle w:val="Compact"/>
            </w:pPr>
            <w:r>
              <w:t xml:space="preserve">Single Source of Truth</w:t>
            </w:r>
          </w:p>
        </w:tc>
        <w:tc>
          <w:tcPr/>
          <w:p>
            <w:pPr>
              <w:pStyle w:val="Compact"/>
            </w:pPr>
            <w:r>
              <w:t xml:space="preserve">All request records, risk assessments, vendor files, contract documents, AI model inventory entries, and decision audit logs are maintained in connected, integrated systems—not fragmented across email and spreadsheets.</w:t>
            </w:r>
          </w:p>
        </w:tc>
        <w:tc>
          <w:tcPr/>
          <w:p>
            <w:pPr>
              <w:pStyle w:val="Compact"/>
            </w:pPr>
            <w:r>
              <w:t xml:space="preserve">Audit readiness; process transparency; data integrity</w:t>
            </w:r>
          </w:p>
        </w:tc>
      </w:tr>
      <w:tr>
        <w:tc>
          <w:tcPr/>
          <w:p>
            <w:pPr>
              <w:pStyle w:val="Compact"/>
            </w:pPr>
            <w:r>
              <w:t xml:space="preserve">Observability and SLA Management</w:t>
            </w:r>
          </w:p>
        </w:tc>
        <w:tc>
          <w:tcPr/>
          <w:p>
            <w:pPr>
              <w:pStyle w:val="Compact"/>
            </w:pPr>
            <w:r>
              <w:t xml:space="preserve">The BPMN model includes SLAs for major task categories, queue and backlog visibility, time-based escalation, and bottleneck detection. Every task is observable, time-bound, and measurable.</w:t>
            </w:r>
          </w:p>
        </w:tc>
        <w:tc>
          <w:tcPr/>
          <w:p>
            <w:pPr>
              <w:pStyle w:val="Compact"/>
            </w:pPr>
            <w:r>
              <w:t xml:space="preserve">Continuous process improvement; targeted automation</w:t>
            </w:r>
          </w:p>
        </w:tc>
      </w:tr>
      <w:tr>
        <w:tc>
          <w:tcPr/>
          <w:p>
            <w:pPr>
              <w:pStyle w:val="Compact"/>
            </w:pPr>
            <w:r>
              <w:t xml:space="preserve">Phased Automation</w:t>
            </w:r>
          </w:p>
        </w:tc>
        <w:tc>
          <w:tcPr/>
          <w:p>
            <w:pPr>
              <w:pStyle w:val="Compact"/>
            </w:pPr>
            <w:r>
              <w:t xml:space="preserve">Not everything is automated immediately. The system identifies recurring friction, gradually automates deterministic steps, and reduces manual overhead over time. Automation is evidence-driven.</w:t>
            </w:r>
          </w:p>
        </w:tc>
        <w:tc>
          <w:tcPr/>
          <w:p>
            <w:pPr>
              <w:pStyle w:val="Compact"/>
            </w:pPr>
            <w:r>
              <w:t xml:space="preserve">Sustainable adoption; risk-managed transformation</w:t>
            </w:r>
          </w:p>
        </w:tc>
      </w:tr>
    </w:tbl>
    <w:p>
      <w:r>
        <w:pict>
          <v:rect style="width:0;height:1.5pt" o:hralign="center" o:hrstd="t" o:hr="t"/>
        </w:pict>
      </w:r>
    </w:p>
    <w:bookmarkEnd w:id="23"/>
    <w:bookmarkEnd w:id="24"/>
    <w:bookmarkStart w:id="32" w:name="part-ii-governance-structure"/>
    <w:p>
      <w:pPr>
        <w:pStyle w:val="Heading1"/>
      </w:pPr>
      <w:r>
        <w:t xml:space="preserve">Part II: Governance Structure</w:t>
      </w:r>
    </w:p>
    <w:bookmarkStart w:id="26" w:name="roles-and-responsibilities"/>
    <w:p>
      <w:pPr>
        <w:pStyle w:val="Heading2"/>
      </w:pPr>
      <w:r>
        <w:t xml:space="preserve">4. Roles and Responsibilities</w:t>
      </w:r>
    </w:p>
    <w:p>
      <w:pPr>
        <w:pStyle w:val="BlockText"/>
      </w:pPr>
      <w:r>
        <w:rPr>
          <w:i/>
          <w:iCs/>
        </w:rPr>
        <w:t xml:space="preserve">Role-Based Design: All responsibilities are defined by functional</w:t>
      </w:r>
      <w:r>
        <w:rPr>
          <w:i/>
          <w:iCs/>
        </w:rPr>
        <w:t xml:space="preserve"> </w:t>
      </w:r>
      <w:r>
        <w:rPr>
          <w:i/>
          <w:iCs/>
        </w:rPr>
        <w:t xml:space="preserve">role, not job title. Roles align directly to BPMN swim lanes. Each</w:t>
      </w:r>
      <w:r>
        <w:rPr>
          <w:i/>
          <w:iCs/>
        </w:rPr>
        <w:t xml:space="preserve"> </w:t>
      </w:r>
      <w:r>
        <w:rPr>
          <w:i/>
          <w:iCs/>
        </w:rPr>
        <w:t xml:space="preserve">task in the workflow is explicitly categorized as Automated (A),</w:t>
      </w:r>
      <w:r>
        <w:rPr>
          <w:i/>
          <w:iCs/>
        </w:rPr>
        <w:t xml:space="preserve"> </w:t>
      </w:r>
      <w:r>
        <w:rPr>
          <w:i/>
          <w:iCs/>
        </w:rPr>
        <w:t xml:space="preserve">Deterministic Agent-Enabled (DA), or Human-in-the-Loop (H).</w:t>
      </w:r>
      <w:r>
        <w:rPr>
          <w:i/>
          <w:iCs/>
        </w:rPr>
        <w:t xml:space="preserve"> </w:t>
      </w:r>
      <w:r>
        <w:rPr>
          <w:i/>
          <w:iCs/>
        </w:rPr>
        <w:t xml:space="preserve">Individuals may hold multiple roles; conversely, roles may be</w:t>
      </w:r>
      <w:r>
        <w:rPr>
          <w:i/>
          <w:iCs/>
        </w:rPr>
        <w:t xml:space="preserve"> </w:t>
      </w:r>
      <w:r>
        <w:rPr>
          <w:i/>
          <w:iCs/>
        </w:rPr>
        <w:t xml:space="preserve">fulfilled by committees or working groups. Authorization levels are</w:t>
      </w:r>
      <w:r>
        <w:rPr>
          <w:i/>
          <w:iCs/>
        </w:rPr>
        <w:t xml:space="preserve"> </w:t>
      </w:r>
      <w:r>
        <w:rPr>
          <w:i/>
          <w:iCs/>
        </w:rPr>
        <w:t xml:space="preserve">defined in alignment with OCC guidance on critical activity</w:t>
      </w:r>
      <w:r>
        <w:rPr>
          <w:i/>
          <w:iCs/>
        </w:rPr>
        <w:t xml:space="preserve"> </w:t>
      </w:r>
      <w:r>
        <w:rPr>
          <w:i/>
          <w:iCs/>
        </w:rPr>
        <w:t xml:space="preserve">oversight.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Core Responsibilities</w:t>
            </w:r>
          </w:p>
        </w:tc>
        <w:tc>
          <w:tcPr/>
          <w:p>
            <w:pPr>
              <w:pStyle w:val="Compact"/>
            </w:pPr>
            <w:r>
              <w:t xml:space="preserve">Decision Authority</w:t>
            </w:r>
          </w:p>
        </w:tc>
        <w:tc>
          <w:tcPr/>
          <w:p>
            <w:pPr>
              <w:pStyle w:val="Compact"/>
            </w:pPr>
            <w:r>
              <w:t xml:space="preserve">Task Type</w:t>
            </w:r>
          </w:p>
        </w:tc>
        <w:tc>
          <w:tcPr/>
          <w:p>
            <w:pPr>
              <w:pStyle w:val="Compact"/>
            </w:pPr>
            <w:r>
              <w:t xml:space="preserve">BPMN Lane</w:t>
            </w:r>
          </w:p>
        </w:tc>
      </w:tr>
      <w:tr>
        <w:tc>
          <w:tcPr/>
          <w:p>
            <w:pPr>
              <w:pStyle w:val="Compact"/>
            </w:pPr>
            <w:r>
              <w:t xml:space="preserve">Business Requestor</w:t>
            </w:r>
          </w:p>
        </w:tc>
        <w:tc>
          <w:tcPr/>
          <w:p>
            <w:pPr>
              <w:pStyle w:val="Compact"/>
            </w:pPr>
            <w:r>
              <w:t xml:space="preserve">Identifies capability gap; completes conversational intake; provides business context, value quantification, and stakeholder confirmation; monitors request status via portal</w:t>
            </w:r>
          </w:p>
        </w:tc>
        <w:tc>
          <w:tcPr/>
          <w:p>
            <w:pPr>
              <w:pStyle w:val="Compact"/>
            </w:pPr>
            <w:r>
              <w:t xml:space="preserve">Submits requests; no approval authority</w:t>
            </w:r>
          </w:p>
        </w:tc>
        <w:tc>
          <w:tcPr/>
          <w:p>
            <w:pPr>
              <w:pStyle w:val="Compact"/>
            </w:pPr>
            <w:r>
              <w:t xml:space="preserve">H</w:t>
            </w:r>
          </w:p>
        </w:tc>
        <w:tc>
          <w:tcPr/>
          <w:p>
            <w:pPr>
              <w:pStyle w:val="Compact"/>
            </w:pPr>
            <w:r>
              <w:t xml:space="preserve">Requestor</w:t>
            </w:r>
          </w:p>
        </w:tc>
      </w:tr>
      <w:tr>
        <w:tc>
          <w:tcPr/>
          <w:p>
            <w:pPr>
              <w:pStyle w:val="Compact"/>
            </w:pPr>
            <w:r>
              <w:t xml:space="preserve">Product Owner</w:t>
            </w:r>
          </w:p>
        </w:tc>
        <w:tc>
          <w:tcPr/>
          <w:p>
            <w:pPr>
              <w:pStyle w:val="Compact"/>
            </w:pPr>
            <w:r>
              <w:t xml:space="preserve">Quarterbacks each request from intake through delivery; validates PRD completeness; coordinates SME reviews; manages backlog; owns Go-to-Market readiness</w:t>
            </w:r>
          </w:p>
        </w:tc>
        <w:tc>
          <w:tcPr/>
          <w:p>
            <w:pPr>
              <w:pStyle w:val="Compact"/>
            </w:pPr>
            <w:r>
              <w:t xml:space="preserve">Information gating; backlog entry approval</w:t>
            </w:r>
          </w:p>
        </w:tc>
        <w:tc>
          <w:tcPr/>
          <w:p>
            <w:pPr>
              <w:pStyle w:val="Compact"/>
            </w:pPr>
            <w:r>
              <w:t xml:space="preserve">H</w:t>
            </w:r>
          </w:p>
        </w:tc>
        <w:tc>
          <w:tcPr/>
          <w:p>
            <w:pPr>
              <w:pStyle w:val="Compact"/>
            </w:pPr>
            <w:r>
              <w:t xml:space="preserve">Product Mgmt</w:t>
            </w:r>
          </w:p>
        </w:tc>
      </w:tr>
      <w:tr>
        <w:tc>
          <w:tcPr/>
          <w:p>
            <w:pPr>
              <w:pStyle w:val="Compact"/>
            </w:pPr>
            <w:r>
              <w:t xml:space="preserve">Portfolio Governance Council</w:t>
            </w:r>
          </w:p>
        </w:tc>
        <w:tc>
          <w:tcPr/>
          <w:p>
            <w:pPr>
              <w:pStyle w:val="Compact"/>
            </w:pPr>
            <w:r>
              <w:t xml:space="preserve">Cross-functional governance body (Technology, Product, Procurement, Risk, Finance, Compliance representatives); makes Go/No-Go, Buy vs. Build, and portfolio sequencing decisions</w:t>
            </w:r>
          </w:p>
        </w:tc>
        <w:tc>
          <w:tcPr/>
          <w:p>
            <w:pPr>
              <w:pStyle w:val="Compact"/>
            </w:pPr>
            <w:r>
              <w:t xml:space="preserve">Go/No-Go; Buy/Build; budget release authority</w:t>
            </w:r>
          </w:p>
        </w:tc>
        <w:tc>
          <w:tcPr/>
          <w:p>
            <w:pPr>
              <w:pStyle w:val="Compact"/>
            </w:pPr>
            <w:r>
              <w:t xml:space="preserve">H</w:t>
            </w:r>
          </w:p>
        </w:tc>
        <w:tc>
          <w:tcPr/>
          <w:p>
            <w:pPr>
              <w:pStyle w:val="Compact"/>
            </w:pPr>
            <w:r>
              <w:t xml:space="preserve">Governance</w:t>
            </w:r>
          </w:p>
        </w:tc>
      </w:tr>
      <w:tr>
        <w:tc>
          <w:tcPr/>
          <w:p>
            <w:pPr>
              <w:pStyle w:val="Compact"/>
            </w:pPr>
            <w:r>
              <w:t xml:space="preserve">Enterprise Architect</w:t>
            </w:r>
          </w:p>
        </w:tc>
        <w:tc>
          <w:tcPr/>
          <w:p>
            <w:pPr>
              <w:pStyle w:val="Compact"/>
            </w:pPr>
            <w:r>
              <w:t xml:space="preserve">Evaluates technical fit, integration dependencies, platform alignment, HLDD quality, and architecture standards adherence; approves PoC scope; signs off on build integration</w:t>
            </w:r>
          </w:p>
        </w:tc>
        <w:tc>
          <w:tcPr/>
          <w:p>
            <w:pPr>
              <w:pStyle w:val="Compact"/>
            </w:pPr>
            <w:r>
              <w:t xml:space="preserve">Technical acceptance; PoC gate sign-off</w:t>
            </w:r>
          </w:p>
        </w:tc>
        <w:tc>
          <w:tcPr/>
          <w:p>
            <w:pPr>
              <w:pStyle w:val="Compact"/>
            </w:pPr>
            <w:r>
              <w:t xml:space="preserve">H</w:t>
            </w:r>
          </w:p>
        </w:tc>
        <w:tc>
          <w:tcPr/>
          <w:p>
            <w:pPr>
              <w:pStyle w:val="Compact"/>
            </w:pPr>
            <w:r>
              <w:t xml:space="preserve">Technology</w:t>
            </w:r>
          </w:p>
        </w:tc>
      </w:tr>
      <w:tr>
        <w:tc>
          <w:tcPr/>
          <w:p>
            <w:pPr>
              <w:pStyle w:val="Compact"/>
            </w:pPr>
            <w:r>
              <w:t xml:space="preserve">Cybersecurity Lead</w:t>
            </w:r>
          </w:p>
        </w:tc>
        <w:tc>
          <w:tcPr/>
          <w:p>
            <w:pPr>
              <w:pStyle w:val="Compact"/>
            </w:pPr>
            <w:r>
              <w:t xml:space="preserve">Evaluates security posture, data classification, access model, encryption, pen test results, and incident history; reviews vendor SBOMs; approves security-related RAE elements</w:t>
            </w:r>
          </w:p>
        </w:tc>
        <w:tc>
          <w:tcPr/>
          <w:p>
            <w:pPr>
              <w:pStyle w:val="Compact"/>
            </w:pPr>
            <w:r>
              <w:t xml:space="preserve">Security clearance; RAE security sign-off</w:t>
            </w:r>
          </w:p>
        </w:tc>
        <w:tc>
          <w:tcPr/>
          <w:p>
            <w:pPr>
              <w:pStyle w:val="Compact"/>
            </w:pPr>
            <w:r>
              <w:t xml:space="preserve">H</w:t>
            </w:r>
          </w:p>
        </w:tc>
        <w:tc>
          <w:tcPr/>
          <w:p>
            <w:pPr>
              <w:pStyle w:val="Compact"/>
            </w:pPr>
            <w:r>
              <w:t xml:space="preserve">Technology</w:t>
            </w:r>
          </w:p>
        </w:tc>
      </w:tr>
      <w:tr>
        <w:tc>
          <w:tcPr/>
          <w:p>
            <w:pPr>
              <w:pStyle w:val="Compact"/>
            </w:pPr>
            <w:r>
              <w:t xml:space="preserve">AI / Model Risk Governance</w:t>
            </w:r>
          </w:p>
        </w:tc>
        <w:tc>
          <w:tcPr/>
          <w:p>
            <w:pPr>
              <w:pStyle w:val="Compact"/>
            </w:pPr>
            <w:r>
              <w:t xml:space="preserve">Classifies AI risk at intake (SR 11-7 tiers); maintains Model Risk Inventory; validates AI models per SR 11-7; approves AI Governance checklist; defines observability and drift monitoring requirements; escalates high-risk systems to senior executive sponsor</w:t>
            </w:r>
          </w:p>
        </w:tc>
        <w:tc>
          <w:tcPr/>
          <w:p>
            <w:pPr>
              <w:pStyle w:val="Compact"/>
            </w:pPr>
            <w:r>
              <w:t xml:space="preserve">Model inventory entry; AI use approval; escalation to executive sponsor</w:t>
            </w:r>
          </w:p>
        </w:tc>
        <w:tc>
          <w:tcPr/>
          <w:p>
            <w:pPr>
              <w:pStyle w:val="Compact"/>
            </w:pPr>
            <w:r>
              <w:t xml:space="preserve">H / DA</w:t>
            </w:r>
          </w:p>
        </w:tc>
        <w:tc>
          <w:tcPr/>
          <w:p>
            <w:pPr>
              <w:pStyle w:val="Compact"/>
            </w:pPr>
            <w:r>
              <w:t xml:space="preserve">Risk</w:t>
            </w:r>
          </w:p>
        </w:tc>
      </w:tr>
      <w:tr>
        <w:tc>
          <w:tcPr/>
          <w:p>
            <w:pPr>
              <w:pStyle w:val="Compact"/>
            </w:pPr>
            <w:r>
              <w:t xml:space="preserve">Legal Counsel</w:t>
            </w:r>
          </w:p>
        </w:tc>
        <w:tc>
          <w:tcPr/>
          <w:p>
            <w:pPr>
              <w:pStyle w:val="Compact"/>
            </w:pPr>
            <w:r>
              <w:t xml:space="preserve">Reviews and approves MSA, DPAs, IP clauses, liability caps, and regulatory compliance provisions; accesses Legal Knowledge Graph for clause selection; approves final contracts</w:t>
            </w:r>
          </w:p>
        </w:tc>
        <w:tc>
          <w:tcPr/>
          <w:p>
            <w:pPr>
              <w:pStyle w:val="Compact"/>
            </w:pPr>
            <w:r>
              <w:t xml:space="preserve">Contract approval; legal sign-off</w:t>
            </w:r>
          </w:p>
        </w:tc>
        <w:tc>
          <w:tcPr/>
          <w:p>
            <w:pPr>
              <w:pStyle w:val="Compact"/>
            </w:pPr>
            <w:r>
              <w:t xml:space="preserve">H</w:t>
            </w:r>
          </w:p>
        </w:tc>
        <w:tc>
          <w:tcPr/>
          <w:p>
            <w:pPr>
              <w:pStyle w:val="Compact"/>
            </w:pPr>
            <w:r>
              <w:t xml:space="preserve">Legal</w:t>
            </w:r>
          </w:p>
        </w:tc>
      </w:tr>
      <w:tr>
        <w:tc>
          <w:tcPr/>
          <w:p>
            <w:pPr>
              <w:pStyle w:val="Compact"/>
            </w:pPr>
            <w:r>
              <w:t xml:space="preserve">Procurement Lead</w:t>
            </w:r>
          </w:p>
        </w:tc>
        <w:tc>
          <w:tcPr/>
          <w:p>
            <w:pPr>
              <w:pStyle w:val="Compact"/>
            </w:pPr>
            <w:r>
              <w:t xml:space="preserve">Owns vendor sourcing strategy; constructs and issues RFP; manages sourcing event and vendor evaluation; negotiates commercial terms; coordinates full TPRM lifecycle</w:t>
            </w:r>
          </w:p>
        </w:tc>
        <w:tc>
          <w:tcPr/>
          <w:p>
            <w:pPr>
              <w:pStyle w:val="Compact"/>
            </w:pPr>
            <w:r>
              <w:t xml:space="preserve">RFP release; vendor selection recommendation</w:t>
            </w:r>
          </w:p>
        </w:tc>
        <w:tc>
          <w:tcPr/>
          <w:p>
            <w:pPr>
              <w:pStyle w:val="Compact"/>
            </w:pPr>
            <w:r>
              <w:t xml:space="preserve">H</w:t>
            </w:r>
          </w:p>
        </w:tc>
        <w:tc>
          <w:tcPr/>
          <w:p>
            <w:pPr>
              <w:pStyle w:val="Compact"/>
            </w:pPr>
            <w:r>
              <w:t xml:space="preserve">Procurement</w:t>
            </w:r>
          </w:p>
        </w:tc>
      </w:tr>
      <w:tr>
        <w:tc>
          <w:tcPr/>
          <w:p>
            <w:pPr>
              <w:pStyle w:val="Compact"/>
            </w:pPr>
            <w:r>
              <w:t xml:space="preserve">Third-Party Risk Manager</w:t>
            </w:r>
          </w:p>
        </w:tc>
        <w:tc>
          <w:tcPr/>
          <w:p>
            <w:pPr>
              <w:pStyle w:val="Compact"/>
            </w:pPr>
            <w:r>
              <w:t xml:space="preserve">Conducts vendor risk tiering; maintains Vendor Register; coordinates due diligence program; executes Risk Assessment Evaluation; manages ongoing monitoring and incident escalations</w:t>
            </w:r>
          </w:p>
        </w:tc>
        <w:tc>
          <w:tcPr/>
          <w:p>
            <w:pPr>
              <w:pStyle w:val="Compact"/>
            </w:pPr>
            <w:r>
              <w:t xml:space="preserve">Vendor risk tier assignment; RAE approval</w:t>
            </w:r>
          </w:p>
        </w:tc>
        <w:tc>
          <w:tcPr/>
          <w:p>
            <w:pPr>
              <w:pStyle w:val="Compact"/>
            </w:pPr>
            <w:r>
              <w:t xml:space="preserve">H / DA</w:t>
            </w:r>
          </w:p>
        </w:tc>
        <w:tc>
          <w:tcPr/>
          <w:p>
            <w:pPr>
              <w:pStyle w:val="Compact"/>
            </w:pPr>
            <w:r>
              <w:t xml:space="preserve">Risk</w:t>
            </w:r>
          </w:p>
        </w:tc>
      </w:tr>
      <w:tr>
        <w:tc>
          <w:tcPr/>
          <w:p>
            <w:pPr>
              <w:pStyle w:val="Compact"/>
            </w:pPr>
            <w:r>
              <w:t xml:space="preserve">Compliance Governance</w:t>
            </w:r>
          </w:p>
        </w:tc>
        <w:tc>
          <w:tcPr/>
          <w:p>
            <w:pPr>
              <w:pStyle w:val="Compact"/>
            </w:pPr>
            <w:r>
              <w:t xml:space="preserve">Validates applicable regulatory requirements at each stage; reviews AI governance for compliance-relevant uses; advises on FINRA, SEC, OCC, and CFPB obligations</w:t>
            </w:r>
          </w:p>
        </w:tc>
        <w:tc>
          <w:tcPr/>
          <w:p>
            <w:pPr>
              <w:pStyle w:val="Compact"/>
            </w:pPr>
            <w:r>
              <w:t xml:space="preserve">Compliance clearance</w:t>
            </w:r>
          </w:p>
        </w:tc>
        <w:tc>
          <w:tcPr/>
          <w:p>
            <w:pPr>
              <w:pStyle w:val="Compact"/>
            </w:pPr>
            <w:r>
              <w:t xml:space="preserve">H</w:t>
            </w:r>
          </w:p>
        </w:tc>
        <w:tc>
          <w:tcPr/>
          <w:p>
            <w:pPr>
              <w:pStyle w:val="Compact"/>
            </w:pPr>
            <w:r>
              <w:t xml:space="preserve">Risk</w:t>
            </w:r>
          </w:p>
        </w:tc>
      </w:tr>
      <w:tr>
        <w:tc>
          <w:tcPr/>
          <w:p>
            <w:pPr>
              <w:pStyle w:val="Compact"/>
            </w:pPr>
            <w:r>
              <w:t xml:space="preserve">Finance Controller</w:t>
            </w:r>
          </w:p>
        </w:tc>
        <w:tc>
          <w:tcPr/>
          <w:p>
            <w:pPr>
              <w:pStyle w:val="Compact"/>
            </w:pPr>
            <w:r>
              <w:t xml:space="preserve">Confirms budget availability; validates Total Cost of Ownership model; integrates contract financials into FP&amp;A; approves funding confirmation for final contracting</w:t>
            </w:r>
          </w:p>
        </w:tc>
        <w:tc>
          <w:tcPr/>
          <w:p>
            <w:pPr>
              <w:pStyle w:val="Compact"/>
            </w:pPr>
            <w:r>
              <w:t xml:space="preserve">Funding confirmation</w:t>
            </w:r>
          </w:p>
        </w:tc>
        <w:tc>
          <w:tcPr/>
          <w:p>
            <w:pPr>
              <w:pStyle w:val="Compact"/>
            </w:pPr>
            <w:r>
              <w:t xml:space="preserve">H</w:t>
            </w:r>
          </w:p>
        </w:tc>
        <w:tc>
          <w:tcPr/>
          <w:p>
            <w:pPr>
              <w:pStyle w:val="Compact"/>
            </w:pPr>
            <w:r>
              <w:t xml:space="preserve">Finance</w:t>
            </w:r>
          </w:p>
        </w:tc>
      </w:tr>
      <w:tr>
        <w:tc>
          <w:tcPr/>
          <w:p>
            <w:pPr>
              <w:pStyle w:val="Compact"/>
            </w:pPr>
            <w:r>
              <w:t xml:space="preserve">Program Management</w:t>
            </w:r>
          </w:p>
        </w:tc>
        <w:tc>
          <w:tcPr/>
          <w:p>
            <w:pPr>
              <w:pStyle w:val="Compact"/>
            </w:pPr>
            <w:r>
              <w:t xml:space="preserve">Coordinates resource availability and capacity planning; integrates build into technology roadmap; manages sprint scheduling; connects Jira/ADO backlog to Git repository; tracks SLA adherence</w:t>
            </w:r>
          </w:p>
        </w:tc>
        <w:tc>
          <w:tcPr/>
          <w:p>
            <w:pPr>
              <w:pStyle w:val="Compact"/>
            </w:pPr>
            <w:r>
              <w:t xml:space="preserve">Resource allocation; sprint scheduling</w:t>
            </w:r>
          </w:p>
        </w:tc>
        <w:tc>
          <w:tcPr/>
          <w:p>
            <w:pPr>
              <w:pStyle w:val="Compact"/>
            </w:pPr>
            <w:r>
              <w:t xml:space="preserve">H / A</w:t>
            </w:r>
          </w:p>
        </w:tc>
        <w:tc>
          <w:tcPr/>
          <w:p>
            <w:pPr>
              <w:pStyle w:val="Compact"/>
            </w:pPr>
            <w:r>
              <w:t xml:space="preserve">Technology</w:t>
            </w:r>
          </w:p>
        </w:tc>
      </w:tr>
      <w:tr>
        <w:tc>
          <w:tcPr/>
          <w:p>
            <w:pPr>
              <w:pStyle w:val="Compact"/>
            </w:pPr>
            <w:r>
              <w:t xml:space="preserve">Software Asset Manager</w:t>
            </w:r>
          </w:p>
        </w:tc>
        <w:tc>
          <w:tcPr/>
          <w:p>
            <w:pPr>
              <w:pStyle w:val="Compact"/>
            </w:pPr>
            <w:r>
              <w:t xml:space="preserve">Maintains continuous Software Registry; coordinates CMDB, SAM tool, Git, and SaaS spend data ingestion; manages license inventory; provides registry query interface; detects shadow IT</w:t>
            </w:r>
          </w:p>
        </w:tc>
        <w:tc>
          <w:tcPr/>
          <w:p>
            <w:pPr>
              <w:pStyle w:val="Compact"/>
            </w:pPr>
            <w:r>
              <w:t xml:space="preserve">Software registry ownership; reuse certification</w:t>
            </w:r>
          </w:p>
        </w:tc>
        <w:tc>
          <w:tcPr/>
          <w:p>
            <w:pPr>
              <w:pStyle w:val="Compact"/>
            </w:pPr>
            <w:r>
              <w:t xml:space="preserve">A / DA</w:t>
            </w:r>
          </w:p>
        </w:tc>
        <w:tc>
          <w:tcPr/>
          <w:p>
            <w:pPr>
              <w:pStyle w:val="Compact"/>
            </w:pPr>
            <w:r>
              <w:t xml:space="preserve">Asset Mgmt</w:t>
            </w:r>
          </w:p>
        </w:tc>
      </w:tr>
      <w:tr>
        <w:tc>
          <w:tcPr/>
          <w:p>
            <w:pPr>
              <w:pStyle w:val="Compact"/>
            </w:pPr>
            <w:r>
              <w:t xml:space="preserve">Internal Audit</w:t>
            </w:r>
          </w:p>
        </w:tc>
        <w:tc>
          <w:tcPr/>
          <w:p>
            <w:pPr>
              <w:pStyle w:val="Compact"/>
            </w:pPr>
            <w:r>
              <w:t xml:space="preserve">Periodically reviews TPRM program, AI governance, and decision audit logs for SR 11-7 and OCC compliance; provides independent assurance to Board and regulators</w:t>
            </w:r>
          </w:p>
        </w:tc>
        <w:tc>
          <w:tcPr/>
          <w:p>
            <w:pPr>
              <w:pStyle w:val="Compact"/>
            </w:pPr>
            <w:r>
              <w:t xml:space="preserve">Audit findings and control gap reporting</w:t>
            </w:r>
          </w:p>
        </w:tc>
        <w:tc>
          <w:tcPr/>
          <w:p>
            <w:pPr>
              <w:pStyle w:val="Compact"/>
            </w:pPr>
            <w:r>
              <w:t xml:space="preserve">H</w:t>
            </w:r>
          </w:p>
        </w:tc>
        <w:tc>
          <w:tcPr/>
          <w:p>
            <w:pPr>
              <w:pStyle w:val="Compact"/>
            </w:pPr>
            <w:r>
              <w:t xml:space="preserve">Audit</w:t>
            </w:r>
          </w:p>
        </w:tc>
      </w:tr>
      <w:tr>
        <w:tc>
          <w:tcPr/>
          <w:p>
            <w:pPr>
              <w:pStyle w:val="Compact"/>
            </w:pPr>
            <w:r>
              <w:t xml:space="preserve">Senior Executive Sponsor</w:t>
            </w:r>
          </w:p>
        </w:tc>
        <w:tc>
          <w:tcPr/>
          <w:p>
            <w:pPr>
              <w:pStyle w:val="Compact"/>
            </w:pPr>
            <w:r>
              <w:t xml:space="preserve">Provides required sign-off for Tier 1 critical vendors, high-risk AI systems (Tier 1 MRM), and any RAE with escalated findings per OCC engagement best practice</w:t>
            </w:r>
          </w:p>
        </w:tc>
        <w:tc>
          <w:tcPr/>
          <w:p>
            <w:pPr>
              <w:pStyle w:val="Compact"/>
            </w:pPr>
            <w:r>
              <w:t xml:space="preserve">Executive approval for critical activities</w:t>
            </w:r>
          </w:p>
        </w:tc>
        <w:tc>
          <w:tcPr/>
          <w:p>
            <w:pPr>
              <w:pStyle w:val="Compact"/>
            </w:pPr>
            <w:r>
              <w:t xml:space="preserve">H</w:t>
            </w:r>
          </w:p>
        </w:tc>
        <w:tc>
          <w:tcPr/>
          <w:p>
            <w:pPr>
              <w:pStyle w:val="Compact"/>
            </w:pPr>
            <w:r>
              <w:t xml:space="preserve">Governance</w:t>
            </w:r>
          </w:p>
        </w:tc>
      </w:tr>
      <w:tr>
        <w:tc>
          <w:tcPr/>
          <w:p>
            <w:pPr>
              <w:pStyle w:val="Compact"/>
            </w:pPr>
            <w:r>
              <w:t xml:space="preserve">Routing Engine (Automated)</w:t>
            </w:r>
          </w:p>
        </w:tc>
        <w:tc>
          <w:tcPr/>
          <w:p>
            <w:pPr>
              <w:pStyle w:val="Compact"/>
            </w:pPr>
            <w:r>
              <w:t xml:space="preserve">Executes DMN-01 against structured intake data plus Software Registry results; computes composite score; assigns pathway; starts SLA clock</w:t>
            </w:r>
          </w:p>
        </w:tc>
        <w:tc>
          <w:tcPr/>
          <w:p>
            <w:pPr>
              <w:pStyle w:val="Compact"/>
            </w:pPr>
            <w:r>
              <w:t xml:space="preserve">Deterministic pathway assignment</w:t>
            </w:r>
          </w:p>
        </w:tc>
        <w:tc>
          <w:tcPr/>
          <w:p>
            <w:pPr>
              <w:pStyle w:val="Compact"/>
            </w:pPr>
            <w:r>
              <w:t xml:space="preserve">A</w:t>
            </w:r>
          </w:p>
        </w:tc>
        <w:tc>
          <w:tcPr/>
          <w:p>
            <w:pPr>
              <w:pStyle w:val="Compact"/>
            </w:pPr>
            <w:r>
              <w:t xml:space="preserve">System</w:t>
            </w:r>
          </w:p>
        </w:tc>
      </w:tr>
      <w:tr>
        <w:tc>
          <w:tcPr/>
          <w:p>
            <w:pPr>
              <w:pStyle w:val="Compact"/>
            </w:pPr>
            <w:r>
              <w:t xml:space="preserve">Intake Bot (Automated)</w:t>
            </w:r>
          </w:p>
        </w:tc>
        <w:tc>
          <w:tcPr/>
          <w:p>
            <w:pPr>
              <w:pStyle w:val="Compact"/>
            </w:pPr>
            <w:r>
              <w:t xml:space="preserve">Structured conversational elicitation; completeness enforcement; concurrent risk classification; PRD auto-generation; Jira/ADO push</w:t>
            </w:r>
          </w:p>
        </w:tc>
        <w:tc>
          <w:tcPr/>
          <w:p>
            <w:pPr>
              <w:pStyle w:val="Compact"/>
            </w:pPr>
            <w:r>
              <w:t xml:space="preserve">No decision authority—execution only</w:t>
            </w:r>
          </w:p>
        </w:tc>
        <w:tc>
          <w:tcPr/>
          <w:p>
            <w:pPr>
              <w:pStyle w:val="Compact"/>
            </w:pPr>
            <w:r>
              <w:t xml:space="preserve">A / DA</w:t>
            </w:r>
          </w:p>
        </w:tc>
        <w:tc>
          <w:tcPr/>
          <w:p>
            <w:pPr>
              <w:pStyle w:val="Compact"/>
            </w:pPr>
            <w:r>
              <w:t xml:space="preserve">System</w:t>
            </w:r>
          </w:p>
        </w:tc>
      </w:tr>
      <w:tr>
        <w:tc>
          <w:tcPr/>
          <w:p>
            <w:pPr>
              <w:pStyle w:val="Compact"/>
            </w:pPr>
            <w:r>
              <w:t xml:space="preserve">Knowledge Staging Agent (Automated)</w:t>
            </w:r>
          </w:p>
        </w:tc>
        <w:tc>
          <w:tcPr/>
          <w:p>
            <w:pPr>
              <w:pStyle w:val="Compact"/>
            </w:pPr>
            <w:r>
              <w:t xml:space="preserve">Captures validated knowledge outputs from each phase; stages them into deterministic knowledge bases; replaces manual follow-ups with structured retrieval</w:t>
            </w:r>
          </w:p>
        </w:tc>
        <w:tc>
          <w:tcPr/>
          <w:p>
            <w:pPr>
              <w:pStyle w:val="Compact"/>
            </w:pPr>
            <w:r>
              <w:t xml:space="preserve">No decision authority—staging only</w:t>
            </w:r>
          </w:p>
        </w:tc>
        <w:tc>
          <w:tcPr/>
          <w:p>
            <w:pPr>
              <w:pStyle w:val="Compact"/>
            </w:pPr>
            <w:r>
              <w:t xml:space="preserve">DA</w:t>
            </w:r>
          </w:p>
        </w:tc>
        <w:tc>
          <w:tcPr/>
          <w:p>
            <w:pPr>
              <w:pStyle w:val="Compact"/>
            </w:pPr>
            <w:r>
              <w:t xml:space="preserve">System</w:t>
            </w:r>
          </w:p>
        </w:tc>
      </w:tr>
    </w:tbl>
    <w:bookmarkStart w:id="25" w:name="task-type-classification"/>
    <w:p>
      <w:pPr>
        <w:pStyle w:val="Heading3"/>
      </w:pPr>
      <w:r>
        <w:t xml:space="preserve">4.1 Task Type Classification</w:t>
      </w:r>
    </w:p>
    <w:p>
      <w:pPr>
        <w:pStyle w:val="FirstParagraph"/>
      </w:pPr>
      <w:r>
        <w:t xml:space="preserve">Every task within the BPMN workflow is explicitly classified using one</w:t>
      </w:r>
      <w:r>
        <w:t xml:space="preserve"> </w:t>
      </w:r>
      <w:r>
        <w:t xml:space="preserve">of three designations: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Designation</w:t>
            </w:r>
          </w:p>
        </w:tc>
        <w:tc>
          <w:tcPr/>
          <w:p>
            <w:pPr>
              <w:pStyle w:val="Compact"/>
            </w:pPr>
            <w:r>
              <w:t xml:space="preserve">Definition</w:t>
            </w:r>
          </w:p>
        </w:tc>
        <w:tc>
          <w:tcPr/>
          <w:p>
            <w:pPr>
              <w:pStyle w:val="Compact"/>
            </w:pPr>
            <w:r>
              <w:t xml:space="preserve">Governance Requirement</w:t>
            </w:r>
          </w:p>
        </w:tc>
        <w:tc>
          <w:tcPr/>
          <w:p>
            <w:pPr>
              <w:pStyle w:val="Compact"/>
            </w:pPr>
            <w:r>
              <w:t xml:space="preserve">BPMN Representation</w:t>
            </w:r>
          </w:p>
        </w:tc>
      </w:tr>
      <w:tr>
        <w:tc>
          <w:tcPr/>
          <w:p>
            <w:pPr>
              <w:pStyle w:val="Compact"/>
            </w:pPr>
            <w:r>
              <w:t xml:space="preserve">A (Automated)</w:t>
            </w:r>
          </w:p>
        </w:tc>
        <w:tc>
          <w:tcPr/>
          <w:p>
            <w:pPr>
              <w:pStyle w:val="Compact"/>
            </w:pPr>
            <w:r>
              <w:t xml:space="preserve">Fully automated execution with no human intervention. Inputs and outputs are deterministic.</w:t>
            </w:r>
          </w:p>
        </w:tc>
        <w:tc>
          <w:tcPr/>
          <w:p>
            <w:pPr>
              <w:pStyle w:val="Compact"/>
            </w:pPr>
            <w:r>
              <w:t xml:space="preserve">DMN rules govern logic. All inputs/outputs logged to decision audit trail. SLA timers enforced.</w:t>
            </w:r>
          </w:p>
        </w:tc>
        <w:tc>
          <w:tcPr/>
          <w:p>
            <w:pPr>
              <w:pStyle w:val="Compact"/>
            </w:pPr>
            <w:r>
              <w:t xml:space="preserve">Service Task or Business Rules Task</w:t>
            </w:r>
          </w:p>
        </w:tc>
      </w:tr>
      <w:tr>
        <w:tc>
          <w:tcPr/>
          <w:p>
            <w:pPr>
              <w:pStyle w:val="Compact"/>
            </w:pPr>
            <w:r>
              <w:t xml:space="preserve">DA (Deterministic Agent-Enabled)</w:t>
            </w:r>
          </w:p>
        </w:tc>
        <w:tc>
          <w:tcPr/>
          <w:p>
            <w:pPr>
              <w:pStyle w:val="Compact"/>
            </w:pPr>
            <w:r>
              <w:t xml:space="preserve">Agent executes using deterministic knowledge bases and DMN rules. Outputs are reproducible. Decision provenance is logged.</w:t>
            </w:r>
          </w:p>
        </w:tc>
        <w:tc>
          <w:tcPr/>
          <w:p>
            <w:pPr>
              <w:pStyle w:val="Compact"/>
            </w:pPr>
            <w:r>
              <w:t xml:space="preserve">Agent outputs must be deterministic and reproducible. Knowledge base version logged. Decision provenance captured.</w:t>
            </w:r>
          </w:p>
        </w:tc>
        <w:tc>
          <w:tcPr/>
          <w:p>
            <w:pPr>
              <w:pStyle w:val="Compact"/>
            </w:pPr>
            <w:r>
              <w:t xml:space="preserve">Service Task with agent annotation</w:t>
            </w:r>
          </w:p>
        </w:tc>
      </w:tr>
      <w:tr>
        <w:tc>
          <w:tcPr/>
          <w:p>
            <w:pPr>
              <w:pStyle w:val="Compact"/>
            </w:pPr>
            <w:r>
              <w:t xml:space="preserve">H (Human-in-the-Loop)</w:t>
            </w:r>
          </w:p>
        </w:tc>
        <w:tc>
          <w:tcPr/>
          <w:p>
            <w:pPr>
              <w:pStyle w:val="Compact"/>
            </w:pPr>
            <w:r>
              <w:t xml:space="preserve">Human judgment required. May be informed by agent analysis, but the human makes the decision and is accountable.</w:t>
            </w:r>
          </w:p>
        </w:tc>
        <w:tc>
          <w:tcPr/>
          <w:p>
            <w:pPr>
              <w:pStyle w:val="Compact"/>
            </w:pPr>
            <w:r>
              <w:t xml:space="preserve">Human reviewer role logged (not personal identity). Override rationale captured (minimum 50 characters). SLA clock enforced.</w:t>
            </w:r>
          </w:p>
        </w:tc>
        <w:tc>
          <w:tcPr/>
          <w:p>
            <w:pPr>
              <w:pStyle w:val="Compact"/>
            </w:pPr>
            <w:r>
              <w:t xml:space="preserve">User Task with role-based assignment</w:t>
            </w:r>
          </w:p>
        </w:tc>
      </w:tr>
    </w:tbl>
    <w:bookmarkEnd w:id="25"/>
    <w:bookmarkEnd w:id="26"/>
    <w:bookmarkStart w:id="31" w:name="ai-governance-operating-model"/>
    <w:p>
      <w:pPr>
        <w:pStyle w:val="Heading2"/>
      </w:pPr>
      <w:r>
        <w:t xml:space="preserve">5. AI Governance Operating Model</w:t>
      </w:r>
    </w:p>
    <w:p>
      <w:pPr>
        <w:pStyle w:val="FirstParagraph"/>
      </w:pPr>
      <w:r>
        <w:t xml:space="preserve">The governance operating model establishes an end-to-end transparent AI</w:t>
      </w:r>
      <w:r>
        <w:t xml:space="preserve"> </w:t>
      </w:r>
      <w:r>
        <w:t xml:space="preserve">governance program in which all processes and sub-processes are fully</w:t>
      </w:r>
      <w:r>
        <w:t xml:space="preserve"> </w:t>
      </w:r>
      <w:r>
        <w:t xml:space="preserve">defined with RACI role definitions driving alignment across the</w:t>
      </w:r>
      <w:r>
        <w:t xml:space="preserve"> </w:t>
      </w:r>
      <w:r>
        <w:t xml:space="preserve">organization and extended stakeholder teams. This model, derived from</w:t>
      </w:r>
      <w:r>
        <w:t xml:space="preserve"> </w:t>
      </w:r>
      <w:r>
        <w:t xml:space="preserve">the attached governance framework, defines the primary BPMN workflow</w:t>
      </w:r>
      <w:r>
        <w:t xml:space="preserve"> </w:t>
      </w:r>
      <w:r>
        <w:t xml:space="preserve">that manages the lifecycle of every engineering initiative.</w:t>
      </w:r>
    </w:p>
    <w:bookmarkStart w:id="27" w:name="primary-bpmn-workflow-architecture"/>
    <w:p>
      <w:pPr>
        <w:pStyle w:val="Heading3"/>
      </w:pPr>
      <w:r>
        <w:t xml:space="preserve">2.1 Primary BPMN Workflow Architecture</w:t>
      </w:r>
    </w:p>
    <w:p>
      <w:pPr>
        <w:pStyle w:val="FirstParagraph"/>
      </w:pPr>
      <w:r>
        <w:t xml:space="preserve">The master workflow follows a sequential, gate-controlled process with</w:t>
      </w:r>
      <w:r>
        <w:t xml:space="preserve"> </w:t>
      </w:r>
      <w:r>
        <w:t xml:space="preserve">decision points that route initiatives through appropriate governance</w:t>
      </w:r>
      <w:r>
        <w:t xml:space="preserve"> </w:t>
      </w:r>
      <w:r>
        <w:t xml:space="preserve">review paths based on risk classification. The process is designed as a</w:t>
      </w:r>
      <w:r>
        <w:t xml:space="preserve"> </w:t>
      </w:r>
      <w:r>
        <w:t xml:space="preserve">BPMN 2.0 compliant workflow suitable for orchestration through Camunda,</w:t>
      </w:r>
      <w:r>
        <w:t xml:space="preserve"> </w:t>
      </w:r>
      <w:r>
        <w:t xml:space="preserve">jBPM, or equivalent BPM engines.</w:t>
      </w:r>
    </w:p>
    <w:bookmarkEnd w:id="27"/>
    <w:bookmarkStart w:id="28" w:name="master-workflow-stages"/>
    <w:p>
      <w:pPr>
        <w:pStyle w:val="Heading3"/>
      </w:pPr>
      <w:r>
        <w:t xml:space="preserve">2.1.1 Master Workflow Stages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Activity</w:t>
            </w:r>
          </w:p>
        </w:tc>
        <w:tc>
          <w:tcPr/>
          <w:p>
            <w:pPr>
              <w:pStyle w:val="Compact"/>
            </w:pPr>
            <w:r>
              <w:t xml:space="preserve">Gate Type</w:t>
            </w:r>
          </w:p>
        </w:tc>
        <w:tc>
          <w:tcPr/>
          <w:p>
            <w:pPr>
              <w:pStyle w:val="Compact"/>
            </w:pPr>
            <w:r>
              <w:t xml:space="preserve">Decision</w:t>
            </w:r>
          </w:p>
        </w:tc>
        <w:tc>
          <w:tcPr/>
          <w:p>
            <w:pPr>
              <w:pStyle w:val="Compact"/>
            </w:pPr>
            <w:r>
              <w:t xml:space="preserve">Outcome</w:t>
            </w:r>
          </w:p>
        </w:tc>
      </w:tr>
      <w:tr>
        <w:tc>
          <w:tcPr/>
          <w:p>
            <w:pPr>
              <w:pStyle w:val="Compact"/>
            </w:pPr>
            <w:r>
              <w:t xml:space="preserve">1. Initiation</w:t>
            </w:r>
          </w:p>
        </w:tc>
        <w:tc>
          <w:tcPr/>
          <w:p>
            <w:pPr>
              <w:pStyle w:val="Compact"/>
            </w:pPr>
            <w:r>
              <w:t xml:space="preserve">Start AI Use Case Governance</w:t>
            </w:r>
          </w:p>
        </w:tc>
        <w:tc>
          <w:tcPr/>
          <w:p>
            <w:pPr>
              <w:pStyle w:val="Compact"/>
            </w:pPr>
            <w:r>
              <w:t xml:space="preserve">Start Event</w:t>
            </w:r>
          </w:p>
        </w:tc>
        <w:tc>
          <w:tcPr/>
          <w:p>
            <w:pPr>
              <w:pStyle w:val="Compact"/>
            </w:pPr>
            <w:r>
              <w:t xml:space="preserve">N/A</w:t>
            </w:r>
          </w:p>
        </w:tc>
        <w:tc>
          <w:tcPr/>
          <w:p>
            <w:pPr>
              <w:pStyle w:val="Compact"/>
            </w:pPr>
            <w:r>
              <w:t xml:space="preserve">Intake form triggered, Use Case Data collected</w:t>
            </w:r>
          </w:p>
        </w:tc>
      </w:tr>
      <w:tr>
        <w:tc>
          <w:tcPr/>
          <w:p>
            <w:pPr>
              <w:pStyle w:val="Compact"/>
            </w:pPr>
            <w:r>
              <w:t xml:space="preserve">2. Value Assessment</w:t>
            </w:r>
          </w:p>
        </w:tc>
        <w:tc>
          <w:tcPr/>
          <w:p>
            <w:pPr>
              <w:pStyle w:val="Compact"/>
            </w:pPr>
            <w:r>
              <w:t xml:space="preserve">Use Case Value Assessment</w:t>
            </w:r>
          </w:p>
        </w:tc>
        <w:tc>
          <w:tcPr/>
          <w:p>
            <w:pPr>
              <w:pStyle w:val="Compact"/>
            </w:pPr>
            <w:r>
              <w:t xml:space="preserve">Task</w:t>
            </w:r>
          </w:p>
        </w:tc>
        <w:tc>
          <w:tcPr/>
          <w:p>
            <w:pPr>
              <w:pStyle w:val="Compact"/>
            </w:pPr>
            <w:r>
              <w:t xml:space="preserve">N/A</w:t>
            </w:r>
          </w:p>
        </w:tc>
        <w:tc>
          <w:tcPr/>
          <w:p>
            <w:pPr>
              <w:pStyle w:val="Compact"/>
            </w:pPr>
            <w:r>
              <w:t xml:space="preserve">Business case validated, strategic alignment confirmed</w:t>
            </w:r>
          </w:p>
        </w:tc>
      </w:tr>
      <w:tr>
        <w:tc>
          <w:tcPr/>
          <w:p>
            <w:pPr>
              <w:pStyle w:val="Compact"/>
            </w:pPr>
            <w:r>
              <w:t xml:space="preserve">3. Risk Classification</w:t>
            </w:r>
          </w:p>
        </w:tc>
        <w:tc>
          <w:tcPr/>
          <w:p>
            <w:pPr>
              <w:pStyle w:val="Compact"/>
            </w:pPr>
            <w:r>
              <w:t xml:space="preserve">Initial Risk Assessment</w:t>
            </w:r>
          </w:p>
        </w:tc>
        <w:tc>
          <w:tcPr/>
          <w:p>
            <w:pPr>
              <w:pStyle w:val="Compact"/>
            </w:pPr>
            <w:r>
              <w:t xml:space="preserve">Exclusive Gateway (XOR)</w:t>
            </w:r>
          </w:p>
        </w:tc>
        <w:tc>
          <w:tcPr/>
          <w:p>
            <w:pPr>
              <w:pStyle w:val="Compact"/>
            </w:pPr>
            <w:r>
              <w:t xml:space="preserve">Risk Tier: High / Limited / Minimal / Unacceptable</w:t>
            </w:r>
          </w:p>
        </w:tc>
        <w:tc>
          <w:tcPr/>
          <w:p>
            <w:pPr>
              <w:pStyle w:val="Compact"/>
            </w:pPr>
            <w:r>
              <w:t xml:space="preserve">Risk tier assigned, routes to appropriate review path</w:t>
            </w:r>
          </w:p>
        </w:tc>
      </w:tr>
      <w:tr>
        <w:tc>
          <w:tcPr/>
          <w:p>
            <w:pPr>
              <w:pStyle w:val="Compact"/>
            </w:pPr>
            <w:r>
              <w:t xml:space="preserve">4. Governance Review</w:t>
            </w:r>
          </w:p>
        </w:tc>
        <w:tc>
          <w:tcPr/>
          <w:p>
            <w:pPr>
              <w:pStyle w:val="Compact"/>
            </w:pPr>
            <w:r>
              <w:t xml:space="preserve">Governance Review and Approve</w:t>
            </w:r>
          </w:p>
        </w:tc>
        <w:tc>
          <w:tcPr/>
          <w:p>
            <w:pPr>
              <w:pStyle w:val="Compact"/>
            </w:pPr>
            <w:r>
              <w:t xml:space="preserve">Sub-Process + XOR Gateway</w:t>
            </w:r>
          </w:p>
        </w:tc>
        <w:tc>
          <w:tcPr/>
          <w:p>
            <w:pPr>
              <w:pStyle w:val="Compact"/>
            </w:pPr>
            <w:r>
              <w:t xml:space="preserve">Approved / Rejected</w:t>
            </w:r>
          </w:p>
        </w:tc>
        <w:tc>
          <w:tcPr/>
          <w:p>
            <w:pPr>
              <w:pStyle w:val="Compact"/>
            </w:pPr>
            <w:r>
              <w:t xml:space="preserve">Approved: proceed to Controls | Rejected: Use Case Rejected end event</w:t>
            </w:r>
          </w:p>
        </w:tc>
      </w:tr>
      <w:tr>
        <w:tc>
          <w:tcPr/>
          <w:p>
            <w:pPr>
              <w:pStyle w:val="Compact"/>
            </w:pPr>
            <w:r>
              <w:t xml:space="preserve">5. Controls Implementation</w:t>
            </w:r>
          </w:p>
        </w:tc>
        <w:tc>
          <w:tcPr/>
          <w:p>
            <w:pPr>
              <w:pStyle w:val="Compact"/>
            </w:pPr>
            <w:r>
              <w:t xml:space="preserve">Controls Implementation</w:t>
            </w:r>
          </w:p>
        </w:tc>
        <w:tc>
          <w:tcPr/>
          <w:p>
            <w:pPr>
              <w:pStyle w:val="Compact"/>
            </w:pPr>
            <w:r>
              <w:t xml:space="preserve">Task</w:t>
            </w:r>
          </w:p>
        </w:tc>
        <w:tc>
          <w:tcPr/>
          <w:p>
            <w:pPr>
              <w:pStyle w:val="Compact"/>
            </w:pPr>
            <w:r>
              <w:t xml:space="preserve">N/A</w:t>
            </w:r>
          </w:p>
        </w:tc>
        <w:tc>
          <w:tcPr/>
          <w:p>
            <w:pPr>
              <w:pStyle w:val="Compact"/>
            </w:pPr>
            <w:r>
              <w:t xml:space="preserve">All required controls configured and evidence collection initiated</w:t>
            </w:r>
          </w:p>
        </w:tc>
      </w:tr>
      <w:tr>
        <w:tc>
          <w:tcPr/>
          <w:p>
            <w:pPr>
              <w:pStyle w:val="Compact"/>
            </w:pPr>
            <w:r>
              <w:t xml:space="preserve">6. SDLC Development</w:t>
            </w:r>
          </w:p>
        </w:tc>
        <w:tc>
          <w:tcPr/>
          <w:p>
            <w:pPr>
              <w:pStyle w:val="Compact"/>
            </w:pPr>
            <w:r>
              <w:t xml:space="preserve">SDLC Development</w:t>
            </w:r>
          </w:p>
        </w:tc>
        <w:tc>
          <w:tcPr/>
          <w:p>
            <w:pPr>
              <w:pStyle w:val="Compact"/>
            </w:pPr>
            <w:r>
              <w:t xml:space="preserve">Sub-Process</w:t>
            </w:r>
          </w:p>
        </w:tc>
        <w:tc>
          <w:tcPr/>
          <w:p>
            <w:pPr>
              <w:pStyle w:val="Compact"/>
            </w:pPr>
            <w:r>
              <w:t xml:space="preserve">N/A</w:t>
            </w:r>
          </w:p>
        </w:tc>
        <w:tc>
          <w:tcPr/>
          <w:p>
            <w:pPr>
              <w:pStyle w:val="Compact"/>
            </w:pPr>
            <w:r>
              <w:t xml:space="preserve">Solution built, tested, and ready for deployment review</w:t>
            </w:r>
          </w:p>
        </w:tc>
      </w:tr>
      <w:tr>
        <w:tc>
          <w:tcPr/>
          <w:p>
            <w:pPr>
              <w:pStyle w:val="Compact"/>
            </w:pPr>
            <w:r>
              <w:t xml:space="preserve">7. Deployment Decision</w:t>
            </w:r>
          </w:p>
        </w:tc>
        <w:tc>
          <w:tcPr/>
          <w:p>
            <w:pPr>
              <w:pStyle w:val="Compact"/>
            </w:pPr>
            <w:r>
              <w:t xml:space="preserve">Deployment Decision Gate</w:t>
            </w:r>
          </w:p>
        </w:tc>
        <w:tc>
          <w:tcPr/>
          <w:p>
            <w:pPr>
              <w:pStyle w:val="Compact"/>
            </w:pPr>
            <w:r>
              <w:t xml:space="preserve">Exclusive Gateway (XOR)</w:t>
            </w:r>
          </w:p>
        </w:tc>
        <w:tc>
          <w:tcPr/>
          <w:p>
            <w:pPr>
              <w:pStyle w:val="Compact"/>
            </w:pPr>
            <w:r>
              <w:t xml:space="preserve">Approved / Rejected</w:t>
            </w:r>
          </w:p>
        </w:tc>
        <w:tc>
          <w:tcPr/>
          <w:p>
            <w:pPr>
              <w:pStyle w:val="Compact"/>
            </w:pPr>
            <w:r>
              <w:t xml:space="preserve">Approved: Use Case in Production | Rejected: Use Case Rejected end event</w:t>
            </w:r>
          </w:p>
        </w:tc>
      </w:tr>
      <w:tr>
        <w:tc>
          <w:tcPr/>
          <w:p>
            <w:pPr>
              <w:pStyle w:val="Compact"/>
            </w:pPr>
            <w:r>
              <w:t xml:space="preserve">8. Production Operations</w:t>
            </w:r>
          </w:p>
        </w:tc>
        <w:tc>
          <w:tcPr/>
          <w:p>
            <w:pPr>
              <w:pStyle w:val="Compact"/>
            </w:pPr>
            <w:r>
              <w:t xml:space="preserve">Production Operation and Monitoring</w:t>
            </w:r>
          </w:p>
        </w:tc>
        <w:tc>
          <w:tcPr/>
          <w:p>
            <w:pPr>
              <w:pStyle w:val="Compact"/>
            </w:pPr>
            <w:r>
              <w:t xml:space="preserve">Sub-Process with Loop</w:t>
            </w:r>
          </w:p>
        </w:tc>
        <w:tc>
          <w:tcPr/>
          <w:p>
            <w:pPr>
              <w:pStyle w:val="Compact"/>
            </w:pPr>
            <w:r>
              <w:t xml:space="preserve">Continue / Change / Retire</w:t>
            </w:r>
          </w:p>
        </w:tc>
        <w:tc>
          <w:tcPr/>
          <w:p>
            <w:pPr>
              <w:pStyle w:val="Compact"/>
            </w:pPr>
            <w:r>
              <w:t xml:space="preserve">Continuous monitoring with control-based cadence; routes to Change Mgmt, Continuous Improvement, or Decommission</w:t>
            </w:r>
          </w:p>
        </w:tc>
      </w:tr>
      <w:tr>
        <w:tc>
          <w:tcPr/>
          <w:p>
            <w:pPr>
              <w:pStyle w:val="Compact"/>
            </w:pPr>
            <w:r>
              <w:t xml:space="preserve">9. End States</w:t>
            </w:r>
          </w:p>
        </w:tc>
        <w:tc>
          <w:tcPr/>
          <w:p>
            <w:pPr>
              <w:pStyle w:val="Compact"/>
            </w:pPr>
            <w:r>
              <w:t xml:space="preserve">Retirement / Termination</w:t>
            </w:r>
          </w:p>
        </w:tc>
        <w:tc>
          <w:tcPr/>
          <w:p>
            <w:pPr>
              <w:pStyle w:val="Compact"/>
            </w:pPr>
            <w:r>
              <w:t xml:space="preserve">End Events</w:t>
            </w:r>
          </w:p>
        </w:tc>
        <w:tc>
          <w:tcPr/>
          <w:p>
            <w:pPr>
              <w:pStyle w:val="Compact"/>
            </w:pPr>
            <w:r>
              <w:t xml:space="preserve">Retired / Terminated / Rejected</w:t>
            </w:r>
          </w:p>
        </w:tc>
        <w:tc>
          <w:tcPr/>
          <w:p>
            <w:pPr>
              <w:pStyle w:val="Compact"/>
            </w:pPr>
            <w:r>
              <w:t xml:space="preserve">Use Case Retired (graceful), Use Case Terminated (immediate), or Use Case Rejected (denied)</w:t>
            </w:r>
          </w:p>
        </w:tc>
      </w:tr>
    </w:tbl>
    <w:bookmarkEnd w:id="28"/>
    <w:bookmarkStart w:id="29" w:name="risk-assessment-sub-process-bpmn-detail"/>
    <w:p>
      <w:pPr>
        <w:pStyle w:val="Heading3"/>
      </w:pPr>
      <w:r>
        <w:t xml:space="preserve">2.2 Risk Assessment Sub-Process (BPMN Detail)</w:t>
      </w:r>
    </w:p>
    <w:p>
      <w:pPr>
        <w:pStyle w:val="FirstParagraph"/>
      </w:pPr>
      <w:r>
        <w:t xml:space="preserve">The Risk Management Review and Approve Process begins with a Risk</w:t>
      </w:r>
      <w:r>
        <w:t xml:space="preserve"> </w:t>
      </w:r>
      <w:r>
        <w:t xml:space="preserve">Classification gateway that routes to four distinct paths based on the</w:t>
      </w:r>
      <w:r>
        <w:t xml:space="preserve"> </w:t>
      </w:r>
      <w:r>
        <w:t xml:space="preserve">assessed risk tier. Each path has a defined sub-process with escalation</w:t>
      </w:r>
      <w:r>
        <w:t xml:space="preserve"> </w:t>
      </w:r>
      <w:r>
        <w:t xml:space="preserve">mechanisms built into the BPMN flow.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 Tier</w:t>
            </w:r>
          </w:p>
        </w:tc>
        <w:tc>
          <w:tcPr/>
          <w:p>
            <w:pPr>
              <w:pStyle w:val="Compact"/>
            </w:pPr>
            <w:r>
              <w:t xml:space="preserve">Review Process</w:t>
            </w:r>
          </w:p>
        </w:tc>
        <w:tc>
          <w:tcPr/>
          <w:p>
            <w:pPr>
              <w:pStyle w:val="Compact"/>
            </w:pPr>
            <w:r>
              <w:t xml:space="preserve">Decision Authority</w:t>
            </w:r>
          </w:p>
        </w:tc>
        <w:tc>
          <w:tcPr/>
          <w:p>
            <w:pPr>
              <w:pStyle w:val="Compact"/>
            </w:pPr>
            <w:r>
              <w:t xml:space="preserve">Escalation Path</w:t>
            </w:r>
          </w:p>
        </w:tc>
        <w:tc>
          <w:tcPr/>
          <w:p>
            <w:pPr>
              <w:pStyle w:val="Compact"/>
            </w:pPr>
            <w:r>
              <w:t xml:space="preserve">Target Cycle Time</w:t>
            </w:r>
          </w:p>
        </w:tc>
      </w:tr>
      <w:tr>
        <w:tc>
          <w:tcPr/>
          <w:p>
            <w:pPr>
              <w:pStyle w:val="Compact"/>
            </w:pPr>
            <w:r>
              <w:t xml:space="preserve">Minimal Risk</w:t>
            </w:r>
          </w:p>
        </w:tc>
        <w:tc>
          <w:tcPr/>
          <w:p>
            <w:pPr>
              <w:pStyle w:val="Compact"/>
            </w:pPr>
            <w:r>
              <w:t xml:space="preserve">Fast Path Review: Automated checks against pre-approved criteria with minimal human intervention</w:t>
            </w:r>
          </w:p>
        </w:tc>
        <w:tc>
          <w:tcPr/>
          <w:p>
            <w:pPr>
              <w:pStyle w:val="Compact"/>
            </w:pPr>
            <w:r>
              <w:t xml:space="preserve">Fast Path Reviewer (delegated authority)</w:t>
            </w:r>
          </w:p>
        </w:tc>
        <w:tc>
          <w:tcPr/>
          <w:p>
            <w:pPr>
              <w:pStyle w:val="Compact"/>
            </w:pPr>
            <w:r>
              <w:t xml:space="preserve">Escalated to Governance Committee if criteria not met</w:t>
            </w:r>
          </w:p>
        </w:tc>
        <w:tc>
          <w:tcPr/>
          <w:p>
            <w:pPr>
              <w:pStyle w:val="Compact"/>
            </w:pPr>
            <w:r>
              <w:t xml:space="preserve">1–2 business days</w:t>
            </w:r>
          </w:p>
        </w:tc>
      </w:tr>
      <w:tr>
        <w:tc>
          <w:tcPr/>
          <w:p>
            <w:pPr>
              <w:pStyle w:val="Compact"/>
            </w:pPr>
            <w:r>
              <w:t xml:space="preserve">Limited Risk</w:t>
            </w:r>
          </w:p>
        </w:tc>
        <w:tc>
          <w:tcPr/>
          <w:p>
            <w:pPr>
              <w:pStyle w:val="Compact"/>
            </w:pPr>
            <w:r>
              <w:t xml:space="preserve">Governance Committee Review: Standard review with compliance cross-reference and stakeholder sign-off</w:t>
            </w:r>
          </w:p>
        </w:tc>
        <w:tc>
          <w:tcPr/>
          <w:p>
            <w:pPr>
              <w:pStyle w:val="Compact"/>
            </w:pPr>
            <w:r>
              <w:t xml:space="preserve">Governance Committee</w:t>
            </w:r>
          </w:p>
        </w:tc>
        <w:tc>
          <w:tcPr/>
          <w:p>
            <w:pPr>
              <w:pStyle w:val="Compact"/>
            </w:pPr>
            <w:r>
              <w:t xml:space="preserve">Escalated to Advisory Board if committee cannot reach consensus</w:t>
            </w:r>
          </w:p>
        </w:tc>
        <w:tc>
          <w:tcPr/>
          <w:p>
            <w:pPr>
              <w:pStyle w:val="Compact"/>
            </w:pPr>
            <w:r>
              <w:t xml:space="preserve">3–5 business days</w:t>
            </w:r>
          </w:p>
        </w:tc>
      </w:tr>
      <w:tr>
        <w:tc>
          <w:tcPr/>
          <w:p>
            <w:pPr>
              <w:pStyle w:val="Compact"/>
            </w:pPr>
            <w:r>
              <w:t xml:space="preserve">High Risk</w:t>
            </w:r>
          </w:p>
        </w:tc>
        <w:tc>
          <w:tcPr/>
          <w:p>
            <w:pPr>
              <w:pStyle w:val="Compact"/>
            </w:pPr>
            <w:r>
              <w:t xml:space="preserve">AI Governance Advisory Board: Full board review with legal, compliance, risk, and security representation</w:t>
            </w:r>
          </w:p>
        </w:tc>
        <w:tc>
          <w:tcPr/>
          <w:p>
            <w:pPr>
              <w:pStyle w:val="Compact"/>
            </w:pPr>
            <w:r>
              <w:t xml:space="preserve">AI Governance Advisory Board</w:t>
            </w:r>
          </w:p>
        </w:tc>
        <w:tc>
          <w:tcPr/>
          <w:p>
            <w:pPr>
              <w:pStyle w:val="Compact"/>
            </w:pPr>
            <w:r>
              <w:t xml:space="preserve">Rejected (no further escalation) or Exception Management Review</w:t>
            </w:r>
          </w:p>
        </w:tc>
        <w:tc>
          <w:tcPr/>
          <w:p>
            <w:pPr>
              <w:pStyle w:val="Compact"/>
            </w:pPr>
            <w:r>
              <w:t xml:space="preserve">5–10 business days</w:t>
            </w:r>
          </w:p>
        </w:tc>
      </w:tr>
      <w:tr>
        <w:tc>
          <w:tcPr/>
          <w:p>
            <w:pPr>
              <w:pStyle w:val="Compact"/>
            </w:pPr>
            <w:r>
              <w:t xml:space="preserve">Unacceptable Risk</w:t>
            </w:r>
          </w:p>
        </w:tc>
        <w:tc>
          <w:tcPr/>
          <w:p>
            <w:pPr>
              <w:pStyle w:val="Compact"/>
            </w:pPr>
            <w:r>
              <w:t xml:space="preserve">Automatic rejection: Use case does not proceed under any circumstance</w:t>
            </w:r>
          </w:p>
        </w:tc>
        <w:tc>
          <w:tcPr/>
          <w:p>
            <w:pPr>
              <w:pStyle w:val="Compact"/>
            </w:pPr>
            <w:r>
              <w:t xml:space="preserve">System (deterministic rule)</w:t>
            </w:r>
          </w:p>
        </w:tc>
        <w:tc>
          <w:tcPr/>
          <w:p>
            <w:pPr>
              <w:pStyle w:val="Compact"/>
            </w:pPr>
            <w:r>
              <w:t xml:space="preserve">None—final determination</w:t>
            </w:r>
          </w:p>
        </w:tc>
        <w:tc>
          <w:tcPr/>
          <w:p>
            <w:pPr>
              <w:pStyle w:val="Compact"/>
            </w:pPr>
            <w:r>
              <w:t xml:space="preserve">Immediate</w:t>
            </w:r>
          </w:p>
        </w:tc>
      </w:tr>
    </w:tbl>
    <w:bookmarkEnd w:id="29"/>
    <w:bookmarkStart w:id="30" w:name="Xddda1e05e688820f8a4894d2eb24173f90406c2"/>
    <w:p>
      <w:pPr>
        <w:pStyle w:val="Heading3"/>
      </w:pPr>
      <w:r>
        <w:t xml:space="preserve">2.3 Production Operation and Monitoring Sub-Process</w:t>
      </w:r>
    </w:p>
    <w:p>
      <w:pPr>
        <w:pStyle w:val="FirstParagraph"/>
      </w:pPr>
      <w:r>
        <w:t xml:space="preserve">Once a use case enters production, the monitoring sub-process activates</w:t>
      </w:r>
      <w:r>
        <w:t xml:space="preserve"> </w:t>
      </w:r>
      <w:r>
        <w:t xml:space="preserve">a continuous loop that reviews evidence collected for each assigned</w:t>
      </w:r>
      <w:r>
        <w:t xml:space="preserve"> </w:t>
      </w:r>
      <w:r>
        <w:t xml:space="preserve">control. The BPMN flow includes three routing paths from the "What’s</w:t>
      </w:r>
      <w:r>
        <w:t xml:space="preserve"> </w:t>
      </w:r>
      <w:r>
        <w:t xml:space="preserve">Next?" exclusive gateway:</w:t>
      </w:r>
    </w:p>
    <w:p>
      <w:pPr>
        <w:pStyle w:val="BodyText"/>
      </w:pPr>
      <w:r>
        <w:rPr>
          <w:b/>
          <w:bCs/>
        </w:rPr>
        <w:t xml:space="preserve">Continue Path:</w:t>
      </w:r>
      <w:r>
        <w:t xml:space="preserve"> </w:t>
      </w:r>
      <w:r>
        <w:t xml:space="preserve">Routes to Continuous Improvement, then to a parallel</w:t>
      </w:r>
      <w:r>
        <w:t xml:space="preserve"> </w:t>
      </w:r>
      <w:r>
        <w:t xml:space="preserve">gateway that manages both Control-Based Monitoring Cadence</w:t>
      </w:r>
      <w:r>
        <w:t xml:space="preserve"> </w:t>
      </w:r>
      <w:r>
        <w:t xml:space="preserve">(timer-triggered) and Trigger Review on Demand (message-triggered). The</w:t>
      </w:r>
      <w:r>
        <w:t xml:space="preserve"> </w:t>
      </w:r>
      <w:r>
        <w:t xml:space="preserve">loop returns to Production Operation and Monitoring for the next cycle.</w:t>
      </w:r>
    </w:p>
    <w:p>
      <w:pPr>
        <w:pStyle w:val="BodyText"/>
      </w:pPr>
      <w:r>
        <w:rPr>
          <w:b/>
          <w:bCs/>
        </w:rPr>
        <w:t xml:space="preserve">Change Path:</w:t>
      </w:r>
      <w:r>
        <w:t xml:space="preserve"> </w:t>
      </w:r>
      <w:r>
        <w:t xml:space="preserve">Routes to Change Management sub-process, which triggers</w:t>
      </w:r>
      <w:r>
        <w:t xml:space="preserve"> </w:t>
      </w:r>
      <w:r>
        <w:t xml:space="preserve">a new governance review cycle for material changes, ensuring all</w:t>
      </w:r>
      <w:r>
        <w:t xml:space="preserve"> </w:t>
      </w:r>
      <w:r>
        <w:t xml:space="preserve">modifications are assessed against the original risk classification and</w:t>
      </w:r>
      <w:r>
        <w:t xml:space="preserve"> </w:t>
      </w:r>
      <w:r>
        <w:t xml:space="preserve">control requirements.</w:t>
      </w:r>
    </w:p>
    <w:p>
      <w:pPr>
        <w:pStyle w:val="BodyText"/>
      </w:pPr>
      <w:r>
        <w:rPr>
          <w:b/>
          <w:bCs/>
        </w:rPr>
        <w:t xml:space="preserve">Retire Path:</w:t>
      </w:r>
      <w:r>
        <w:t xml:space="preserve"> </w:t>
      </w:r>
      <w:r>
        <w:t xml:space="preserve">Routes to Decommission Plan sub-process, which manages</w:t>
      </w:r>
      <w:r>
        <w:t xml:space="preserve"> </w:t>
      </w:r>
      <w:r>
        <w:t xml:space="preserve">knowledge capture, data archival, dependency unwinding, and notification</w:t>
      </w:r>
      <w:r>
        <w:t xml:space="preserve"> </w:t>
      </w:r>
      <w:r>
        <w:t xml:space="preserve">workflows before reaching the Retired end event.</w:t>
      </w:r>
    </w:p>
    <w:p>
      <w:pPr>
        <w:pStyle w:val="BodyText"/>
      </w:pPr>
      <w:r>
        <w:t xml:space="preserve">The monitoring sub-process also includes two terminal end states</w:t>
      </w:r>
      <w:r>
        <w:t xml:space="preserve"> </w:t>
      </w:r>
      <w:r>
        <w:t xml:space="preserve">accessible from the outer loop: Use Case Retired (graceful wind-down)</w:t>
      </w:r>
      <w:r>
        <w:t xml:space="preserve"> </w:t>
      </w:r>
      <w:r>
        <w:t xml:space="preserve">and Use Case Terminated (immediate cessation due to compliance breach,</w:t>
      </w:r>
      <w:r>
        <w:t xml:space="preserve"> </w:t>
      </w:r>
      <w:r>
        <w:t xml:space="preserve">security incident, or strategic decision).</w:t>
      </w:r>
    </w:p>
    <w:p>
      <w:r>
        <w:pict>
          <v:rect style="width:0;height:1.5pt" o:hralign="center" o:hrstd="t" o:hr="t"/>
        </w:pict>
      </w:r>
    </w:p>
    <w:bookmarkEnd w:id="30"/>
    <w:bookmarkEnd w:id="31"/>
    <w:bookmarkEnd w:id="32"/>
    <w:bookmarkStart w:id="79" w:name="part-iii-process-architecture"/>
    <w:p>
      <w:pPr>
        <w:pStyle w:val="Heading1"/>
      </w:pPr>
      <w:r>
        <w:t xml:space="preserve">Part III: Process Architecture</w:t>
      </w:r>
    </w:p>
    <w:bookmarkStart w:id="40" w:name="process-overview-end-to-end-architecture"/>
    <w:p>
      <w:pPr>
        <w:pStyle w:val="Heading2"/>
      </w:pPr>
      <w:r>
        <w:t xml:space="preserve">6. Process Overview: End-to-End Architecture</w:t>
      </w:r>
    </w:p>
    <w:p>
      <w:pPr>
        <w:pStyle w:val="FirstParagraph"/>
      </w:pPr>
      <w:r>
        <w:t xml:space="preserve">The framework comprises seven phases organized as a single master BPMN</w:t>
      </w:r>
      <w:r>
        <w:t xml:space="preserve"> </w:t>
      </w:r>
      <w:r>
        <w:t xml:space="preserve">process with defined sub-processes, governed by DMN decision tables, and</w:t>
      </w:r>
      <w:r>
        <w:t xml:space="preserve"> </w:t>
      </w:r>
      <w:r>
        <w:t xml:space="preserve">with explicit SLAs and timing rules. Phases 0 through 2 are primarily</w:t>
      </w:r>
      <w:r>
        <w:t xml:space="preserve"> </w:t>
      </w:r>
      <w:r>
        <w:t xml:space="preserve">automated and execute in parallel or near-real-time. Phases 3 through 6</w:t>
      </w:r>
      <w:r>
        <w:t xml:space="preserve"> </w:t>
      </w:r>
      <w:r>
        <w:t xml:space="preserve">introduce structured human oversight calibrated to the risk tier and</w:t>
      </w:r>
      <w:r>
        <w:t xml:space="preserve"> </w:t>
      </w:r>
      <w:r>
        <w:t xml:space="preserve">pathway determined in Phase 2.</w:t>
      </w:r>
    </w:p>
    <w:bookmarkStart w:id="33" w:name="seven-phase-architecture"/>
    <w:p>
      <w:pPr>
        <w:pStyle w:val="Heading3"/>
      </w:pPr>
      <w:r>
        <w:t xml:space="preserve">5.1 Seven-Phase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Description</w:t>
            </w:r>
          </w:p>
        </w:tc>
        <w:tc>
          <w:tcPr/>
          <w:p>
            <w:pPr>
              <w:pStyle w:val="Compact"/>
            </w:pPr>
            <w:r>
              <w:t xml:space="preserve">Task Types</w:t>
            </w:r>
          </w:p>
        </w:tc>
        <w:tc>
          <w:tcPr/>
          <w:p>
            <w:pPr>
              <w:pStyle w:val="Compact"/>
            </w:pPr>
            <w:r>
              <w:t xml:space="preserve">DMN Tables</w:t>
            </w:r>
          </w:p>
        </w:tc>
      </w:tr>
      <w:tr>
        <w:tc>
          <w:tcPr/>
          <w:p>
            <w:pPr>
              <w:pStyle w:val="Compact"/>
            </w:pPr>
            <w:r>
              <w:t xml:space="preserve">Phase 0</w:t>
            </w:r>
          </w:p>
        </w:tc>
        <w:tc>
          <w:tcPr/>
          <w:p>
            <w:pPr>
              <w:pStyle w:val="Compact"/>
            </w:pPr>
            <w:r>
              <w:t xml:space="preserve">Continuous Software Asset Intelligence. Always-on. Maintains the live Software Registry. Perpetual background process.</w:t>
            </w:r>
          </w:p>
        </w:tc>
        <w:tc>
          <w:tcPr/>
          <w:p>
            <w:pPr>
              <w:pStyle w:val="Compact"/>
            </w:pPr>
            <w:r>
              <w:t xml:space="preserve">A / DA</w:t>
            </w:r>
          </w:p>
        </w:tc>
        <w:tc>
          <w:tcPr/>
          <w:p>
            <w:pPr>
              <w:pStyle w:val="Compact"/>
            </w:pPr>
            <w:r>
              <w:t xml:space="preserve">—</w:t>
            </w:r>
          </w:p>
        </w:tc>
      </w:tr>
      <w:tr>
        <w:tc>
          <w:tcPr/>
          <w:p>
            <w:pPr>
              <w:pStyle w:val="Compact"/>
            </w:pPr>
            <w:r>
              <w:t xml:space="preserve">Phase 1</w:t>
            </w:r>
          </w:p>
        </w:tc>
        <w:tc>
          <w:tcPr/>
          <w:p>
            <w:pPr>
              <w:pStyle w:val="Compact"/>
            </w:pPr>
            <w:r>
              <w:t xml:space="preserve">Conversational AI Intake and Concurrent Risk Classification. Structured elicitation by bot; simultaneous 5-dimension risk assessment; PRD auto-generation; Jira/ADO story push. Mandatory capability reuse gate fires here.</w:t>
            </w:r>
          </w:p>
        </w:tc>
        <w:tc>
          <w:tcPr/>
          <w:p>
            <w:pPr>
              <w:pStyle w:val="Compact"/>
            </w:pPr>
            <w:r>
              <w:t xml:space="preserve">A / DA / H</w:t>
            </w:r>
          </w:p>
        </w:tc>
        <w:tc>
          <w:tcPr/>
          <w:p>
            <w:pPr>
              <w:pStyle w:val="Compact"/>
            </w:pPr>
            <w:r>
              <w:t xml:space="preserve">DMN-09, DMN-15</w:t>
            </w:r>
          </w:p>
        </w:tc>
      </w:tr>
      <w:tr>
        <w:tc>
          <w:tcPr/>
          <w:p>
            <w:pPr>
              <w:pStyle w:val="Compact"/>
            </w:pPr>
            <w:r>
              <w:t xml:space="preserve">Phase 2</w:t>
            </w:r>
          </w:p>
        </w:tc>
        <w:tc>
          <w:tcPr/>
          <w:p>
            <w:pPr>
              <w:pStyle w:val="Compact"/>
            </w:pPr>
            <w:r>
              <w:t xml:space="preserve">AI Routing Engine and Pathway Assignment. DMN-01 fires against structured data plus Registry results; composite score computed; pathway assigned; SLA clock started.</w:t>
            </w:r>
          </w:p>
        </w:tc>
        <w:tc>
          <w:tcPr/>
          <w:p>
            <w:pPr>
              <w:pStyle w:val="Compact"/>
            </w:pPr>
            <w:r>
              <w:t xml:space="preserve">A</w:t>
            </w:r>
          </w:p>
        </w:tc>
        <w:tc>
          <w:tcPr/>
          <w:p>
            <w:pPr>
              <w:pStyle w:val="Compact"/>
            </w:pPr>
            <w:r>
              <w:t xml:space="preserve">DMN-01, DMN-13</w:t>
            </w:r>
          </w:p>
        </w:tc>
      </w:tr>
      <w:tr>
        <w:tc>
          <w:tcPr/>
          <w:p>
            <w:pPr>
              <w:pStyle w:val="Compact"/>
            </w:pPr>
            <w:r>
              <w:t xml:space="preserve">Phase 3</w:t>
            </w:r>
          </w:p>
        </w:tc>
        <w:tc>
          <w:tcPr/>
          <w:p>
            <w:pPr>
              <w:pStyle w:val="Compact"/>
            </w:pPr>
            <w:r>
              <w:t xml:space="preserve">Product Management Review, Enrichment, and Portfolio Governance. Product Owner validates, enriches, deduplicates; compliance and risk validation performed early.</w:t>
            </w:r>
          </w:p>
        </w:tc>
        <w:tc>
          <w:tcPr/>
          <w:p>
            <w:pPr>
              <w:pStyle w:val="Compact"/>
            </w:pPr>
            <w:r>
              <w:t xml:space="preserve">H / DA</w:t>
            </w:r>
          </w:p>
        </w:tc>
        <w:tc>
          <w:tcPr/>
          <w:p>
            <w:pPr>
              <w:pStyle w:val="Compact"/>
            </w:pPr>
            <w:r>
              <w:t xml:space="preserve">DMN-02, DMN-03</w:t>
            </w:r>
          </w:p>
        </w:tc>
      </w:tr>
      <w:tr>
        <w:tc>
          <w:tcPr/>
          <w:p>
            <w:pPr>
              <w:pStyle w:val="Compact"/>
            </w:pPr>
            <w:r>
              <w:t xml:space="preserve">Phase 4</w:t>
            </w:r>
          </w:p>
        </w:tc>
        <w:tc>
          <w:tcPr/>
          <w:p>
            <w:pPr>
              <w:pStyle w:val="Compact"/>
            </w:pPr>
            <w:r>
              <w:t xml:space="preserve">Portfolio Prioritization, Go/No-Go, and Strategic Alignment. Portfolio Governance Council reviews DMN outputs; retains human override authority.</w:t>
            </w:r>
          </w:p>
        </w:tc>
        <w:tc>
          <w:tcPr/>
          <w:p>
            <w:pPr>
              <w:pStyle w:val="Compact"/>
            </w:pPr>
            <w:r>
              <w:t xml:space="preserve">H</w:t>
            </w:r>
          </w:p>
        </w:tc>
        <w:tc>
          <w:tcPr/>
          <w:p>
            <w:pPr>
              <w:pStyle w:val="Compact"/>
            </w:pPr>
            <w:r>
              <w:t xml:space="preserve">DMN-04, DMN-05</w:t>
            </w:r>
          </w:p>
        </w:tc>
      </w:tr>
      <w:tr>
        <w:tc>
          <w:tcPr/>
          <w:p>
            <w:pPr>
              <w:pStyle w:val="Compact"/>
            </w:pPr>
            <w:r>
              <w:t xml:space="preserve">Phase 5A</w:t>
            </w:r>
          </w:p>
        </w:tc>
        <w:tc>
          <w:tcPr/>
          <w:p>
            <w:pPr>
              <w:pStyle w:val="Compact"/>
            </w:pPr>
            <w:r>
              <w:t xml:space="preserve">Product Development Life Cycle (Build Pathway). Risk evaluation, HLDD, observability design, PoC, Technology and Risk gate, AI Governance, UAT, Go-to-Market.</w:t>
            </w:r>
          </w:p>
        </w:tc>
        <w:tc>
          <w:tcPr/>
          <w:p>
            <w:pPr>
              <w:pStyle w:val="Compact"/>
            </w:pPr>
            <w:r>
              <w:t xml:space="preserve">H / A / DA</w:t>
            </w:r>
          </w:p>
        </w:tc>
        <w:tc>
          <w:tcPr/>
          <w:p>
            <w:pPr>
              <w:pStyle w:val="Compact"/>
            </w:pPr>
            <w:r>
              <w:t xml:space="preserve">DMN-10, DMN-11, DMN-12</w:t>
            </w:r>
          </w:p>
        </w:tc>
      </w:tr>
      <w:tr>
        <w:tc>
          <w:tcPr/>
          <w:p>
            <w:pPr>
              <w:pStyle w:val="Compact"/>
            </w:pPr>
            <w:r>
              <w:t xml:space="preserve">Phase 5B</w:t>
            </w:r>
          </w:p>
        </w:tc>
        <w:tc>
          <w:tcPr/>
          <w:p>
            <w:pPr>
              <w:pStyle w:val="Compact"/>
            </w:pPr>
            <w:r>
              <w:t xml:space="preserve">Full TPRM-Integrated Procurement (Buy Pathway). Vendor risk tiering, RFP via Legal KG, sourcing event, RAE, contracting, vendor enablement, ongoing monitoring.</w:t>
            </w:r>
          </w:p>
        </w:tc>
        <w:tc>
          <w:tcPr/>
          <w:p>
            <w:pPr>
              <w:pStyle w:val="Compact"/>
            </w:pPr>
            <w:r>
              <w:t xml:space="preserve">H / A / DA</w:t>
            </w:r>
          </w:p>
        </w:tc>
        <w:tc>
          <w:tcPr/>
          <w:p>
            <w:pPr>
              <w:pStyle w:val="Compact"/>
            </w:pPr>
            <w:r>
              <w:t xml:space="preserve">DMN-06–DMN-08, DMN-14</w:t>
            </w:r>
          </w:p>
        </w:tc>
      </w:tr>
      <w:tr>
        <w:tc>
          <w:tcPr/>
          <w:p>
            <w:pPr>
              <w:pStyle w:val="Compact"/>
            </w:pPr>
            <w:r>
              <w:t xml:space="preserve">Phase 6</w:t>
            </w:r>
          </w:p>
        </w:tc>
        <w:tc>
          <w:tcPr/>
          <w:p>
            <w:pPr>
              <w:pStyle w:val="Compact"/>
            </w:pPr>
            <w:r>
              <w:t xml:space="preserve">Post-Deployment Observability, Telemetry, and Audit Governance. Immutable audit events; model drift and bias monitoring; regulatory reporting.</w:t>
            </w:r>
          </w:p>
        </w:tc>
        <w:tc>
          <w:tcPr/>
          <w:p>
            <w:pPr>
              <w:pStyle w:val="Compact"/>
            </w:pPr>
            <w:r>
              <w:t xml:space="preserve">A / DA / H</w:t>
            </w:r>
          </w:p>
        </w:tc>
        <w:tc>
          <w:tcPr/>
          <w:p>
            <w:pPr>
              <w:pStyle w:val="Compact"/>
            </w:pPr>
            <w:r>
              <w:t xml:space="preserve">DMN-12</w:t>
            </w:r>
          </w:p>
        </w:tc>
      </w:tr>
    </w:tbl>
    <w:bookmarkEnd w:id="33"/>
    <w:bookmarkStart w:id="34" w:name="bpmn-swim-lanes"/>
    <w:p>
      <w:pPr>
        <w:pStyle w:val="Heading3"/>
      </w:pPr>
      <w:r>
        <w:t xml:space="preserve">5.2 BPMN Swim Lanes</w:t>
      </w:r>
    </w:p>
    <w:p>
      <w:pPr>
        <w:pStyle w:val="FirstParagraph"/>
      </w:pPr>
      <w:r>
        <w:t xml:space="preserve">Each swim lane corresponds to a functional role grouping. All tasks</w:t>
      </w:r>
      <w:r>
        <w:t xml:space="preserve"> </w:t>
      </w:r>
      <w:r>
        <w:t xml:space="preserve">within a lane are assigned to the role(s) defined in Section 4. The swim</w:t>
      </w:r>
      <w:r>
        <w:t xml:space="preserve"> </w:t>
      </w:r>
      <w:r>
        <w:t xml:space="preserve">lane structure enables clear accountability and supports executable BPMN</w:t>
      </w:r>
      <w:r>
        <w:t xml:space="preserve"> </w:t>
      </w:r>
      <w:r>
        <w:t xml:space="preserve">generation.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Swim Lane</w:t>
            </w:r>
          </w:p>
        </w:tc>
        <w:tc>
          <w:tcPr/>
          <w:p>
            <w:pPr>
              <w:pStyle w:val="Compact"/>
            </w:pPr>
            <w:r>
              <w:t xml:space="preserve">Primary Phases</w:t>
            </w:r>
          </w:p>
        </w:tc>
        <w:tc>
          <w:tcPr/>
          <w:p>
            <w:pPr>
              <w:pStyle w:val="Compact"/>
            </w:pPr>
            <w:r>
              <w:t xml:space="preserve">Roles Assigned</w:t>
            </w:r>
          </w:p>
        </w:tc>
        <w:tc>
          <w:tcPr/>
          <w:p>
            <w:pPr>
              <w:pStyle w:val="Compact"/>
            </w:pPr>
            <w:r>
              <w:t xml:space="preserve">Key Functions</w:t>
            </w:r>
          </w:p>
        </w:tc>
      </w:tr>
      <w:tr>
        <w:tc>
          <w:tcPr/>
          <w:p>
            <w:pPr>
              <w:pStyle w:val="Compact"/>
            </w:pPr>
            <w:r>
              <w:t xml:space="preserve">Requestor</w:t>
            </w:r>
          </w:p>
        </w:tc>
        <w:tc>
          <w:tcPr/>
          <w:p>
            <w:pPr>
              <w:pStyle w:val="Compact"/>
            </w:pPr>
            <w:r>
              <w:t xml:space="preserve">Phase 0 (consumer), Phase 1</w:t>
            </w:r>
          </w:p>
        </w:tc>
        <w:tc>
          <w:tcPr/>
          <w:p>
            <w:pPr>
              <w:pStyle w:val="Compact"/>
            </w:pPr>
            <w:r>
              <w:t xml:space="preserve">Business Requestor</w:t>
            </w:r>
          </w:p>
        </w:tc>
        <w:tc>
          <w:tcPr/>
          <w:p>
            <w:pPr>
              <w:pStyle w:val="Compact"/>
            </w:pPr>
            <w:r>
              <w:t xml:space="preserve">Identifies gap; completes intake; monitors status; participates in UAT</w:t>
            </w:r>
          </w:p>
        </w:tc>
      </w:tr>
      <w:tr>
        <w:tc>
          <w:tcPr/>
          <w:p>
            <w:pPr>
              <w:pStyle w:val="Compact"/>
            </w:pPr>
            <w:r>
              <w:t xml:space="preserve">Product Management</w:t>
            </w:r>
          </w:p>
        </w:tc>
        <w:tc>
          <w:tcPr/>
          <w:p>
            <w:pPr>
              <w:pStyle w:val="Compact"/>
            </w:pPr>
            <w:r>
              <w:t xml:space="preserve">Phases 1–4</w:t>
            </w:r>
          </w:p>
        </w:tc>
        <w:tc>
          <w:tcPr/>
          <w:p>
            <w:pPr>
              <w:pStyle w:val="Compact"/>
            </w:pPr>
            <w:r>
              <w:t xml:space="preserve">Product Owner, Intake Bot</w:t>
            </w:r>
          </w:p>
        </w:tc>
        <w:tc>
          <w:tcPr/>
          <w:p>
            <w:pPr>
              <w:pStyle w:val="Compact"/>
            </w:pPr>
            <w:r>
              <w:t xml:space="preserve">PRD ownership; portfolio governance; backlog management</w:t>
            </w:r>
          </w:p>
        </w:tc>
      </w:tr>
      <w:tr>
        <w:tc>
          <w:tcPr/>
          <w:p>
            <w:pPr>
              <w:pStyle w:val="Compact"/>
            </w:pPr>
            <w:r>
              <w:t xml:space="preserve">Governance</w:t>
            </w:r>
          </w:p>
        </w:tc>
        <w:tc>
          <w:tcPr/>
          <w:p>
            <w:pPr>
              <w:pStyle w:val="Compact"/>
            </w:pPr>
            <w:r>
              <w:t xml:space="preserve">Phases 3–4</w:t>
            </w:r>
          </w:p>
        </w:tc>
        <w:tc>
          <w:tcPr/>
          <w:p>
            <w:pPr>
              <w:pStyle w:val="Compact"/>
            </w:pPr>
            <w:r>
              <w:t xml:space="preserve">Portfolio Governance Council, Senior Executive Sponsor</w:t>
            </w:r>
          </w:p>
        </w:tc>
        <w:tc>
          <w:tcPr/>
          <w:p>
            <w:pPr>
              <w:pStyle w:val="Compact"/>
            </w:pPr>
            <w:r>
              <w:t xml:space="preserve">Go/No-Go; Buy/Build; budget release; strategic sequencing</w:t>
            </w:r>
          </w:p>
        </w:tc>
      </w:tr>
      <w:tr>
        <w:tc>
          <w:tcPr/>
          <w:p>
            <w:pPr>
              <w:pStyle w:val="Compact"/>
            </w:pPr>
            <w:r>
              <w:t xml:space="preserve">Technology</w:t>
            </w:r>
          </w:p>
        </w:tc>
        <w:tc>
          <w:tcPr/>
          <w:p>
            <w:pPr>
              <w:pStyle w:val="Compact"/>
            </w:pPr>
            <w:r>
              <w:t xml:space="preserve">Phase 5A</w:t>
            </w:r>
          </w:p>
        </w:tc>
        <w:tc>
          <w:tcPr/>
          <w:p>
            <w:pPr>
              <w:pStyle w:val="Compact"/>
            </w:pPr>
            <w:r>
              <w:t xml:space="preserve">Enterprise Architect, Cybersecurity Lead, Program Management</w:t>
            </w:r>
          </w:p>
        </w:tc>
        <w:tc>
          <w:tcPr/>
          <w:p>
            <w:pPr>
              <w:pStyle w:val="Compact"/>
            </w:pPr>
            <w:r>
              <w:t xml:space="preserve">Requirements; design; PoC; development; testing; release</w:t>
            </w:r>
          </w:p>
        </w:tc>
      </w:tr>
      <w:tr>
        <w:tc>
          <w:tcPr/>
          <w:p>
            <w:pPr>
              <w:pStyle w:val="Compact"/>
            </w:pPr>
            <w:r>
              <w:t xml:space="preserve">Procurement and TPRM</w:t>
            </w:r>
          </w:p>
        </w:tc>
        <w:tc>
          <w:tcPr/>
          <w:p>
            <w:pPr>
              <w:pStyle w:val="Compact"/>
            </w:pPr>
            <w:r>
              <w:t xml:space="preserve">Phase 5B</w:t>
            </w:r>
          </w:p>
        </w:tc>
        <w:tc>
          <w:tcPr/>
          <w:p>
            <w:pPr>
              <w:pStyle w:val="Compact"/>
            </w:pPr>
            <w:r>
              <w:t xml:space="preserve">Procurement Lead, Third-Party Risk Manager, Legal Counsel</w:t>
            </w:r>
          </w:p>
        </w:tc>
        <w:tc>
          <w:tcPr/>
          <w:p>
            <w:pPr>
              <w:pStyle w:val="Compact"/>
            </w:pPr>
            <w:r>
              <w:t xml:space="preserve">Vendor sourcing; TPRM lifecycle; legal contracting; finance confirmation</w:t>
            </w:r>
          </w:p>
        </w:tc>
      </w:tr>
      <w:tr>
        <w:tc>
          <w:tcPr/>
          <w:p>
            <w:pPr>
              <w:pStyle w:val="Compact"/>
            </w:pPr>
            <w:r>
              <w:t xml:space="preserve">Risk and Compliance</w:t>
            </w:r>
          </w:p>
        </w:tc>
        <w:tc>
          <w:tcPr/>
          <w:p>
            <w:pPr>
              <w:pStyle w:val="Compact"/>
            </w:pPr>
            <w:r>
              <w:t xml:space="preserve">Phases 1–6</w:t>
            </w:r>
          </w:p>
        </w:tc>
        <w:tc>
          <w:tcPr/>
          <w:p>
            <w:pPr>
              <w:pStyle w:val="Compact"/>
            </w:pPr>
            <w:r>
              <w:t xml:space="preserve">AI/Model Risk Governance, Compliance Governance, Finance Controller</w:t>
            </w:r>
          </w:p>
        </w:tc>
        <w:tc>
          <w:tcPr/>
          <w:p>
            <w:pPr>
              <w:pStyle w:val="Compact"/>
            </w:pPr>
            <w:r>
              <w:t xml:space="preserve">Risk classification; compliance validation; funding confirmation</w:t>
            </w:r>
          </w:p>
        </w:tc>
      </w:tr>
      <w:tr>
        <w:tc>
          <w:tcPr/>
          <w:p>
            <w:pPr>
              <w:pStyle w:val="Compact"/>
            </w:pPr>
            <w:r>
              <w:t xml:space="preserve">Asset Management</w:t>
            </w:r>
          </w:p>
        </w:tc>
        <w:tc>
          <w:tcPr/>
          <w:p>
            <w:pPr>
              <w:pStyle w:val="Compact"/>
            </w:pPr>
            <w:r>
              <w:t xml:space="preserve">Phase 0, all phases</w:t>
            </w:r>
          </w:p>
        </w:tc>
        <w:tc>
          <w:tcPr/>
          <w:p>
            <w:pPr>
              <w:pStyle w:val="Compact"/>
            </w:pPr>
            <w:r>
              <w:t xml:space="preserve">Software Asset Manager, Knowledge Staging Agent</w:t>
            </w:r>
          </w:p>
        </w:tc>
        <w:tc>
          <w:tcPr/>
          <w:p>
            <w:pPr>
              <w:pStyle w:val="Compact"/>
            </w:pPr>
            <w:r>
              <w:t xml:space="preserve">Registry maintenance; reuse certification; knowledge staging</w:t>
            </w:r>
          </w:p>
        </w:tc>
      </w:tr>
      <w:tr>
        <w:tc>
          <w:tcPr/>
          <w:p>
            <w:pPr>
              <w:pStyle w:val="Compact"/>
            </w:pPr>
            <w:r>
              <w:t xml:space="preserve">System (Automated)</w:t>
            </w:r>
          </w:p>
        </w:tc>
        <w:tc>
          <w:tcPr/>
          <w:p>
            <w:pPr>
              <w:pStyle w:val="Compact"/>
            </w:pPr>
            <w:r>
              <w:t xml:space="preserve">Phases 0–2, 6</w:t>
            </w:r>
          </w:p>
        </w:tc>
        <w:tc>
          <w:tcPr/>
          <w:p>
            <w:pPr>
              <w:pStyle w:val="Compact"/>
            </w:pPr>
            <w:r>
              <w:t xml:space="preserve">Routing Engine, Intake Bot, Knowledge Staging Agent</w:t>
            </w:r>
          </w:p>
        </w:tc>
        <w:tc>
          <w:tcPr/>
          <w:p>
            <w:pPr>
              <w:pStyle w:val="Compact"/>
            </w:pPr>
            <w:r>
              <w:t xml:space="preserve">Automated execution; DMN rule invocation; SLA enforcement; audit logging</w:t>
            </w:r>
          </w:p>
        </w:tc>
      </w:tr>
      <w:tr>
        <w:tc>
          <w:tcPr/>
          <w:p>
            <w:pPr>
              <w:pStyle w:val="Compact"/>
            </w:pPr>
            <w:r>
              <w:t xml:space="preserve">Audit</w:t>
            </w:r>
          </w:p>
        </w:tc>
        <w:tc>
          <w:tcPr/>
          <w:p>
            <w:pPr>
              <w:pStyle w:val="Compact"/>
            </w:pPr>
            <w:r>
              <w:t xml:space="preserve">Phase 6</w:t>
            </w:r>
          </w:p>
        </w:tc>
        <w:tc>
          <w:tcPr/>
          <w:p>
            <w:pPr>
              <w:pStyle w:val="Compact"/>
            </w:pPr>
            <w:r>
              <w:t xml:space="preserve">Internal Audit</w:t>
            </w:r>
          </w:p>
        </w:tc>
        <w:tc>
          <w:tcPr/>
          <w:p>
            <w:pPr>
              <w:pStyle w:val="Compact"/>
            </w:pPr>
            <w:r>
              <w:t xml:space="preserve">Independent assurance; control gap reporting; regulatory exam readiness</w:t>
            </w:r>
          </w:p>
        </w:tc>
      </w:tr>
    </w:tbl>
    <w:bookmarkEnd w:id="34"/>
    <w:bookmarkStart w:id="35" w:name="pathway-decision-tree"/>
    <w:p>
      <w:pPr>
        <w:pStyle w:val="Heading3"/>
      </w:pPr>
      <w:r>
        <w:t xml:space="preserve">5.3 Pathway Decision Tree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Trigger Condition</w:t>
            </w:r>
          </w:p>
        </w:tc>
        <w:tc>
          <w:tcPr/>
          <w:p>
            <w:pPr>
              <w:pStyle w:val="Compact"/>
            </w:pPr>
            <w:r>
              <w:t xml:space="preserve">Phase Sequence</w:t>
            </w:r>
          </w:p>
        </w:tc>
        <w:tc>
          <w:tcPr/>
          <w:p>
            <w:pPr>
              <w:pStyle w:val="Compact"/>
            </w:pPr>
            <w:r>
              <w:t xml:space="preserve">Typical Cycle Time</w:t>
            </w:r>
          </w:p>
        </w:tc>
      </w:tr>
      <w:tr>
        <w:tc>
          <w:tcPr/>
          <w:p>
            <w:pPr>
              <w:pStyle w:val="Compact"/>
            </w:pPr>
            <w:r>
              <w:t xml:space="preserve">Fast-track</w:t>
            </w:r>
          </w:p>
        </w:tc>
        <w:tc>
          <w:tcPr/>
          <w:p>
            <w:pPr>
              <w:pStyle w:val="Compact"/>
            </w:pPr>
            <w:r>
              <w:t xml:space="preserve">Internal use; no AI; pre-approved vendor or existing license; low risk; non-production or non-sensitive</w:t>
            </w:r>
          </w:p>
        </w:tc>
        <w:tc>
          <w:tcPr/>
          <w:p>
            <w:pPr>
              <w:pStyle w:val="Compact"/>
            </w:pPr>
            <w:r>
              <w:t xml:space="preserve">P0 → P1 → P2 → abbreviated P3 → ITSM fulfillment</w:t>
            </w:r>
          </w:p>
        </w:tc>
        <w:tc>
          <w:tcPr/>
          <w:p>
            <w:pPr>
              <w:pStyle w:val="Compact"/>
            </w:pPr>
            <w:r>
              <w:t xml:space="preserve">1–5 business days</w:t>
            </w:r>
          </w:p>
        </w:tc>
      </w:tr>
      <w:tr>
        <w:tc>
          <w:tcPr/>
          <w:p>
            <w:pPr>
              <w:pStyle w:val="Compact"/>
            </w:pPr>
            <w:r>
              <w:t xml:space="preserve">Build</w:t>
            </w:r>
          </w:p>
        </w:tc>
        <w:tc>
          <w:tcPr/>
          <w:p>
            <w:pPr>
              <w:pStyle w:val="Compact"/>
            </w:pPr>
            <w:r>
              <w:t xml:space="preserve">Net-new internal development; no viable commercial solution; or IP/differentiation justifies internal build</w:t>
            </w:r>
          </w:p>
        </w:tc>
        <w:tc>
          <w:tcPr/>
          <w:p>
            <w:pPr>
              <w:pStyle w:val="Compact"/>
            </w:pPr>
            <w:r>
              <w:t xml:space="preserve">P0 → P1 → P2 → P3 → P4 → P5A → P6</w:t>
            </w:r>
          </w:p>
        </w:tc>
        <w:tc>
          <w:tcPr/>
          <w:p>
            <w:pPr>
              <w:pStyle w:val="Compact"/>
            </w:pPr>
            <w:r>
              <w:t xml:space="preserve">8–26 weeks</w:t>
            </w:r>
          </w:p>
        </w:tc>
      </w:tr>
      <w:tr>
        <w:tc>
          <w:tcPr/>
          <w:p>
            <w:pPr>
              <w:pStyle w:val="Compact"/>
            </w:pPr>
            <w:r>
              <w:t xml:space="preserve">Buy</w:t>
            </w:r>
          </w:p>
        </w:tc>
        <w:tc>
          <w:tcPr/>
          <w:p>
            <w:pPr>
              <w:pStyle w:val="Compact"/>
            </w:pPr>
            <w:r>
              <w:t xml:space="preserve">Commercial solution identified; vendor not yet contracted; standard procurement required</w:t>
            </w:r>
          </w:p>
        </w:tc>
        <w:tc>
          <w:tcPr/>
          <w:p>
            <w:pPr>
              <w:pStyle w:val="Compact"/>
            </w:pPr>
            <w:r>
              <w:t xml:space="preserve">P0 → P1 → P2 → P3 → P4 → P5B → P6</w:t>
            </w:r>
          </w:p>
        </w:tc>
        <w:tc>
          <w:tcPr/>
          <w:p>
            <w:pPr>
              <w:pStyle w:val="Compact"/>
            </w:pPr>
            <w:r>
              <w:t xml:space="preserve">6–16 weeks</w:t>
            </w:r>
          </w:p>
        </w:tc>
      </w:tr>
      <w:tr>
        <w:tc>
          <w:tcPr/>
          <w:p>
            <w:pPr>
              <w:pStyle w:val="Compact"/>
            </w:pPr>
            <w:r>
              <w:t xml:space="preserve">Hybrid</w:t>
            </w:r>
          </w:p>
        </w:tc>
        <w:tc>
          <w:tcPr/>
          <w:p>
            <w:pPr>
              <w:pStyle w:val="Compact"/>
            </w:pPr>
            <w:r>
              <w:t xml:space="preserve">Buy commercial core; build proprietary extension or integration layer</w:t>
            </w:r>
          </w:p>
        </w:tc>
        <w:tc>
          <w:tcPr/>
          <w:p>
            <w:pPr>
              <w:pStyle w:val="Compact"/>
            </w:pPr>
            <w:r>
              <w:t xml:space="preserve">P0 → P1 → P2 → P3 → P4 → P5A + P5B (parallel) → P6</w:t>
            </w:r>
          </w:p>
        </w:tc>
        <w:tc>
          <w:tcPr/>
          <w:p>
            <w:pPr>
              <w:pStyle w:val="Compact"/>
            </w:pPr>
            <w:r>
              <w:t xml:space="preserve">10–20 weeks</w:t>
            </w:r>
          </w:p>
        </w:tc>
      </w:tr>
    </w:tbl>
    <w:bookmarkEnd w:id="35"/>
    <w:bookmarkStart w:id="36" w:name="X3adbef00d31cc65dc34d519b66216ec92dc4f74"/>
    <w:p>
      <w:pPr>
        <w:pStyle w:val="Heading3"/>
      </w:pPr>
      <w:r>
        <w:t xml:space="preserve">Overall Lifecycle Summary with Best-Practice Cycle Times</w:t>
      </w:r>
    </w:p>
    <w:p>
      <w:pPr>
        <w:pStyle w:val="FirstParagraph"/>
      </w:pPr>
      <w:r>
        <w:t xml:space="preserve">This section establishes benchmark cycle times for the complete</w:t>
      </w:r>
      <w:r>
        <w:t xml:space="preserve"> </w:t>
      </w:r>
      <w:r>
        <w:t xml:space="preserve">integrated lifecycle. These targets reflect realistic best-practice</w:t>
      </w:r>
      <w:r>
        <w:t xml:space="preserve"> </w:t>
      </w:r>
      <w:r>
        <w:t xml:space="preserve">expectations assuming a streamlined, well-governed process with</w:t>
      </w:r>
      <w:r>
        <w:t xml:space="preserve"> </w:t>
      </w:r>
      <w:r>
        <w:t xml:space="preserve">automation applied where identified. The lifecycle integrates the AI</w:t>
      </w:r>
      <w:r>
        <w:t xml:space="preserve"> </w:t>
      </w:r>
      <w:r>
        <w:t xml:space="preserve">Governance BPMN workflow with the TPRM framework into a unified 8-phase</w:t>
      </w:r>
      <w:r>
        <w:t xml:space="preserve"> </w:t>
      </w:r>
      <w:r>
        <w:t xml:space="preserve">model.</w:t>
      </w:r>
    </w:p>
    <w:bookmarkEnd w:id="36"/>
    <w:bookmarkStart w:id="37" w:name="overall-lifecycle-summary"/>
    <w:p>
      <w:pPr>
        <w:pStyle w:val="Heading3"/>
      </w:pPr>
      <w:r>
        <w:t xml:space="preserve">4.1 Overall Lifecycle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Phase</w:t>
            </w:r>
          </w:p>
        </w:tc>
        <w:tc>
          <w:tcPr/>
          <w:p>
            <w:pPr>
              <w:pStyle w:val="Compact"/>
            </w:pPr>
            <w:r>
              <w:t xml:space="preserve">Std Risk</w:t>
            </w:r>
          </w:p>
        </w:tc>
        <w:tc>
          <w:tcPr/>
          <w:p>
            <w:pPr>
              <w:pStyle w:val="Compact"/>
            </w:pPr>
            <w:r>
              <w:t xml:space="preserve">High Risk</w:t>
            </w:r>
          </w:p>
        </w:tc>
        <w:tc>
          <w:tcPr/>
          <w:p>
            <w:pPr>
              <w:pStyle w:val="Compact"/>
            </w:pPr>
            <w:r>
              <w:t xml:space="preserve">Minimal Risk</w:t>
            </w:r>
          </w:p>
        </w:tc>
        <w:tc>
          <w:tcPr/>
          <w:p>
            <w:pPr>
              <w:pStyle w:val="Compact"/>
            </w:pPr>
            <w:r>
              <w:t xml:space="preserve">Activities</w:t>
            </w:r>
          </w:p>
        </w:tc>
        <w:tc>
          <w:tcPr/>
          <w:p>
            <w:pPr>
              <w:pStyle w:val="Compact"/>
            </w:pPr>
            <w:r>
              <w:t xml:space="preserve">Automation %</w:t>
            </w:r>
          </w:p>
        </w:tc>
      </w:tr>
      <w:tr>
        <w:tc>
          <w:tcPr/>
          <w:p>
            <w:pPr>
              <w:pStyle w:val="Compact"/>
            </w:pPr>
            <w:r>
              <w:t xml:space="preserve">1</w:t>
            </w:r>
          </w:p>
        </w:tc>
        <w:tc>
          <w:tcPr/>
          <w:p>
            <w:pPr>
              <w:pStyle w:val="Compact"/>
            </w:pPr>
            <w:r>
              <w:t xml:space="preserve">Initiation and Intake</w:t>
            </w:r>
          </w:p>
        </w:tc>
        <w:tc>
          <w:tcPr/>
          <w:p>
            <w:pPr>
              <w:pStyle w:val="Compact"/>
            </w:pPr>
            <w:r>
              <w:t xml:space="preserve">1–2 days</w:t>
            </w:r>
          </w:p>
        </w:tc>
        <w:tc>
          <w:tcPr/>
          <w:p>
            <w:pPr>
              <w:pStyle w:val="Compact"/>
            </w:pPr>
            <w:r>
              <w:t xml:space="preserve">1–2 days</w:t>
            </w:r>
          </w:p>
        </w:tc>
        <w:tc>
          <w:tcPr/>
          <w:p>
            <w:pPr>
              <w:pStyle w:val="Compact"/>
            </w:pPr>
            <w:r>
              <w:t xml:space="preserve">0.5 days</w:t>
            </w:r>
          </w:p>
        </w:tc>
        <w:tc>
          <w:tcPr/>
          <w:p>
            <w:pPr>
              <w:pStyle w:val="Compact"/>
            </w:pPr>
            <w:r>
              <w:t xml:space="preserve">6</w:t>
            </w:r>
          </w:p>
        </w:tc>
        <w:tc>
          <w:tcPr/>
          <w:p>
            <w:pPr>
              <w:pStyle w:val="Compact"/>
            </w:pPr>
            <w:r>
              <w:t xml:space="preserve">75%</w:t>
            </w:r>
          </w:p>
        </w:tc>
      </w:tr>
      <w:tr>
        <w:tc>
          <w:tcPr/>
          <w:p>
            <w:pPr>
              <w:pStyle w:val="Compact"/>
            </w:pPr>
            <w:r>
              <w:t xml:space="preserve">2</w:t>
            </w:r>
          </w:p>
        </w:tc>
        <w:tc>
          <w:tcPr/>
          <w:p>
            <w:pPr>
              <w:pStyle w:val="Compact"/>
            </w:pPr>
            <w:r>
              <w:t xml:space="preserve">Planning and Inherent Risk Scoping</w:t>
            </w:r>
          </w:p>
        </w:tc>
        <w:tc>
          <w:tcPr/>
          <w:p>
            <w:pPr>
              <w:pStyle w:val="Compact"/>
            </w:pPr>
            <w:r>
              <w:t xml:space="preserve">3–5 days</w:t>
            </w:r>
          </w:p>
        </w:tc>
        <w:tc>
          <w:tcPr/>
          <w:p>
            <w:pPr>
              <w:pStyle w:val="Compact"/>
            </w:pPr>
            <w:r>
              <w:t xml:space="preserve">5–7 days</w:t>
            </w:r>
          </w:p>
        </w:tc>
        <w:tc>
          <w:tcPr/>
          <w:p>
            <w:pPr>
              <w:pStyle w:val="Compact"/>
            </w:pPr>
            <w:r>
              <w:t xml:space="preserve">1–2 days</w:t>
            </w:r>
          </w:p>
        </w:tc>
        <w:tc>
          <w:tcPr/>
          <w:p>
            <w:pPr>
              <w:pStyle w:val="Compact"/>
            </w:pPr>
            <w:r>
              <w:t xml:space="preserve">7</w:t>
            </w:r>
          </w:p>
        </w:tc>
        <w:tc>
          <w:tcPr/>
          <w:p>
            <w:pPr>
              <w:pStyle w:val="Compact"/>
            </w:pPr>
            <w:r>
              <w:t xml:space="preserve">60%</w:t>
            </w:r>
          </w:p>
        </w:tc>
      </w:tr>
      <w:tr>
        <w:tc>
          <w:tcPr/>
          <w:p>
            <w:pPr>
              <w:pStyle w:val="Compact"/>
            </w:pPr>
            <w:r>
              <w:t xml:space="preserve">3</w:t>
            </w:r>
          </w:p>
        </w:tc>
        <w:tc>
          <w:tcPr/>
          <w:p>
            <w:pPr>
              <w:pStyle w:val="Compact"/>
            </w:pPr>
            <w:r>
              <w:t xml:space="preserve">Due Diligence and Swarm Evaluation</w:t>
            </w:r>
          </w:p>
        </w:tc>
        <w:tc>
          <w:tcPr/>
          <w:p>
            <w:pPr>
              <w:pStyle w:val="Compact"/>
            </w:pPr>
            <w:r>
              <w:t xml:space="preserve">5–8 days</w:t>
            </w:r>
          </w:p>
        </w:tc>
        <w:tc>
          <w:tcPr/>
          <w:p>
            <w:pPr>
              <w:pStyle w:val="Compact"/>
            </w:pPr>
            <w:r>
              <w:t xml:space="preserve">10–15 days</w:t>
            </w:r>
          </w:p>
        </w:tc>
        <w:tc>
          <w:tcPr/>
          <w:p>
            <w:pPr>
              <w:pStyle w:val="Compact"/>
            </w:pPr>
            <w:r>
              <w:t xml:space="preserve">2–3 days</w:t>
            </w:r>
          </w:p>
        </w:tc>
        <w:tc>
          <w:tcPr/>
          <w:p>
            <w:pPr>
              <w:pStyle w:val="Compact"/>
            </w:pPr>
            <w:r>
              <w:t xml:space="preserve">8</w:t>
            </w:r>
          </w:p>
        </w:tc>
        <w:tc>
          <w:tcPr/>
          <w:p>
            <w:pPr>
              <w:pStyle w:val="Compact"/>
            </w:pPr>
            <w:r>
              <w:t xml:space="preserve">70%</w:t>
            </w:r>
          </w:p>
        </w:tc>
      </w:tr>
      <w:tr>
        <w:tc>
          <w:tcPr/>
          <w:p>
            <w:pPr>
              <w:pStyle w:val="Compact"/>
            </w:pPr>
            <w:r>
              <w:t xml:space="preserve">4</w:t>
            </w:r>
          </w:p>
        </w:tc>
        <w:tc>
          <w:tcPr/>
          <w:p>
            <w:pPr>
              <w:pStyle w:val="Compact"/>
            </w:pPr>
            <w:r>
              <w:t xml:space="preserve">Governance Review and Approval</w:t>
            </w:r>
          </w:p>
        </w:tc>
        <w:tc>
          <w:tcPr/>
          <w:p>
            <w:pPr>
              <w:pStyle w:val="Compact"/>
            </w:pPr>
            <w:r>
              <w:t xml:space="preserve">3–5 days</w:t>
            </w:r>
          </w:p>
        </w:tc>
        <w:tc>
          <w:tcPr/>
          <w:p>
            <w:pPr>
              <w:pStyle w:val="Compact"/>
            </w:pPr>
            <w:r>
              <w:t xml:space="preserve">5–10 days</w:t>
            </w:r>
          </w:p>
        </w:tc>
        <w:tc>
          <w:tcPr/>
          <w:p>
            <w:pPr>
              <w:pStyle w:val="Compact"/>
            </w:pPr>
            <w:r>
              <w:t xml:space="preserve">1–2 days</w:t>
            </w:r>
          </w:p>
        </w:tc>
        <w:tc>
          <w:tcPr/>
          <w:p>
            <w:pPr>
              <w:pStyle w:val="Compact"/>
            </w:pPr>
            <w:r>
              <w:t xml:space="preserve">5</w:t>
            </w:r>
          </w:p>
        </w:tc>
        <w:tc>
          <w:tcPr/>
          <w:p>
            <w:pPr>
              <w:pStyle w:val="Compact"/>
            </w:pPr>
            <w:r>
              <w:t xml:space="preserve">40%</w:t>
            </w:r>
          </w:p>
        </w:tc>
      </w:tr>
      <w:tr>
        <w:tc>
          <w:tcPr/>
          <w:p>
            <w:pPr>
              <w:pStyle w:val="Compact"/>
            </w:pPr>
            <w:r>
              <w:t xml:space="preserve">5</w:t>
            </w:r>
          </w:p>
        </w:tc>
        <w:tc>
          <w:tcPr/>
          <w:p>
            <w:pPr>
              <w:pStyle w:val="Compact"/>
            </w:pPr>
            <w:r>
              <w:t xml:space="preserve">Contracting and Controls Implementation</w:t>
            </w:r>
          </w:p>
        </w:tc>
        <w:tc>
          <w:tcPr/>
          <w:p>
            <w:pPr>
              <w:pStyle w:val="Compact"/>
            </w:pPr>
            <w:r>
              <w:t xml:space="preserve">5–7 days</w:t>
            </w:r>
          </w:p>
        </w:tc>
        <w:tc>
          <w:tcPr/>
          <w:p>
            <w:pPr>
              <w:pStyle w:val="Compact"/>
            </w:pPr>
            <w:r>
              <w:t xml:space="preserve">7–10 days</w:t>
            </w:r>
          </w:p>
        </w:tc>
        <w:tc>
          <w:tcPr/>
          <w:p>
            <w:pPr>
              <w:pStyle w:val="Compact"/>
            </w:pPr>
            <w:r>
              <w:t xml:space="preserve">3–5 days</w:t>
            </w:r>
          </w:p>
        </w:tc>
        <w:tc>
          <w:tcPr/>
          <w:p>
            <w:pPr>
              <w:pStyle w:val="Compact"/>
            </w:pPr>
            <w:r>
              <w:t xml:space="preserve">6</w:t>
            </w:r>
          </w:p>
        </w:tc>
        <w:tc>
          <w:tcPr/>
          <w:p>
            <w:pPr>
              <w:pStyle w:val="Compact"/>
            </w:pPr>
            <w:r>
              <w:t xml:space="preserve">50%</w:t>
            </w:r>
          </w:p>
        </w:tc>
      </w:tr>
      <w:tr>
        <w:tc>
          <w:tcPr/>
          <w:p>
            <w:pPr>
              <w:pStyle w:val="Compact"/>
            </w:pPr>
            <w:r>
              <w:t xml:space="preserve">6</w:t>
            </w:r>
          </w:p>
        </w:tc>
        <w:tc>
          <w:tcPr/>
          <w:p>
            <w:pPr>
              <w:pStyle w:val="Compact"/>
            </w:pPr>
            <w:r>
              <w:t xml:space="preserve">SDLC Development and Testing</w:t>
            </w:r>
          </w:p>
        </w:tc>
        <w:tc>
          <w:tcPr/>
          <w:p>
            <w:pPr>
              <w:pStyle w:val="Compact"/>
            </w:pPr>
            <w:r>
              <w:t xml:space="preserve">10–15 days</w:t>
            </w:r>
          </w:p>
        </w:tc>
        <w:tc>
          <w:tcPr/>
          <w:p>
            <w:pPr>
              <w:pStyle w:val="Compact"/>
            </w:pPr>
            <w:r>
              <w:t xml:space="preserve">15–25 days</w:t>
            </w:r>
          </w:p>
        </w:tc>
        <w:tc>
          <w:tcPr/>
          <w:p>
            <w:pPr>
              <w:pStyle w:val="Compact"/>
            </w:pPr>
            <w:r>
              <w:t xml:space="preserve">5–10 days</w:t>
            </w:r>
          </w:p>
        </w:tc>
        <w:tc>
          <w:tcPr/>
          <w:p>
            <w:pPr>
              <w:pStyle w:val="Compact"/>
            </w:pPr>
            <w:r>
              <w:t xml:space="preserve">6</w:t>
            </w:r>
          </w:p>
        </w:tc>
        <w:tc>
          <w:tcPr/>
          <w:p>
            <w:pPr>
              <w:pStyle w:val="Compact"/>
            </w:pPr>
            <w:r>
              <w:t xml:space="preserve">55%</w:t>
            </w:r>
          </w:p>
        </w:tc>
      </w:tr>
      <w:tr>
        <w:tc>
          <w:tcPr/>
          <w:p>
            <w:pPr>
              <w:pStyle w:val="Compact"/>
            </w:pPr>
            <w:r>
              <w:t xml:space="preserve">7</w:t>
            </w:r>
          </w:p>
        </w:tc>
        <w:tc>
          <w:tcPr/>
          <w:p>
            <w:pPr>
              <w:pStyle w:val="Compact"/>
            </w:pPr>
            <w:r>
              <w:t xml:space="preserve">Deployment Decision and Go-Live</w:t>
            </w:r>
          </w:p>
        </w:tc>
        <w:tc>
          <w:tcPr/>
          <w:p>
            <w:pPr>
              <w:pStyle w:val="Compact"/>
            </w:pPr>
            <w:r>
              <w:t xml:space="preserve">2–3 days</w:t>
            </w:r>
          </w:p>
        </w:tc>
        <w:tc>
          <w:tcPr/>
          <w:p>
            <w:pPr>
              <w:pStyle w:val="Compact"/>
            </w:pPr>
            <w:r>
              <w:t xml:space="preserve">3–5 days</w:t>
            </w:r>
          </w:p>
        </w:tc>
        <w:tc>
          <w:tcPr/>
          <w:p>
            <w:pPr>
              <w:pStyle w:val="Compact"/>
            </w:pPr>
            <w:r>
              <w:t xml:space="preserve">1 day</w:t>
            </w:r>
          </w:p>
        </w:tc>
        <w:tc>
          <w:tcPr/>
          <w:p>
            <w:pPr>
              <w:pStyle w:val="Compact"/>
            </w:pPr>
            <w:r>
              <w:t xml:space="preserve">4</w:t>
            </w:r>
          </w:p>
        </w:tc>
        <w:tc>
          <w:tcPr/>
          <w:p>
            <w:pPr>
              <w:pStyle w:val="Compact"/>
            </w:pPr>
            <w:r>
              <w:t xml:space="preserve">60%</w:t>
            </w:r>
          </w:p>
        </w:tc>
      </w:tr>
      <w:tr>
        <w:tc>
          <w:tcPr/>
          <w:p>
            <w:pPr>
              <w:pStyle w:val="Compact"/>
            </w:pPr>
            <w:r>
              <w:t xml:space="preserve">8</w:t>
            </w:r>
          </w:p>
        </w:tc>
        <w:tc>
          <w:tcPr/>
          <w:p>
            <w:pPr>
              <w:pStyle w:val="Compact"/>
            </w:pPr>
            <w:r>
              <w:t xml:space="preserve">Production Operations, Monitoring &amp; Retirement</w:t>
            </w:r>
          </w:p>
        </w:tc>
        <w:tc>
          <w:tcPr/>
          <w:p>
            <w:pPr>
              <w:pStyle w:val="Compact"/>
            </w:pPr>
            <w:r>
              <w:t xml:space="preserve">Ongoing</w:t>
            </w:r>
          </w:p>
        </w:tc>
        <w:tc>
          <w:tcPr/>
          <w:p>
            <w:pPr>
              <w:pStyle w:val="Compact"/>
            </w:pPr>
            <w:r>
              <w:t xml:space="preserve">Ongoing</w:t>
            </w:r>
          </w:p>
        </w:tc>
        <w:tc>
          <w:tcPr/>
          <w:p>
            <w:pPr>
              <w:pStyle w:val="Compact"/>
            </w:pPr>
            <w:r>
              <w:t xml:space="preserve">Ongoing</w:t>
            </w:r>
          </w:p>
        </w:tc>
        <w:tc>
          <w:tcPr/>
          <w:p>
            <w:pPr>
              <w:pStyle w:val="Compact"/>
            </w:pPr>
            <w:r>
              <w:t xml:space="preserve">Ongoing</w:t>
            </w:r>
          </w:p>
        </w:tc>
        <w:tc>
          <w:tcPr/>
          <w:p>
            <w:pPr>
              <w:pStyle w:val="Compact"/>
            </w:pPr>
            <w:r>
              <w:t xml:space="preserve">65%</w:t>
            </w:r>
          </w:p>
        </w:tc>
      </w:tr>
      <w:tr>
        <w:tc>
          <w:tcPr/>
          <w:p>
            <w:pPr>
              <w:pStyle w:val="Compact"/>
            </w:pPr>
          </w:p>
        </w:tc>
        <w:tc>
          <w:tcPr/>
          <w:p>
            <w:pPr>
              <w:pStyle w:val="Compact"/>
            </w:pPr>
            <w:r>
              <w:t xml:space="preserve">TOTAL END-TO-END (Phases 1–7)</w:t>
            </w:r>
          </w:p>
        </w:tc>
        <w:tc>
          <w:tcPr/>
          <w:p>
            <w:pPr>
              <w:pStyle w:val="Compact"/>
            </w:pPr>
            <w:r>
              <w:t xml:space="preserve">29–45 days</w:t>
            </w:r>
          </w:p>
        </w:tc>
        <w:tc>
          <w:tcPr/>
          <w:p>
            <w:pPr>
              <w:pStyle w:val="Compact"/>
            </w:pPr>
            <w:r>
              <w:t xml:space="preserve">46–74 days</w:t>
            </w:r>
          </w:p>
        </w:tc>
        <w:tc>
          <w:tcPr/>
          <w:p>
            <w:pPr>
              <w:pStyle w:val="Compact"/>
            </w:pPr>
            <w:r>
              <w:t xml:space="preserve">13.5–23 days</w:t>
            </w:r>
          </w:p>
        </w:tc>
        <w:tc>
          <w:tcPr/>
          <w:p>
            <w:pPr>
              <w:pStyle w:val="Compact"/>
            </w:pPr>
            <w:r>
              <w:t xml:space="preserve">42</w:t>
            </w:r>
          </w:p>
        </w:tc>
        <w:tc>
          <w:tcPr/>
          <w:p>
            <w:pPr>
              <w:pStyle w:val="Compact"/>
            </w:pPr>
            <w:r>
              <w:t xml:space="preserve">~60% avg</w:t>
            </w:r>
          </w:p>
        </w:tc>
      </w:tr>
    </w:tbl>
    <w:p/>
    <w:tbl>
      <w:tblPr>
        <w:tblStyle w:val="Table"/>
        <w:tblW w:type="pct" w:w="5000"/>
        <w:tblLayout w:type="fixed"/>
        <w:tblLook w:firstRow="0" w:lastRow="0" w:firstColumn="0" w:lastColumn="0" w:noHBand="0" w:noVBand="0" w:val="0000"/>
      </w:tblPr>
      <w:tblGrid>
        <w:gridCol w:w="7920"/>
      </w:tblGrid>
      <w:tr>
        <w:tc>
          <w:tcPr/>
          <w:p>
            <w:pPr>
              <w:pStyle w:val="FirstParagraph"/>
            </w:pPr>
            <w:r>
              <w:rPr>
                <w:b/>
                <w:bCs/>
              </w:rPr>
              <w:t xml:space="preserve">Cycle Time Reduction Impact</w:t>
            </w:r>
          </w:p>
          <w:p>
            <w:pPr>
              <w:pStyle w:val="BodyText"/>
            </w:pPr>
            <w:r>
              <w:t xml:space="preserve">Industry average end-to-end onboarding: 90–120 days | Best-practice |</w:t>
            </w:r>
            <w:r>
              <w:t xml:space="preserve"> </w:t>
            </w:r>
            <w:r>
              <w:t xml:space="preserve">target (standard risk): 35–50 days | With full automation and |</w:t>
            </w:r>
            <w:r>
              <w:t xml:space="preserve"> </w:t>
            </w:r>
            <w:r>
              <w:t xml:space="preserve">front-loaded knowledge capture: 29–45 days | Reduction: 60–75% |</w:t>
            </w:r>
            <w:r>
              <w:t xml:space="preserve"> </w:t>
            </w:r>
            <w:r>
              <w:t xml:space="preserve">cycle time compression through deterministic knowledge foundations,</w:t>
            </w:r>
            <w:r>
              <w:t xml:space="preserve"> </w:t>
            </w:r>
            <w:r>
              <w:t xml:space="preserve">automation, and governance alignment</w:t>
            </w:r>
          </w:p>
        </w:tc>
      </w:tr>
    </w:tbl>
    <w:bookmarkEnd w:id="37"/>
    <w:bookmarkStart w:id="38" w:name="X5b3fe2aed746884670ffb1a48fe10812eed447f"/>
    <w:p>
      <w:pPr>
        <w:pStyle w:val="Heading3"/>
      </w:pPr>
      <w:r>
        <w:t xml:space="preserve">Phase-Level Task Detail with Cycle Times and SLAs</w:t>
      </w:r>
    </w:p>
    <w:bookmarkEnd w:id="38"/>
    <w:bookmarkStart w:id="39" w:name="X1ca9b69ba755d90f60307fff61c03118d8b215e"/>
    <w:p>
      <w:pPr>
        <w:pStyle w:val="Heading3"/>
      </w:pPr>
      <w:r>
        <w:t xml:space="preserve">4.2 Phase-Level Task Detail with Cycle Times and SLAs</w:t>
      </w:r>
    </w:p>
    <w:p>
      <w:pPr>
        <w:pStyle w:val="FirstParagraph"/>
      </w:pPr>
      <w:r>
        <w:rPr>
          <w:b/>
          <w:bCs/>
        </w:rPr>
        <w:t xml:space="preserve">Phase 1: Initiation and Intake (Target: 1–2 Business Days)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Task / Sub-Task</w:t>
            </w:r>
          </w:p>
        </w:tc>
        <w:tc>
          <w:tcPr/>
          <w:p>
            <w:pPr>
              <w:pStyle w:val="Compact"/>
            </w:pPr>
            <w:r>
              <w:t xml:space="preserve">Description</w:t>
            </w:r>
          </w:p>
        </w:tc>
        <w:tc>
          <w:tcPr/>
          <w:p>
            <w:pPr>
              <w:pStyle w:val="Compact"/>
            </w:pPr>
            <w:r>
              <w:t xml:space="preserve">Cycle Time</w:t>
            </w:r>
          </w:p>
        </w:tc>
        <w:tc>
          <w:tcPr/>
          <w:p>
            <w:pPr>
              <w:pStyle w:val="Compact"/>
            </w:pPr>
            <w:r>
              <w:t xml:space="preserve">Owner</w:t>
            </w:r>
          </w:p>
        </w:tc>
        <w:tc>
          <w:tcPr/>
          <w:p>
            <w:pPr>
              <w:pStyle w:val="Compact"/>
            </w:pPr>
            <w:r>
              <w:t xml:space="preserve">Automation</w:t>
            </w:r>
          </w:p>
        </w:tc>
        <w:tc>
          <w:tcPr/>
          <w:p>
            <w:pPr>
              <w:pStyle w:val="Compact"/>
            </w:pPr>
            <w:r>
              <w:t xml:space="preserve">SLA Target</w:t>
            </w:r>
          </w:p>
        </w:tc>
      </w:tr>
      <w:tr>
        <w:tc>
          <w:tcPr/>
          <w:p>
            <w:pPr>
              <w:pStyle w:val="Compact"/>
            </w:pPr>
            <w:r>
              <w:t xml:space="preserve">1.1 Intake Request Submission</w:t>
            </w:r>
          </w:p>
        </w:tc>
        <w:tc>
          <w:tcPr/>
          <w:p>
            <w:pPr>
              <w:pStyle w:val="Compact"/>
            </w:pPr>
            <w:r>
              <w:t xml:space="preserve">Requestor submits new idea, vendor, or AI use case through self-service portal with structured intake form</w:t>
            </w:r>
          </w:p>
        </w:tc>
        <w:tc>
          <w:tcPr/>
          <w:p>
            <w:pPr>
              <w:pStyle w:val="Compact"/>
            </w:pPr>
            <w:r>
              <w:t xml:space="preserve">0.5 days</w:t>
            </w:r>
          </w:p>
        </w:tc>
        <w:tc>
          <w:tcPr/>
          <w:p>
            <w:pPr>
              <w:pStyle w:val="Compact"/>
            </w:pPr>
            <w:r>
              <w:t xml:space="preserve">Requestor</w:t>
            </w:r>
          </w:p>
        </w:tc>
        <w:tc>
          <w:tcPr/>
          <w:p>
            <w:pPr>
              <w:pStyle w:val="Compact"/>
            </w:pPr>
            <w:r>
              <w:t xml:space="preserve">Full</w:t>
            </w:r>
          </w:p>
        </w:tc>
        <w:tc>
          <w:tcPr/>
          <w:p>
            <w:pPr>
              <w:pStyle w:val="Compact"/>
            </w:pPr>
            <w:r>
              <w:t xml:space="preserve">Same day</w:t>
            </w:r>
          </w:p>
        </w:tc>
      </w:tr>
      <w:tr>
        <w:tc>
          <w:tcPr/>
          <w:p>
            <w:pPr>
              <w:pStyle w:val="Compact"/>
            </w:pPr>
            <w:r>
              <w:t xml:space="preserve">1.1.1 Auto-populate known fields</w:t>
            </w:r>
          </w:p>
        </w:tc>
        <w:tc>
          <w:tcPr/>
          <w:p>
            <w:pPr>
              <w:pStyle w:val="Compact"/>
            </w:pPr>
            <w:r>
              <w:t xml:space="preserve">System pre-fills vendor data from existing registries, Trust Centers, and prior assessments</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r>
        <w:tc>
          <w:tcPr/>
          <w:p>
            <w:pPr>
              <w:pStyle w:val="Compact"/>
            </w:pPr>
            <w:r>
              <w:t xml:space="preserve">1.1.2 Validate data completeness</w:t>
            </w:r>
          </w:p>
        </w:tc>
        <w:tc>
          <w:tcPr/>
          <w:p>
            <w:pPr>
              <w:pStyle w:val="Compact"/>
            </w:pPr>
            <w:r>
              <w:t xml:space="preserve">BPM engine checks all required fields before advancing; returns to requestor if incomplete</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r>
        <w:tc>
          <w:tcPr/>
          <w:p>
            <w:pPr>
              <w:pStyle w:val="Compact"/>
            </w:pPr>
            <w:r>
              <w:t xml:space="preserve">1.2 Use Case Data Collection</w:t>
            </w:r>
          </w:p>
        </w:tc>
        <w:tc>
          <w:tcPr/>
          <w:p>
            <w:pPr>
              <w:pStyle w:val="Compact"/>
            </w:pPr>
            <w:r>
              <w:t xml:space="preserve">Capture use case description, business justification, data types involved, integration points, and expected user base</w:t>
            </w:r>
          </w:p>
        </w:tc>
        <w:tc>
          <w:tcPr/>
          <w:p>
            <w:pPr>
              <w:pStyle w:val="Compact"/>
            </w:pPr>
            <w:r>
              <w:t xml:space="preserve">0.5 days</w:t>
            </w:r>
          </w:p>
        </w:tc>
        <w:tc>
          <w:tcPr/>
          <w:p>
            <w:pPr>
              <w:pStyle w:val="Compact"/>
            </w:pPr>
            <w:r>
              <w:t xml:space="preserve">Requestor / Bus. Owner</w:t>
            </w:r>
          </w:p>
        </w:tc>
        <w:tc>
          <w:tcPr/>
          <w:p>
            <w:pPr>
              <w:pStyle w:val="Compact"/>
            </w:pPr>
            <w:r>
              <w:t xml:space="preserve">Partial</w:t>
            </w:r>
          </w:p>
        </w:tc>
        <w:tc>
          <w:tcPr/>
          <w:p>
            <w:pPr>
              <w:pStyle w:val="Compact"/>
            </w:pPr>
            <w:r>
              <w:t xml:space="preserve">1 day</w:t>
            </w:r>
          </w:p>
        </w:tc>
      </w:tr>
      <w:tr>
        <w:tc>
          <w:tcPr/>
          <w:p>
            <w:pPr>
              <w:pStyle w:val="Compact"/>
            </w:pPr>
            <w:r>
              <w:t xml:space="preserve">1.3 Preliminary Categorization</w:t>
            </w:r>
          </w:p>
        </w:tc>
        <w:tc>
          <w:tcPr/>
          <w:p>
            <w:pPr>
              <w:pStyle w:val="Compact"/>
            </w:pPr>
            <w:r>
              <w:t xml:space="preserve">System applies rule-based classification to determine initiative type (new vendor, AI use case, internal tool, etc.)</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r>
        <w:tc>
          <w:tcPr/>
          <w:p>
            <w:pPr>
              <w:pStyle w:val="Compact"/>
            </w:pPr>
            <w:r>
              <w:t xml:space="preserve">1.4 Routing Assignment</w:t>
            </w:r>
          </w:p>
        </w:tc>
        <w:tc>
          <w:tcPr/>
          <w:p>
            <w:pPr>
              <w:pStyle w:val="Compact"/>
            </w:pPr>
            <w:r>
              <w:t xml:space="preserve">BPM engine routes to appropriate workflow lane based on categorization; assigns initial case manager</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bl>
    <w:p>
      <w:pPr>
        <w:pStyle w:val="BodyText"/>
      </w:pPr>
      <w:r>
        <w:rPr>
          <w:b/>
          <w:bCs/>
        </w:rPr>
        <w:t xml:space="preserve">Phase 2: Planning and Inherent Risk Scoping (Target: 3–5 Business</w:t>
      </w:r>
      <w:r>
        <w:rPr>
          <w:b/>
          <w:bCs/>
        </w:rPr>
        <w:t xml:space="preserve"> </w:t>
      </w:r>
      <w:r>
        <w:rPr>
          <w:b/>
          <w:bCs/>
        </w:rPr>
        <w:t xml:space="preserve">Days)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Task / Sub-Task</w:t>
            </w:r>
          </w:p>
        </w:tc>
        <w:tc>
          <w:tcPr/>
          <w:p>
            <w:pPr>
              <w:pStyle w:val="Compact"/>
            </w:pPr>
            <w:r>
              <w:t xml:space="preserve">Description</w:t>
            </w:r>
          </w:p>
        </w:tc>
        <w:tc>
          <w:tcPr/>
          <w:p>
            <w:pPr>
              <w:pStyle w:val="Compact"/>
            </w:pPr>
            <w:r>
              <w:t xml:space="preserve">Cycle Time</w:t>
            </w:r>
          </w:p>
        </w:tc>
        <w:tc>
          <w:tcPr/>
          <w:p>
            <w:pPr>
              <w:pStyle w:val="Compact"/>
            </w:pPr>
            <w:r>
              <w:t xml:space="preserve">Owner</w:t>
            </w:r>
          </w:p>
        </w:tc>
        <w:tc>
          <w:tcPr/>
          <w:p>
            <w:pPr>
              <w:pStyle w:val="Compact"/>
            </w:pPr>
            <w:r>
              <w:t xml:space="preserve">Automation</w:t>
            </w:r>
          </w:p>
        </w:tc>
        <w:tc>
          <w:tcPr/>
          <w:p>
            <w:pPr>
              <w:pStyle w:val="Compact"/>
            </w:pPr>
            <w:r>
              <w:t xml:space="preserve">SLA Target</w:t>
            </w:r>
          </w:p>
        </w:tc>
      </w:tr>
      <w:tr>
        <w:tc>
          <w:tcPr/>
          <w:p>
            <w:pPr>
              <w:pStyle w:val="Compact"/>
            </w:pPr>
            <w:r>
              <w:t xml:space="preserve">2.1 Use Case Value Assessment</w:t>
            </w:r>
          </w:p>
        </w:tc>
        <w:tc>
          <w:tcPr/>
          <w:p>
            <w:pPr>
              <w:pStyle w:val="Compact"/>
            </w:pPr>
            <w:r>
              <w:t xml:space="preserve">Evaluate strategic alignment, business case strength, expected ROI, and organizational capacity</w:t>
            </w:r>
          </w:p>
        </w:tc>
        <w:tc>
          <w:tcPr/>
          <w:p>
            <w:pPr>
              <w:pStyle w:val="Compact"/>
            </w:pPr>
            <w:r>
              <w:t xml:space="preserve">1–2 days</w:t>
            </w:r>
          </w:p>
        </w:tc>
        <w:tc>
          <w:tcPr/>
          <w:p>
            <w:pPr>
              <w:pStyle w:val="Compact"/>
            </w:pPr>
            <w:r>
              <w:t xml:space="preserve">Business Owner / PMO</w:t>
            </w:r>
          </w:p>
        </w:tc>
        <w:tc>
          <w:tcPr/>
          <w:p>
            <w:pPr>
              <w:pStyle w:val="Compact"/>
            </w:pPr>
            <w:r>
              <w:t xml:space="preserve">Partial</w:t>
            </w:r>
          </w:p>
        </w:tc>
        <w:tc>
          <w:tcPr/>
          <w:p>
            <w:pPr>
              <w:pStyle w:val="Compact"/>
            </w:pPr>
            <w:r>
              <w:t xml:space="preserve">2 days</w:t>
            </w:r>
          </w:p>
        </w:tc>
      </w:tr>
      <w:tr>
        <w:tc>
          <w:tcPr/>
          <w:p>
            <w:pPr>
              <w:pStyle w:val="Compact"/>
            </w:pPr>
            <w:r>
              <w:t xml:space="preserve">2.1.1 Strategic alignment scoring</w:t>
            </w:r>
          </w:p>
        </w:tc>
        <w:tc>
          <w:tcPr/>
          <w:p>
            <w:pPr>
              <w:pStyle w:val="Compact"/>
            </w:pPr>
            <w:r>
              <w:t xml:space="preserve">Score against enterprise strategy pillars using weighted criteria matrix</w:t>
            </w:r>
          </w:p>
        </w:tc>
        <w:tc>
          <w:tcPr/>
          <w:p>
            <w:pPr>
              <w:pStyle w:val="Compact"/>
            </w:pPr>
            <w:r>
              <w:t xml:space="preserve">0.5 days</w:t>
            </w:r>
          </w:p>
        </w:tc>
        <w:tc>
          <w:tcPr/>
          <w:p>
            <w:pPr>
              <w:pStyle w:val="Compact"/>
            </w:pPr>
            <w:r>
              <w:t xml:space="preserve">PMO</w:t>
            </w:r>
          </w:p>
        </w:tc>
        <w:tc>
          <w:tcPr/>
          <w:p>
            <w:pPr>
              <w:pStyle w:val="Compact"/>
            </w:pPr>
            <w:r>
              <w:t xml:space="preserve">Full</w:t>
            </w:r>
          </w:p>
        </w:tc>
        <w:tc>
          <w:tcPr/>
          <w:p>
            <w:pPr>
              <w:pStyle w:val="Compact"/>
            </w:pPr>
            <w:r>
              <w:t xml:space="preserve">1 day</w:t>
            </w:r>
          </w:p>
        </w:tc>
      </w:tr>
      <w:tr>
        <w:tc>
          <w:tcPr/>
          <w:p>
            <w:pPr>
              <w:pStyle w:val="Compact"/>
            </w:pPr>
            <w:r>
              <w:t xml:space="preserve">2.1.2 Financial impact modeling</w:t>
            </w:r>
          </w:p>
        </w:tc>
        <w:tc>
          <w:tcPr/>
          <w:p>
            <w:pPr>
              <w:pStyle w:val="Compact"/>
            </w:pPr>
            <w:r>
              <w:t xml:space="preserve">Model expected value creation, cost of implementation, and payback period</w:t>
            </w:r>
          </w:p>
        </w:tc>
        <w:tc>
          <w:tcPr/>
          <w:p>
            <w:pPr>
              <w:pStyle w:val="Compact"/>
            </w:pPr>
            <w:r>
              <w:t xml:space="preserve">0.5 days</w:t>
            </w:r>
          </w:p>
        </w:tc>
        <w:tc>
          <w:tcPr/>
          <w:p>
            <w:pPr>
              <w:pStyle w:val="Compact"/>
            </w:pPr>
            <w:r>
              <w:t xml:space="preserve">Finance</w:t>
            </w:r>
          </w:p>
        </w:tc>
        <w:tc>
          <w:tcPr/>
          <w:p>
            <w:pPr>
              <w:pStyle w:val="Compact"/>
            </w:pPr>
            <w:r>
              <w:t xml:space="preserve">Partial</w:t>
            </w:r>
          </w:p>
        </w:tc>
        <w:tc>
          <w:tcPr/>
          <w:p>
            <w:pPr>
              <w:pStyle w:val="Compact"/>
            </w:pPr>
            <w:r>
              <w:t xml:space="preserve">1 day</w:t>
            </w:r>
          </w:p>
        </w:tc>
      </w:tr>
      <w:tr>
        <w:tc>
          <w:tcPr/>
          <w:p>
            <w:pPr>
              <w:pStyle w:val="Compact"/>
            </w:pPr>
            <w:r>
              <w:t xml:space="preserve">2.2 Initial Risk Assessment</w:t>
            </w:r>
          </w:p>
        </w:tc>
        <w:tc>
          <w:tcPr/>
          <w:p>
            <w:pPr>
              <w:pStyle w:val="Compact"/>
            </w:pPr>
            <w:r>
              <w:t xml:space="preserve">Calculate inherent risk score across dimensions: data sensitivity, regulatory exposure, operational criticality, AI complexity</w:t>
            </w:r>
          </w:p>
        </w:tc>
        <w:tc>
          <w:tcPr/>
          <w:p>
            <w:pPr>
              <w:pStyle w:val="Compact"/>
            </w:pPr>
            <w:r>
              <w:t xml:space="preserve">1–2 days</w:t>
            </w:r>
          </w:p>
        </w:tc>
        <w:tc>
          <w:tcPr/>
          <w:p>
            <w:pPr>
              <w:pStyle w:val="Compact"/>
            </w:pPr>
            <w:r>
              <w:t xml:space="preserve">Risk / TPRM Team</w:t>
            </w:r>
          </w:p>
        </w:tc>
        <w:tc>
          <w:tcPr/>
          <w:p>
            <w:pPr>
              <w:pStyle w:val="Compact"/>
            </w:pPr>
            <w:r>
              <w:t xml:space="preserve">Partial</w:t>
            </w:r>
          </w:p>
        </w:tc>
        <w:tc>
          <w:tcPr/>
          <w:p>
            <w:pPr>
              <w:pStyle w:val="Compact"/>
            </w:pPr>
            <w:r>
              <w:t xml:space="preserve">2 days</w:t>
            </w:r>
          </w:p>
        </w:tc>
      </w:tr>
      <w:tr>
        <w:tc>
          <w:tcPr/>
          <w:p>
            <w:pPr>
              <w:pStyle w:val="Compact"/>
            </w:pPr>
            <w:r>
              <w:t xml:space="preserve">2.2.1 Data classification</w:t>
            </w:r>
          </w:p>
        </w:tc>
        <w:tc>
          <w:tcPr/>
          <w:p>
            <w:pPr>
              <w:pStyle w:val="Compact"/>
            </w:pPr>
            <w:r>
              <w:t xml:space="preserve">Classify data types (PII, PHI, financial, proprietary) using automated tagging against data taxonomy</w:t>
            </w:r>
          </w:p>
        </w:tc>
        <w:tc>
          <w:tcPr/>
          <w:p>
            <w:pPr>
              <w:pStyle w:val="Compact"/>
            </w:pPr>
            <w:r>
              <w:t xml:space="preserve">0.25 days</w:t>
            </w:r>
          </w:p>
        </w:tc>
        <w:tc>
          <w:tcPr/>
          <w:p>
            <w:pPr>
              <w:pStyle w:val="Compact"/>
            </w:pPr>
            <w:r>
              <w:t xml:space="preserve">System / Data Governance</w:t>
            </w:r>
          </w:p>
        </w:tc>
        <w:tc>
          <w:tcPr/>
          <w:p>
            <w:pPr>
              <w:pStyle w:val="Compact"/>
            </w:pPr>
            <w:r>
              <w:t xml:space="preserve">Full</w:t>
            </w:r>
          </w:p>
        </w:tc>
        <w:tc>
          <w:tcPr/>
          <w:p>
            <w:pPr>
              <w:pStyle w:val="Compact"/>
            </w:pPr>
            <w:r>
              <w:t xml:space="preserve">Same day</w:t>
            </w:r>
          </w:p>
        </w:tc>
      </w:tr>
      <w:tr>
        <w:tc>
          <w:tcPr/>
          <w:p>
            <w:pPr>
              <w:pStyle w:val="Compact"/>
            </w:pPr>
            <w:r>
              <w:t xml:space="preserve">2.2.2 Regulatory mapping</w:t>
            </w:r>
          </w:p>
        </w:tc>
        <w:tc>
          <w:tcPr/>
          <w:p>
            <w:pPr>
              <w:pStyle w:val="Compact"/>
            </w:pPr>
            <w:r>
              <w:t xml:space="preserve">Map applicable regulations (GDPR, CCPA, DORA, SOX, GLBA) based on data types, geography, and industry</w:t>
            </w:r>
          </w:p>
        </w:tc>
        <w:tc>
          <w:tcPr/>
          <w:p>
            <w:pPr>
              <w:pStyle w:val="Compact"/>
            </w:pPr>
            <w:r>
              <w:t xml:space="preserve">0.25 days</w:t>
            </w:r>
          </w:p>
        </w:tc>
        <w:tc>
          <w:tcPr/>
          <w:p>
            <w:pPr>
              <w:pStyle w:val="Compact"/>
            </w:pPr>
            <w:r>
              <w:t xml:space="preserve">System / Compliance</w:t>
            </w:r>
          </w:p>
        </w:tc>
        <w:tc>
          <w:tcPr/>
          <w:p>
            <w:pPr>
              <w:pStyle w:val="Compact"/>
            </w:pPr>
            <w:r>
              <w:t xml:space="preserve">Full</w:t>
            </w:r>
          </w:p>
        </w:tc>
        <w:tc>
          <w:tcPr/>
          <w:p>
            <w:pPr>
              <w:pStyle w:val="Compact"/>
            </w:pPr>
            <w:r>
              <w:t xml:space="preserve">Same day</w:t>
            </w:r>
          </w:p>
        </w:tc>
      </w:tr>
      <w:tr>
        <w:tc>
          <w:tcPr/>
          <w:p>
            <w:pPr>
              <w:pStyle w:val="Compact"/>
            </w:pPr>
            <w:r>
              <w:t xml:space="preserve">2.2.3 Inherent risk scoring</w:t>
            </w:r>
          </w:p>
        </w:tc>
        <w:tc>
          <w:tcPr/>
          <w:p>
            <w:pPr>
              <w:pStyle w:val="Compact"/>
            </w:pPr>
            <w:r>
              <w:t xml:space="preserve">Apply weighted risk model to generate composite inherent risk score and tier classification</w:t>
            </w:r>
          </w:p>
        </w:tc>
        <w:tc>
          <w:tcPr/>
          <w:p>
            <w:pPr>
              <w:pStyle w:val="Compact"/>
            </w:pPr>
            <w:r>
              <w:t xml:space="preserve">0.25 days</w:t>
            </w:r>
          </w:p>
        </w:tc>
        <w:tc>
          <w:tcPr/>
          <w:p>
            <w:pPr>
              <w:pStyle w:val="Compact"/>
            </w:pPr>
            <w:r>
              <w:t xml:space="preserve">System</w:t>
            </w:r>
          </w:p>
        </w:tc>
        <w:tc>
          <w:tcPr/>
          <w:p>
            <w:pPr>
              <w:pStyle w:val="Compact"/>
            </w:pPr>
            <w:r>
              <w:t xml:space="preserve">Full</w:t>
            </w:r>
          </w:p>
        </w:tc>
        <w:tc>
          <w:tcPr/>
          <w:p>
            <w:pPr>
              <w:pStyle w:val="Compact"/>
            </w:pPr>
            <w:r>
              <w:t xml:space="preserve">Same day</w:t>
            </w:r>
          </w:p>
        </w:tc>
      </w:tr>
      <w:tr>
        <w:tc>
          <w:tcPr/>
          <w:p>
            <w:pPr>
              <w:pStyle w:val="Compact"/>
            </w:pPr>
            <w:r>
              <w:t xml:space="preserve">2.3 Risk Tier Assignment</w:t>
            </w:r>
          </w:p>
        </w:tc>
        <w:tc>
          <w:tcPr/>
          <w:p>
            <w:pPr>
              <w:pStyle w:val="Compact"/>
            </w:pPr>
            <w:r>
              <w:t xml:space="preserve">Classify as Minimal, Limited, High, or Unacceptable based on inherent risk score thresholds</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r>
        <w:tc>
          <w:tcPr/>
          <w:p>
            <w:pPr>
              <w:pStyle w:val="Compact"/>
            </w:pPr>
            <w:r>
              <w:t xml:space="preserve">2.4 Scope Definition</w:t>
            </w:r>
          </w:p>
        </w:tc>
        <w:tc>
          <w:tcPr/>
          <w:p>
            <w:pPr>
              <w:pStyle w:val="Compact"/>
            </w:pPr>
            <w:r>
              <w:t xml:space="preserve">Define assessment scope, identify required stakeholders, and establish phase-specific timelines</w:t>
            </w:r>
          </w:p>
        </w:tc>
        <w:tc>
          <w:tcPr/>
          <w:p>
            <w:pPr>
              <w:pStyle w:val="Compact"/>
            </w:pPr>
            <w:r>
              <w:t xml:space="preserve">0.5–1 day</w:t>
            </w:r>
          </w:p>
        </w:tc>
        <w:tc>
          <w:tcPr/>
          <w:p>
            <w:pPr>
              <w:pStyle w:val="Compact"/>
            </w:pPr>
            <w:r>
              <w:t xml:space="preserve">Case Manager</w:t>
            </w:r>
          </w:p>
        </w:tc>
        <w:tc>
          <w:tcPr/>
          <w:p>
            <w:pPr>
              <w:pStyle w:val="Compact"/>
            </w:pPr>
            <w:r>
              <w:t xml:space="preserve">Partial</w:t>
            </w:r>
          </w:p>
        </w:tc>
        <w:tc>
          <w:tcPr/>
          <w:p>
            <w:pPr>
              <w:pStyle w:val="Compact"/>
            </w:pPr>
            <w:r>
              <w:t xml:space="preserve">1 day</w:t>
            </w:r>
          </w:p>
        </w:tc>
      </w:tr>
      <w:tr>
        <w:tc>
          <w:tcPr/>
          <w:p>
            <w:pPr>
              <w:pStyle w:val="Compact"/>
            </w:pPr>
            <w:r>
              <w:t xml:space="preserve">2.5 Knowledge Harvesting Initiation</w:t>
            </w:r>
          </w:p>
        </w:tc>
        <w:tc>
          <w:tcPr/>
          <w:p>
            <w:pPr>
              <w:pStyle w:val="Compact"/>
            </w:pPr>
            <w:r>
              <w:t xml:space="preserve">Deploy front-loaded questionnaires and automated evidence requests to vendor and internal stakeholders simultaneously</w:t>
            </w:r>
          </w:p>
        </w:tc>
        <w:tc>
          <w:tcPr/>
          <w:p>
            <w:pPr>
              <w:pStyle w:val="Compact"/>
            </w:pPr>
            <w:r>
              <w:t xml:space="preserve">0.5 days</w:t>
            </w:r>
          </w:p>
        </w:tc>
        <w:tc>
          <w:tcPr/>
          <w:p>
            <w:pPr>
              <w:pStyle w:val="Compact"/>
            </w:pPr>
            <w:r>
              <w:t xml:space="preserve">System / Case Manager</w:t>
            </w:r>
          </w:p>
        </w:tc>
        <w:tc>
          <w:tcPr/>
          <w:p>
            <w:pPr>
              <w:pStyle w:val="Compact"/>
            </w:pPr>
            <w:r>
              <w:t xml:space="preserve">Full</w:t>
            </w:r>
          </w:p>
        </w:tc>
        <w:tc>
          <w:tcPr/>
          <w:p>
            <w:pPr>
              <w:pStyle w:val="Compact"/>
            </w:pPr>
            <w:r>
              <w:t xml:space="preserve">Same day</w:t>
            </w:r>
          </w:p>
        </w:tc>
      </w:tr>
    </w:tbl>
    <w:p>
      <w:pPr>
        <w:pStyle w:val="BodyText"/>
      </w:pPr>
      <w:r>
        <w:rPr>
          <w:b/>
          <w:bCs/>
        </w:rPr>
        <w:t xml:space="preserve">Phase 3: Due Diligence and Swarm Evaluation (Target: 5–8 Business</w:t>
      </w:r>
      <w:r>
        <w:rPr>
          <w:b/>
          <w:bCs/>
        </w:rPr>
        <w:t xml:space="preserve"> </w:t>
      </w:r>
      <w:r>
        <w:rPr>
          <w:b/>
          <w:bCs/>
        </w:rPr>
        <w:t xml:space="preserve">Days (Standard Risk))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Task / Sub-Task</w:t>
            </w:r>
          </w:p>
        </w:tc>
        <w:tc>
          <w:tcPr/>
          <w:p>
            <w:pPr>
              <w:pStyle w:val="Compact"/>
            </w:pPr>
            <w:r>
              <w:t xml:space="preserve">Description</w:t>
            </w:r>
          </w:p>
        </w:tc>
        <w:tc>
          <w:tcPr/>
          <w:p>
            <w:pPr>
              <w:pStyle w:val="Compact"/>
            </w:pPr>
            <w:r>
              <w:t xml:space="preserve">Cycle Time</w:t>
            </w:r>
          </w:p>
        </w:tc>
        <w:tc>
          <w:tcPr/>
          <w:p>
            <w:pPr>
              <w:pStyle w:val="Compact"/>
            </w:pPr>
            <w:r>
              <w:t xml:space="preserve">Owner</w:t>
            </w:r>
          </w:p>
        </w:tc>
        <w:tc>
          <w:tcPr/>
          <w:p>
            <w:pPr>
              <w:pStyle w:val="Compact"/>
            </w:pPr>
            <w:r>
              <w:t xml:space="preserve">Automation</w:t>
            </w:r>
          </w:p>
        </w:tc>
        <w:tc>
          <w:tcPr/>
          <w:p>
            <w:pPr>
              <w:pStyle w:val="Compact"/>
            </w:pPr>
            <w:r>
              <w:t xml:space="preserve">SLA Target</w:t>
            </w:r>
          </w:p>
        </w:tc>
      </w:tr>
      <w:tr>
        <w:tc>
          <w:tcPr/>
          <w:p>
            <w:pPr>
              <w:pStyle w:val="Compact"/>
            </w:pPr>
            <w:r>
              <w:t xml:space="preserve">3.1 Vendor Evidence Collection</w:t>
            </w:r>
          </w:p>
        </w:tc>
        <w:tc>
          <w:tcPr/>
          <w:p>
            <w:pPr>
              <w:pStyle w:val="Compact"/>
            </w:pPr>
            <w:r>
              <w:t xml:space="preserve">Collect SOC 2 reports, penetration test results, financial statements, insurance certificates, and compliance attestations</w:t>
            </w:r>
          </w:p>
        </w:tc>
        <w:tc>
          <w:tcPr/>
          <w:p>
            <w:pPr>
              <w:pStyle w:val="Compact"/>
            </w:pPr>
            <w:r>
              <w:t xml:space="preserve">2–4 days</w:t>
            </w:r>
          </w:p>
        </w:tc>
        <w:tc>
          <w:tcPr/>
          <w:p>
            <w:pPr>
              <w:pStyle w:val="Compact"/>
            </w:pPr>
            <w:r>
              <w:t xml:space="preserve">Vendor / Trust Center</w:t>
            </w:r>
          </w:p>
        </w:tc>
        <w:tc>
          <w:tcPr/>
          <w:p>
            <w:pPr>
              <w:pStyle w:val="Compact"/>
            </w:pPr>
            <w:r>
              <w:t xml:space="preserve">Partial</w:t>
            </w:r>
          </w:p>
        </w:tc>
        <w:tc>
          <w:tcPr/>
          <w:p>
            <w:pPr>
              <w:pStyle w:val="Compact"/>
            </w:pPr>
            <w:r>
              <w:t xml:space="preserve">3 days</w:t>
            </w:r>
          </w:p>
        </w:tc>
      </w:tr>
      <w:tr>
        <w:tc>
          <w:tcPr/>
          <w:p>
            <w:pPr>
              <w:pStyle w:val="Compact"/>
            </w:pPr>
            <w:r>
              <w:t xml:space="preserve">3.1.1 Trust Center integration</w:t>
            </w:r>
          </w:p>
        </w:tc>
        <w:tc>
          <w:tcPr/>
          <w:p>
            <w:pPr>
              <w:pStyle w:val="Compact"/>
            </w:pPr>
            <w:r>
              <w:t xml:space="preserve">Auto-ingest evidence from vendor Trust Centers (Vanta, TrustCloud, Drata) via API connections</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r>
        <w:tc>
          <w:tcPr/>
          <w:p>
            <w:pPr>
              <w:pStyle w:val="Compact"/>
            </w:pPr>
            <w:r>
              <w:t xml:space="preserve">3.1.2 Gap identification</w:t>
            </w:r>
          </w:p>
        </w:tc>
        <w:tc>
          <w:tcPr/>
          <w:p>
            <w:pPr>
              <w:pStyle w:val="Compact"/>
            </w:pPr>
            <w:r>
              <w:t xml:space="preserve">System identifies missing evidence items and auto-sends targeted requests to vendor</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r>
        <w:tc>
          <w:tcPr/>
          <w:p>
            <w:pPr>
              <w:pStyle w:val="Compact"/>
            </w:pPr>
            <w:r>
              <w:t xml:space="preserve">3.2 AI Agent Swarm Deployment</w:t>
            </w:r>
          </w:p>
        </w:tc>
        <w:tc>
          <w:tcPr/>
          <w:p>
            <w:pPr>
              <w:pStyle w:val="Compact"/>
            </w:pPr>
            <w:r>
              <w:t xml:space="preserve">Deploy Investigator, Compliance, and Checker agents to evaluate all collected evidence against policy requirements</w:t>
            </w:r>
          </w:p>
        </w:tc>
        <w:tc>
          <w:tcPr/>
          <w:p>
            <w:pPr>
              <w:pStyle w:val="Compact"/>
            </w:pPr>
            <w:r>
              <w:t xml:space="preserve">0.5–1 day</w:t>
            </w:r>
          </w:p>
        </w:tc>
        <w:tc>
          <w:tcPr/>
          <w:p>
            <w:pPr>
              <w:pStyle w:val="Compact"/>
            </w:pPr>
            <w:r>
              <w:t xml:space="preserve">System (Agent Swarm)</w:t>
            </w:r>
          </w:p>
        </w:tc>
        <w:tc>
          <w:tcPr/>
          <w:p>
            <w:pPr>
              <w:pStyle w:val="Compact"/>
            </w:pPr>
            <w:r>
              <w:t xml:space="preserve">Full</w:t>
            </w:r>
          </w:p>
        </w:tc>
        <w:tc>
          <w:tcPr/>
          <w:p>
            <w:pPr>
              <w:pStyle w:val="Compact"/>
            </w:pPr>
            <w:r>
              <w:t xml:space="preserve">1 day</w:t>
            </w:r>
          </w:p>
        </w:tc>
      </w:tr>
      <w:tr>
        <w:tc>
          <w:tcPr/>
          <w:p>
            <w:pPr>
              <w:pStyle w:val="Compact"/>
            </w:pPr>
            <w:r>
              <w:t xml:space="preserve">3.2.1 Investigator Agent analysis</w:t>
            </w:r>
          </w:p>
        </w:tc>
        <w:tc>
          <w:tcPr/>
          <w:p>
            <w:pPr>
              <w:pStyle w:val="Compact"/>
            </w:pPr>
            <w:r>
              <w:t xml:space="preserve">Parse SOC 2 reports, pen tests, and financial statements to extract evidence for each policy requirement</w:t>
            </w:r>
          </w:p>
        </w:tc>
        <w:tc>
          <w:tcPr/>
          <w:p>
            <w:pPr>
              <w:pStyle w:val="Compact"/>
            </w:pPr>
            <w:r>
              <w:t xml:space="preserve">&lt; 2 minutes per report</w:t>
            </w:r>
          </w:p>
        </w:tc>
        <w:tc>
          <w:tcPr/>
          <w:p>
            <w:pPr>
              <w:pStyle w:val="Compact"/>
            </w:pPr>
            <w:r>
              <w:t xml:space="preserve">Investigator Agent</w:t>
            </w:r>
          </w:p>
        </w:tc>
        <w:tc>
          <w:tcPr/>
          <w:p>
            <w:pPr>
              <w:pStyle w:val="Compact"/>
            </w:pPr>
            <w:r>
              <w:t xml:space="preserve">Full</w:t>
            </w:r>
          </w:p>
        </w:tc>
        <w:tc>
          <w:tcPr/>
          <w:p>
            <w:pPr>
              <w:pStyle w:val="Compact"/>
            </w:pPr>
            <w:r>
              <w:t xml:space="preserve">2 hours total</w:t>
            </w:r>
          </w:p>
        </w:tc>
      </w:tr>
      <w:tr>
        <w:tc>
          <w:tcPr/>
          <w:p>
            <w:pPr>
              <w:pStyle w:val="Compact"/>
            </w:pPr>
            <w:r>
              <w:t xml:space="preserve">3.2.2 Compliance Agent cross-reference</w:t>
            </w:r>
          </w:p>
        </w:tc>
        <w:tc>
          <w:tcPr/>
          <w:p>
            <w:pPr>
              <w:pStyle w:val="Compact"/>
            </w:pPr>
            <w:r>
              <w:t xml:space="preserve">Cross-reference findings against client standards and regulatory benchmarks (NIST, DORA, SOX)</w:t>
            </w:r>
          </w:p>
        </w:tc>
        <w:tc>
          <w:tcPr/>
          <w:p>
            <w:pPr>
              <w:pStyle w:val="Compact"/>
            </w:pPr>
            <w:r>
              <w:t xml:space="preserve">&lt; 5 minutes</w:t>
            </w:r>
          </w:p>
        </w:tc>
        <w:tc>
          <w:tcPr/>
          <w:p>
            <w:pPr>
              <w:pStyle w:val="Compact"/>
            </w:pPr>
            <w:r>
              <w:t xml:space="preserve">Compliance Agent</w:t>
            </w:r>
          </w:p>
        </w:tc>
        <w:tc>
          <w:tcPr/>
          <w:p>
            <w:pPr>
              <w:pStyle w:val="Compact"/>
            </w:pPr>
            <w:r>
              <w:t xml:space="preserve">Full</w:t>
            </w:r>
          </w:p>
        </w:tc>
        <w:tc>
          <w:tcPr/>
          <w:p>
            <w:pPr>
              <w:pStyle w:val="Compact"/>
            </w:pPr>
            <w:r>
              <w:t xml:space="preserve">2 hours total</w:t>
            </w:r>
          </w:p>
        </w:tc>
      </w:tr>
      <w:tr>
        <w:tc>
          <w:tcPr/>
          <w:p>
            <w:pPr>
              <w:pStyle w:val="Compact"/>
            </w:pPr>
            <w:r>
              <w:t xml:space="preserve">3.2.3 Checker Agent validation</w:t>
            </w:r>
          </w:p>
        </w:tc>
        <w:tc>
          <w:tcPr/>
          <w:p>
            <w:pPr>
              <w:pStyle w:val="Compact"/>
            </w:pPr>
            <w:r>
              <w:t xml:space="preserve">Validate reasoning of Investigator; log agreements, escalate disagreements with full context</w:t>
            </w:r>
          </w:p>
        </w:tc>
        <w:tc>
          <w:tcPr/>
          <w:p>
            <w:pPr>
              <w:pStyle w:val="Compact"/>
            </w:pPr>
            <w:r>
              <w:t xml:space="preserve">&lt; 5 minutes</w:t>
            </w:r>
          </w:p>
        </w:tc>
        <w:tc>
          <w:tcPr/>
          <w:p>
            <w:pPr>
              <w:pStyle w:val="Compact"/>
            </w:pPr>
            <w:r>
              <w:t xml:space="preserve">Checker Agent</w:t>
            </w:r>
          </w:p>
        </w:tc>
        <w:tc>
          <w:tcPr/>
          <w:p>
            <w:pPr>
              <w:pStyle w:val="Compact"/>
            </w:pPr>
            <w:r>
              <w:t xml:space="preserve">Full</w:t>
            </w:r>
          </w:p>
        </w:tc>
        <w:tc>
          <w:tcPr/>
          <w:p>
            <w:pPr>
              <w:pStyle w:val="Compact"/>
            </w:pPr>
            <w:r>
              <w:t xml:space="preserve">2 hours total</w:t>
            </w:r>
          </w:p>
        </w:tc>
      </w:tr>
      <w:tr>
        <w:tc>
          <w:tcPr/>
          <w:p>
            <w:pPr>
              <w:pStyle w:val="Compact"/>
            </w:pPr>
            <w:r>
              <w:t xml:space="preserve">3.3 Cybersecurity Assessment</w:t>
            </w:r>
          </w:p>
        </w:tc>
        <w:tc>
          <w:tcPr/>
          <w:p>
            <w:pPr>
              <w:pStyle w:val="Compact"/>
            </w:pPr>
            <w:r>
              <w:t xml:space="preserve">Evaluate encryption standards, identity management, vulnerability programs, and Nth-party risks</w:t>
            </w:r>
          </w:p>
        </w:tc>
        <w:tc>
          <w:tcPr/>
          <w:p>
            <w:pPr>
              <w:pStyle w:val="Compact"/>
            </w:pPr>
            <w:r>
              <w:t xml:space="preserve">2–3 days</w:t>
            </w:r>
          </w:p>
        </w:tc>
        <w:tc>
          <w:tcPr/>
          <w:p>
            <w:pPr>
              <w:pStyle w:val="Compact"/>
            </w:pPr>
            <w:r>
              <w:t xml:space="preserve">Cybersecurity Team</w:t>
            </w:r>
          </w:p>
        </w:tc>
        <w:tc>
          <w:tcPr/>
          <w:p>
            <w:pPr>
              <w:pStyle w:val="Compact"/>
            </w:pPr>
            <w:r>
              <w:t xml:space="preserve">Partial</w:t>
            </w:r>
          </w:p>
        </w:tc>
        <w:tc>
          <w:tcPr/>
          <w:p>
            <w:pPr>
              <w:pStyle w:val="Compact"/>
            </w:pPr>
            <w:r>
              <w:t xml:space="preserve">3 days</w:t>
            </w:r>
          </w:p>
        </w:tc>
      </w:tr>
      <w:tr>
        <w:tc>
          <w:tcPr/>
          <w:p>
            <w:pPr>
              <w:pStyle w:val="Compact"/>
            </w:pPr>
            <w:r>
              <w:t xml:space="preserve">3.3.1 External attack surface scan</w:t>
            </w:r>
          </w:p>
        </w:tc>
        <w:tc>
          <w:tcPr/>
          <w:p>
            <w:pPr>
              <w:pStyle w:val="Compact"/>
            </w:pPr>
            <w:r>
              <w:t xml:space="preserve">Automated scan of vendor external-facing infrastructure using CSM platforms (BitSight, SecurityScorecard)</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Same day</w:t>
            </w:r>
          </w:p>
        </w:tc>
      </w:tr>
      <w:tr>
        <w:tc>
          <w:tcPr/>
          <w:p>
            <w:pPr>
              <w:pStyle w:val="Compact"/>
            </w:pPr>
            <w:r>
              <w:t xml:space="preserve">3.3.2 Nth-party risk mapping</w:t>
            </w:r>
          </w:p>
        </w:tc>
        <w:tc>
          <w:tcPr/>
          <w:p>
            <w:pPr>
              <w:pStyle w:val="Compact"/>
            </w:pPr>
            <w:r>
              <w:t xml:space="preserve">Identify and assess vendor’s own critical sub-contractors and fourth-party dependencies</w:t>
            </w:r>
          </w:p>
        </w:tc>
        <w:tc>
          <w:tcPr/>
          <w:p>
            <w:pPr>
              <w:pStyle w:val="Compact"/>
            </w:pPr>
            <w:r>
              <w:t xml:space="preserve">1–2 days</w:t>
            </w:r>
          </w:p>
        </w:tc>
        <w:tc>
          <w:tcPr/>
          <w:p>
            <w:pPr>
              <w:pStyle w:val="Compact"/>
            </w:pPr>
            <w:r>
              <w:t xml:space="preserve">Cybersecurity / TPRM</w:t>
            </w:r>
          </w:p>
        </w:tc>
        <w:tc>
          <w:tcPr/>
          <w:p>
            <w:pPr>
              <w:pStyle w:val="Compact"/>
            </w:pPr>
            <w:r>
              <w:t xml:space="preserve">Partial</w:t>
            </w:r>
          </w:p>
        </w:tc>
        <w:tc>
          <w:tcPr/>
          <w:p>
            <w:pPr>
              <w:pStyle w:val="Compact"/>
            </w:pPr>
            <w:r>
              <w:t xml:space="preserve">2 days</w:t>
            </w:r>
          </w:p>
        </w:tc>
      </w:tr>
      <w:tr>
        <w:tc>
          <w:tcPr/>
          <w:p>
            <w:pPr>
              <w:pStyle w:val="Compact"/>
            </w:pPr>
            <w:r>
              <w:t xml:space="preserve">3.4 AI Model Risk Assessment</w:t>
            </w:r>
          </w:p>
        </w:tc>
        <w:tc>
          <w:tcPr/>
          <w:p>
            <w:pPr>
              <w:pStyle w:val="Compact"/>
            </w:pPr>
            <w:r>
              <w:t xml:space="preserve">For AI-related initiatives: evaluate model transparency, bias testing, explainability, and privacy protections</w:t>
            </w:r>
          </w:p>
        </w:tc>
        <w:tc>
          <w:tcPr/>
          <w:p>
            <w:pPr>
              <w:pStyle w:val="Compact"/>
            </w:pPr>
            <w:r>
              <w:t xml:space="preserve">2–3 days</w:t>
            </w:r>
          </w:p>
        </w:tc>
        <w:tc>
          <w:tcPr/>
          <w:p>
            <w:pPr>
              <w:pStyle w:val="Compact"/>
            </w:pPr>
            <w:r>
              <w:t xml:space="preserve">AI Governance Team</w:t>
            </w:r>
          </w:p>
        </w:tc>
        <w:tc>
          <w:tcPr/>
          <w:p>
            <w:pPr>
              <w:pStyle w:val="Compact"/>
            </w:pPr>
            <w:r>
              <w:t xml:space="preserve">Partial</w:t>
            </w:r>
          </w:p>
        </w:tc>
        <w:tc>
          <w:tcPr/>
          <w:p>
            <w:pPr>
              <w:pStyle w:val="Compact"/>
            </w:pPr>
            <w:r>
              <w:t xml:space="preserve">3 days</w:t>
            </w:r>
          </w:p>
        </w:tc>
      </w:tr>
      <w:tr>
        <w:tc>
          <w:tcPr/>
          <w:p>
            <w:pPr>
              <w:pStyle w:val="Compact"/>
            </w:pPr>
            <w:r>
              <w:t xml:space="preserve">3.4.1 Model card review</w:t>
            </w:r>
          </w:p>
        </w:tc>
        <w:tc>
          <w:tcPr/>
          <w:p>
            <w:pPr>
              <w:pStyle w:val="Compact"/>
            </w:pPr>
            <w:r>
              <w:t xml:space="preserve">Review vendor model cards for training data provenance, performance metrics, and known limitations</w:t>
            </w:r>
          </w:p>
        </w:tc>
        <w:tc>
          <w:tcPr/>
          <w:p>
            <w:pPr>
              <w:pStyle w:val="Compact"/>
            </w:pPr>
            <w:r>
              <w:t xml:space="preserve">0.5 days</w:t>
            </w:r>
          </w:p>
        </w:tc>
        <w:tc>
          <w:tcPr/>
          <w:p>
            <w:pPr>
              <w:pStyle w:val="Compact"/>
            </w:pPr>
            <w:r>
              <w:t xml:space="preserve">AI Governance</w:t>
            </w:r>
          </w:p>
        </w:tc>
        <w:tc>
          <w:tcPr/>
          <w:p>
            <w:pPr>
              <w:pStyle w:val="Compact"/>
            </w:pPr>
            <w:r>
              <w:t xml:space="preserve">Partial</w:t>
            </w:r>
          </w:p>
        </w:tc>
        <w:tc>
          <w:tcPr/>
          <w:p>
            <w:pPr>
              <w:pStyle w:val="Compact"/>
            </w:pPr>
            <w:r>
              <w:t xml:space="preserve">1 day</w:t>
            </w:r>
          </w:p>
        </w:tc>
      </w:tr>
      <w:tr>
        <w:tc>
          <w:tcPr/>
          <w:p>
            <w:pPr>
              <w:pStyle w:val="Compact"/>
            </w:pPr>
            <w:r>
              <w:t xml:space="preserve">3.4.2 Bias and fairness testing</w:t>
            </w:r>
          </w:p>
        </w:tc>
        <w:tc>
          <w:tcPr/>
          <w:p>
            <w:pPr>
              <w:pStyle w:val="Compact"/>
            </w:pPr>
            <w:r>
              <w:t xml:space="preserve">Execute bias detection tests across protected classes using standardized test suites</w:t>
            </w:r>
          </w:p>
        </w:tc>
        <w:tc>
          <w:tcPr/>
          <w:p>
            <w:pPr>
              <w:pStyle w:val="Compact"/>
            </w:pPr>
            <w:r>
              <w:t xml:space="preserve">1 day</w:t>
            </w:r>
          </w:p>
        </w:tc>
        <w:tc>
          <w:tcPr/>
          <w:p>
            <w:pPr>
              <w:pStyle w:val="Compact"/>
            </w:pPr>
            <w:r>
              <w:t xml:space="preserve">AI Governance / Data Science</w:t>
            </w:r>
          </w:p>
        </w:tc>
        <w:tc>
          <w:tcPr/>
          <w:p>
            <w:pPr>
              <w:pStyle w:val="Compact"/>
            </w:pPr>
            <w:r>
              <w:t xml:space="preserve">Partial</w:t>
            </w:r>
          </w:p>
        </w:tc>
        <w:tc>
          <w:tcPr/>
          <w:p>
            <w:pPr>
              <w:pStyle w:val="Compact"/>
            </w:pPr>
            <w:r>
              <w:t xml:space="preserve">2 days</w:t>
            </w:r>
          </w:p>
        </w:tc>
      </w:tr>
      <w:tr>
        <w:tc>
          <w:tcPr/>
          <w:p>
            <w:pPr>
              <w:pStyle w:val="Compact"/>
            </w:pPr>
            <w:r>
              <w:t xml:space="preserve">3.5 Financial Stability Review</w:t>
            </w:r>
          </w:p>
        </w:tc>
        <w:tc>
          <w:tcPr/>
          <w:p>
            <w:pPr>
              <w:pStyle w:val="Compact"/>
            </w:pPr>
            <w:r>
              <w:t xml:space="preserve">Review audited financial statements, liquidity ratios, credit ratings, and insurance coverage adequacy</w:t>
            </w:r>
          </w:p>
        </w:tc>
        <w:tc>
          <w:tcPr/>
          <w:p>
            <w:pPr>
              <w:pStyle w:val="Compact"/>
            </w:pPr>
            <w:r>
              <w:t xml:space="preserve">1–2 days</w:t>
            </w:r>
          </w:p>
        </w:tc>
        <w:tc>
          <w:tcPr/>
          <w:p>
            <w:pPr>
              <w:pStyle w:val="Compact"/>
            </w:pPr>
            <w:r>
              <w:t xml:space="preserve">Finance / Risk</w:t>
            </w:r>
          </w:p>
        </w:tc>
        <w:tc>
          <w:tcPr/>
          <w:p>
            <w:pPr>
              <w:pStyle w:val="Compact"/>
            </w:pPr>
            <w:r>
              <w:t xml:space="preserve">Partial</w:t>
            </w:r>
          </w:p>
        </w:tc>
        <w:tc>
          <w:tcPr/>
          <w:p>
            <w:pPr>
              <w:pStyle w:val="Compact"/>
            </w:pPr>
            <w:r>
              <w:t xml:space="preserve">2 days</w:t>
            </w:r>
          </w:p>
        </w:tc>
      </w:tr>
      <w:tr>
        <w:tc>
          <w:tcPr/>
          <w:p>
            <w:pPr>
              <w:pStyle w:val="Compact"/>
            </w:pPr>
            <w:r>
              <w:t xml:space="preserve">3.6 Operational Resilience Assessment</w:t>
            </w:r>
          </w:p>
        </w:tc>
        <w:tc>
          <w:tcPr/>
          <w:p>
            <w:pPr>
              <w:pStyle w:val="Compact"/>
            </w:pPr>
            <w:r>
              <w:t xml:space="preserve">Verify RTO/RPO metrics, BCDR testing evidence, incident response plans, and geographic redundancy</w:t>
            </w:r>
          </w:p>
        </w:tc>
        <w:tc>
          <w:tcPr/>
          <w:p>
            <w:pPr>
              <w:pStyle w:val="Compact"/>
            </w:pPr>
            <w:r>
              <w:t xml:space="preserve">1–2 days</w:t>
            </w:r>
          </w:p>
        </w:tc>
        <w:tc>
          <w:tcPr/>
          <w:p>
            <w:pPr>
              <w:pStyle w:val="Compact"/>
            </w:pPr>
            <w:r>
              <w:t xml:space="preserve">Operations / Risk</w:t>
            </w:r>
          </w:p>
        </w:tc>
        <w:tc>
          <w:tcPr/>
          <w:p>
            <w:pPr>
              <w:pStyle w:val="Compact"/>
            </w:pPr>
            <w:r>
              <w:t xml:space="preserve">Partial</w:t>
            </w:r>
          </w:p>
        </w:tc>
        <w:tc>
          <w:tcPr/>
          <w:p>
            <w:pPr>
              <w:pStyle w:val="Compact"/>
            </w:pPr>
            <w:r>
              <w:t xml:space="preserve">2 days</w:t>
            </w:r>
          </w:p>
        </w:tc>
      </w:tr>
    </w:tbl>
    <w:p>
      <w:pPr>
        <w:pStyle w:val="BodyText"/>
      </w:pPr>
      <w:r>
        <w:rPr>
          <w:b/>
          <w:bCs/>
        </w:rPr>
        <w:t xml:space="preserve">Phase 4: Governance Review and Approval (Target: 3–5 Business Days</w:t>
      </w:r>
      <w:r>
        <w:rPr>
          <w:b/>
          <w:bCs/>
        </w:rPr>
        <w:t xml:space="preserve"> </w:t>
      </w:r>
      <w:r>
        <w:rPr>
          <w:b/>
          <w:bCs/>
        </w:rPr>
        <w:t xml:space="preserve">(Standard Risk))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Task / Sub-Task</w:t>
            </w:r>
          </w:p>
        </w:tc>
        <w:tc>
          <w:tcPr/>
          <w:p>
            <w:pPr>
              <w:pStyle w:val="Compact"/>
            </w:pPr>
            <w:r>
              <w:t xml:space="preserve">Description</w:t>
            </w:r>
          </w:p>
        </w:tc>
        <w:tc>
          <w:tcPr/>
          <w:p>
            <w:pPr>
              <w:pStyle w:val="Compact"/>
            </w:pPr>
            <w:r>
              <w:t xml:space="preserve">Cycle Time</w:t>
            </w:r>
          </w:p>
        </w:tc>
        <w:tc>
          <w:tcPr/>
          <w:p>
            <w:pPr>
              <w:pStyle w:val="Compact"/>
            </w:pPr>
            <w:r>
              <w:t xml:space="preserve">Owner</w:t>
            </w:r>
          </w:p>
        </w:tc>
        <w:tc>
          <w:tcPr/>
          <w:p>
            <w:pPr>
              <w:pStyle w:val="Compact"/>
            </w:pPr>
            <w:r>
              <w:t xml:space="preserve">Automation</w:t>
            </w:r>
          </w:p>
        </w:tc>
        <w:tc>
          <w:tcPr/>
          <w:p>
            <w:pPr>
              <w:pStyle w:val="Compact"/>
            </w:pPr>
            <w:r>
              <w:t xml:space="preserve">SLA Target</w:t>
            </w:r>
          </w:p>
        </w:tc>
      </w:tr>
      <w:tr>
        <w:tc>
          <w:tcPr/>
          <w:p>
            <w:pPr>
              <w:pStyle w:val="Compact"/>
            </w:pPr>
            <w:r>
              <w:t xml:space="preserve">4.1 Assessment Package Assembly</w:t>
            </w:r>
          </w:p>
        </w:tc>
        <w:tc>
          <w:tcPr/>
          <w:p>
            <w:pPr>
              <w:pStyle w:val="Compact"/>
            </w:pPr>
            <w:r>
              <w:t xml:space="preserve">Compile all due diligence findings, agent swarm results, risk scores, and recommendations into governance review package</w:t>
            </w:r>
          </w:p>
        </w:tc>
        <w:tc>
          <w:tcPr/>
          <w:p>
            <w:pPr>
              <w:pStyle w:val="Compact"/>
            </w:pPr>
            <w:r>
              <w:t xml:space="preserve">0.5 days</w:t>
            </w:r>
          </w:p>
        </w:tc>
        <w:tc>
          <w:tcPr/>
          <w:p>
            <w:pPr>
              <w:pStyle w:val="Compact"/>
            </w:pPr>
            <w:r>
              <w:t xml:space="preserve">Case Manager / System</w:t>
            </w:r>
          </w:p>
        </w:tc>
        <w:tc>
          <w:tcPr/>
          <w:p>
            <w:pPr>
              <w:pStyle w:val="Compact"/>
            </w:pPr>
            <w:r>
              <w:t xml:space="preserve">Full</w:t>
            </w:r>
          </w:p>
        </w:tc>
        <w:tc>
          <w:tcPr/>
          <w:p>
            <w:pPr>
              <w:pStyle w:val="Compact"/>
            </w:pPr>
            <w:r>
              <w:t xml:space="preserve">Same day</w:t>
            </w:r>
          </w:p>
        </w:tc>
      </w:tr>
      <w:tr>
        <w:tc>
          <w:tcPr/>
          <w:p>
            <w:pPr>
              <w:pStyle w:val="Compact"/>
            </w:pPr>
            <w:r>
              <w:t xml:space="preserve">4.2 Risk-Tiered Review Routing</w:t>
            </w:r>
          </w:p>
        </w:tc>
        <w:tc>
          <w:tcPr/>
          <w:p>
            <w:pPr>
              <w:pStyle w:val="Compact"/>
            </w:pPr>
            <w:r>
              <w:t xml:space="preserve">Route to appropriate review body based on risk classification (Fast Path / Governance Committee / Advisory Board)</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r>
        <w:tc>
          <w:tcPr/>
          <w:p>
            <w:pPr>
              <w:pStyle w:val="Compact"/>
            </w:pPr>
            <w:r>
              <w:t xml:space="preserve">4.3 Governance Team Decision</w:t>
            </w:r>
          </w:p>
        </w:tc>
        <w:tc>
          <w:tcPr/>
          <w:p>
            <w:pPr>
              <w:pStyle w:val="Compact"/>
            </w:pPr>
            <w:r>
              <w:t xml:space="preserve">Review body evaluates package and renders Approved, Rejected, or Conditional Approval decision</w:t>
            </w:r>
          </w:p>
        </w:tc>
        <w:tc>
          <w:tcPr/>
          <w:p>
            <w:pPr>
              <w:pStyle w:val="Compact"/>
            </w:pPr>
            <w:r>
              <w:t xml:space="preserve">2–5 days</w:t>
            </w:r>
          </w:p>
        </w:tc>
        <w:tc>
          <w:tcPr/>
          <w:p>
            <w:pPr>
              <w:pStyle w:val="Compact"/>
            </w:pPr>
            <w:r>
              <w:t xml:space="preserve">Gov. Committee / Advisory Board</w:t>
            </w:r>
          </w:p>
        </w:tc>
        <w:tc>
          <w:tcPr/>
          <w:p>
            <w:pPr>
              <w:pStyle w:val="Compact"/>
            </w:pPr>
            <w:r>
              <w:t xml:space="preserve">Manual</w:t>
            </w:r>
          </w:p>
        </w:tc>
        <w:tc>
          <w:tcPr/>
          <w:p>
            <w:pPr>
              <w:pStyle w:val="Compact"/>
            </w:pPr>
            <w:r>
              <w:t xml:space="preserve">5 days max</w:t>
            </w:r>
          </w:p>
        </w:tc>
      </w:tr>
      <w:tr>
        <w:tc>
          <w:tcPr/>
          <w:p>
            <w:pPr>
              <w:pStyle w:val="Compact"/>
            </w:pPr>
            <w:r>
              <w:t xml:space="preserve">4.3.1 Minimal risk: Fast Path Review</w:t>
            </w:r>
          </w:p>
        </w:tc>
        <w:tc>
          <w:tcPr/>
          <w:p>
            <w:pPr>
              <w:pStyle w:val="Compact"/>
            </w:pPr>
            <w:r>
              <w:t xml:space="preserve">Automated checks plus single-reviewer approval for pre-approved criteria matches</w:t>
            </w:r>
          </w:p>
        </w:tc>
        <w:tc>
          <w:tcPr/>
          <w:p>
            <w:pPr>
              <w:pStyle w:val="Compact"/>
            </w:pPr>
            <w:r>
              <w:t xml:space="preserve">1–2 days</w:t>
            </w:r>
          </w:p>
        </w:tc>
        <w:tc>
          <w:tcPr/>
          <w:p>
            <w:pPr>
              <w:pStyle w:val="Compact"/>
            </w:pPr>
            <w:r>
              <w:t xml:space="preserve">Fast Path Reviewer</w:t>
            </w:r>
          </w:p>
        </w:tc>
        <w:tc>
          <w:tcPr/>
          <w:p>
            <w:pPr>
              <w:pStyle w:val="Compact"/>
            </w:pPr>
            <w:r>
              <w:t xml:space="preserve">Partial</w:t>
            </w:r>
          </w:p>
        </w:tc>
        <w:tc>
          <w:tcPr/>
          <w:p>
            <w:pPr>
              <w:pStyle w:val="Compact"/>
            </w:pPr>
            <w:r>
              <w:t xml:space="preserve">2 days</w:t>
            </w:r>
          </w:p>
        </w:tc>
      </w:tr>
      <w:tr>
        <w:tc>
          <w:tcPr/>
          <w:p>
            <w:pPr>
              <w:pStyle w:val="Compact"/>
            </w:pPr>
            <w:r>
              <w:t xml:space="preserve">4.3.2 Limited risk: Committee Review</w:t>
            </w:r>
          </w:p>
        </w:tc>
        <w:tc>
          <w:tcPr/>
          <w:p>
            <w:pPr>
              <w:pStyle w:val="Compact"/>
            </w:pPr>
            <w:r>
              <w:t xml:space="preserve">Full Governance Committee review with compliance cross-reference and stakeholder sign-off</w:t>
            </w:r>
          </w:p>
        </w:tc>
        <w:tc>
          <w:tcPr/>
          <w:p>
            <w:pPr>
              <w:pStyle w:val="Compact"/>
            </w:pPr>
            <w:r>
              <w:t xml:space="preserve">3–5 days</w:t>
            </w:r>
          </w:p>
        </w:tc>
        <w:tc>
          <w:tcPr/>
          <w:p>
            <w:pPr>
              <w:pStyle w:val="Compact"/>
            </w:pPr>
            <w:r>
              <w:t xml:space="preserve">Governance Committee</w:t>
            </w:r>
          </w:p>
        </w:tc>
        <w:tc>
          <w:tcPr/>
          <w:p>
            <w:pPr>
              <w:pStyle w:val="Compact"/>
            </w:pPr>
            <w:r>
              <w:t xml:space="preserve">Manual</w:t>
            </w:r>
          </w:p>
        </w:tc>
        <w:tc>
          <w:tcPr/>
          <w:p>
            <w:pPr>
              <w:pStyle w:val="Compact"/>
            </w:pPr>
            <w:r>
              <w:t xml:space="preserve">5 days</w:t>
            </w:r>
          </w:p>
        </w:tc>
      </w:tr>
      <w:tr>
        <w:tc>
          <w:tcPr/>
          <w:p>
            <w:pPr>
              <w:pStyle w:val="Compact"/>
            </w:pPr>
            <w:r>
              <w:t xml:space="preserve">4.3.3 High risk: Advisory Board Review</w:t>
            </w:r>
          </w:p>
        </w:tc>
        <w:tc>
          <w:tcPr/>
          <w:p>
            <w:pPr>
              <w:pStyle w:val="Compact"/>
            </w:pPr>
            <w:r>
              <w:t xml:space="preserve">Full AI Governance Advisory Board review with legal, compliance, risk, and security representation</w:t>
            </w:r>
          </w:p>
        </w:tc>
        <w:tc>
          <w:tcPr/>
          <w:p>
            <w:pPr>
              <w:pStyle w:val="Compact"/>
            </w:pPr>
            <w:r>
              <w:t xml:space="preserve">5–10 days</w:t>
            </w:r>
          </w:p>
        </w:tc>
        <w:tc>
          <w:tcPr/>
          <w:p>
            <w:pPr>
              <w:pStyle w:val="Compact"/>
            </w:pPr>
            <w:r>
              <w:t xml:space="preserve">AI Gov. Advisory Board</w:t>
            </w:r>
          </w:p>
        </w:tc>
        <w:tc>
          <w:tcPr/>
          <w:p>
            <w:pPr>
              <w:pStyle w:val="Compact"/>
            </w:pPr>
            <w:r>
              <w:t xml:space="preserve">Manual</w:t>
            </w:r>
          </w:p>
        </w:tc>
        <w:tc>
          <w:tcPr/>
          <w:p>
            <w:pPr>
              <w:pStyle w:val="Compact"/>
            </w:pPr>
            <w:r>
              <w:t xml:space="preserve">10 days</w:t>
            </w:r>
          </w:p>
        </w:tc>
      </w:tr>
      <w:tr>
        <w:tc>
          <w:tcPr/>
          <w:p>
            <w:pPr>
              <w:pStyle w:val="Compact"/>
            </w:pPr>
            <w:r>
              <w:t xml:space="preserve">4.4 Exception Management</w:t>
            </w:r>
          </w:p>
        </w:tc>
        <w:tc>
          <w:tcPr/>
          <w:p>
            <w:pPr>
              <w:pStyle w:val="Compact"/>
            </w:pPr>
            <w:r>
              <w:t xml:space="preserve">For borderline cases or escalations from lower tiers, route to AI Governance Advisory Board for exception review</w:t>
            </w:r>
          </w:p>
        </w:tc>
        <w:tc>
          <w:tcPr/>
          <w:p>
            <w:pPr>
              <w:pStyle w:val="Compact"/>
            </w:pPr>
            <w:r>
              <w:t xml:space="preserve">3–5 days</w:t>
            </w:r>
          </w:p>
        </w:tc>
        <w:tc>
          <w:tcPr/>
          <w:p>
            <w:pPr>
              <w:pStyle w:val="Compact"/>
            </w:pPr>
            <w:r>
              <w:t xml:space="preserve">AI Gov. Advisory Board</w:t>
            </w:r>
          </w:p>
        </w:tc>
        <w:tc>
          <w:tcPr/>
          <w:p>
            <w:pPr>
              <w:pStyle w:val="Compact"/>
            </w:pPr>
            <w:r>
              <w:t xml:space="preserve">Manual</w:t>
            </w:r>
          </w:p>
        </w:tc>
        <w:tc>
          <w:tcPr/>
          <w:p>
            <w:pPr>
              <w:pStyle w:val="Compact"/>
            </w:pPr>
            <w:r>
              <w:t xml:space="preserve">5 days</w:t>
            </w:r>
          </w:p>
        </w:tc>
      </w:tr>
      <w:tr>
        <w:tc>
          <w:tcPr/>
          <w:p>
            <w:pPr>
              <w:pStyle w:val="Compact"/>
            </w:pPr>
            <w:r>
              <w:t xml:space="preserve">4.5 Decision Documentation</w:t>
            </w:r>
          </w:p>
        </w:tc>
        <w:tc>
          <w:tcPr/>
          <w:p>
            <w:pPr>
              <w:pStyle w:val="Compact"/>
            </w:pPr>
            <w:r>
              <w:t xml:space="preserve">Record decision rationale, conditions, and required remediation items in audit trail</w:t>
            </w:r>
          </w:p>
        </w:tc>
        <w:tc>
          <w:tcPr/>
          <w:p>
            <w:pPr>
              <w:pStyle w:val="Compact"/>
            </w:pPr>
            <w:r>
              <w:t xml:space="preserve">0.25 days</w:t>
            </w:r>
          </w:p>
        </w:tc>
        <w:tc>
          <w:tcPr/>
          <w:p>
            <w:pPr>
              <w:pStyle w:val="Compact"/>
            </w:pPr>
            <w:r>
              <w:t xml:space="preserve">Case Manager / System</w:t>
            </w:r>
          </w:p>
        </w:tc>
        <w:tc>
          <w:tcPr/>
          <w:p>
            <w:pPr>
              <w:pStyle w:val="Compact"/>
            </w:pPr>
            <w:r>
              <w:t xml:space="preserve">Full</w:t>
            </w:r>
          </w:p>
        </w:tc>
        <w:tc>
          <w:tcPr/>
          <w:p>
            <w:pPr>
              <w:pStyle w:val="Compact"/>
            </w:pPr>
            <w:r>
              <w:t xml:space="preserve">Same day</w:t>
            </w:r>
          </w:p>
        </w:tc>
      </w:tr>
    </w:tbl>
    <w:p>
      <w:pPr>
        <w:pStyle w:val="BodyText"/>
      </w:pPr>
      <w:r>
        <w:rPr>
          <w:b/>
          <w:bCs/>
        </w:rPr>
        <w:t xml:space="preserve">Phase 5: Contracting and Controls Implementation (Target: 5–7</w:t>
      </w:r>
      <w:r>
        <w:rPr>
          <w:b/>
          <w:bCs/>
        </w:rPr>
        <w:t xml:space="preserve"> </w:t>
      </w:r>
      <w:r>
        <w:rPr>
          <w:b/>
          <w:bCs/>
        </w:rPr>
        <w:t xml:space="preserve">Business Days)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Task / Sub-Task</w:t>
            </w:r>
          </w:p>
        </w:tc>
        <w:tc>
          <w:tcPr/>
          <w:p>
            <w:pPr>
              <w:pStyle w:val="Compact"/>
            </w:pPr>
            <w:r>
              <w:t xml:space="preserve">Description</w:t>
            </w:r>
          </w:p>
        </w:tc>
        <w:tc>
          <w:tcPr/>
          <w:p>
            <w:pPr>
              <w:pStyle w:val="Compact"/>
            </w:pPr>
            <w:r>
              <w:t xml:space="preserve">Cycle Time</w:t>
            </w:r>
          </w:p>
        </w:tc>
        <w:tc>
          <w:tcPr/>
          <w:p>
            <w:pPr>
              <w:pStyle w:val="Compact"/>
            </w:pPr>
            <w:r>
              <w:t xml:space="preserve">Owner</w:t>
            </w:r>
          </w:p>
        </w:tc>
        <w:tc>
          <w:tcPr/>
          <w:p>
            <w:pPr>
              <w:pStyle w:val="Compact"/>
            </w:pPr>
            <w:r>
              <w:t xml:space="preserve">Automation</w:t>
            </w:r>
          </w:p>
        </w:tc>
        <w:tc>
          <w:tcPr/>
          <w:p>
            <w:pPr>
              <w:pStyle w:val="Compact"/>
            </w:pPr>
            <w:r>
              <w:t xml:space="preserve">SLA Target</w:t>
            </w:r>
          </w:p>
        </w:tc>
      </w:tr>
      <w:tr>
        <w:tc>
          <w:tcPr/>
          <w:p>
            <w:pPr>
              <w:pStyle w:val="Compact"/>
            </w:pPr>
            <w:r>
              <w:t xml:space="preserve">5.1 Contract Negotiation and Execution</w:t>
            </w:r>
          </w:p>
        </w:tc>
        <w:tc>
          <w:tcPr/>
          <w:p>
            <w:pPr>
              <w:pStyle w:val="Compact"/>
            </w:pPr>
            <w:r>
              <w:t xml:space="preserve">Negotiate MSA, DPA, SLAs, Right to Audit clauses, Step-in Rights, and breach notification timelines</w:t>
            </w:r>
          </w:p>
        </w:tc>
        <w:tc>
          <w:tcPr/>
          <w:p>
            <w:pPr>
              <w:pStyle w:val="Compact"/>
            </w:pPr>
            <w:r>
              <w:t xml:space="preserve">3–5 days</w:t>
            </w:r>
          </w:p>
        </w:tc>
        <w:tc>
          <w:tcPr/>
          <w:p>
            <w:pPr>
              <w:pStyle w:val="Compact"/>
            </w:pPr>
            <w:r>
              <w:t xml:space="preserve">Legal / Procurement</w:t>
            </w:r>
          </w:p>
        </w:tc>
        <w:tc>
          <w:tcPr/>
          <w:p>
            <w:pPr>
              <w:pStyle w:val="Compact"/>
            </w:pPr>
            <w:r>
              <w:t xml:space="preserve">Partial</w:t>
            </w:r>
          </w:p>
        </w:tc>
        <w:tc>
          <w:tcPr/>
          <w:p>
            <w:pPr>
              <w:pStyle w:val="Compact"/>
            </w:pPr>
            <w:r>
              <w:t xml:space="preserve">5 days</w:t>
            </w:r>
          </w:p>
        </w:tc>
      </w:tr>
      <w:tr>
        <w:tc>
          <w:tcPr/>
          <w:p>
            <w:pPr>
              <w:pStyle w:val="Compact"/>
            </w:pPr>
            <w:r>
              <w:t xml:space="preserve">5.1.1 Template matching</w:t>
            </w:r>
          </w:p>
        </w:tc>
        <w:tc>
          <w:tcPr/>
          <w:p>
            <w:pPr>
              <w:pStyle w:val="Compact"/>
            </w:pPr>
            <w:r>
              <w:t xml:space="preserve">Auto-select contract template based on vendor type, risk tier, data classification, and regulatory requirements</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Immediate</w:t>
            </w:r>
          </w:p>
        </w:tc>
      </w:tr>
      <w:tr>
        <w:tc>
          <w:tcPr/>
          <w:p>
            <w:pPr>
              <w:pStyle w:val="Compact"/>
            </w:pPr>
            <w:r>
              <w:t xml:space="preserve">5.1.2 Clause validation</w:t>
            </w:r>
          </w:p>
        </w:tc>
        <w:tc>
          <w:tcPr/>
          <w:p>
            <w:pPr>
              <w:pStyle w:val="Compact"/>
            </w:pPr>
            <w:r>
              <w:t xml:space="preserve">AI-assisted review of vendor redlines against mandatory clause library to identify non-negotiable gaps</w:t>
            </w:r>
          </w:p>
        </w:tc>
        <w:tc>
          <w:tcPr/>
          <w:p>
            <w:pPr>
              <w:pStyle w:val="Compact"/>
            </w:pPr>
            <w:r>
              <w:t xml:space="preserve">0.5 days</w:t>
            </w:r>
          </w:p>
        </w:tc>
        <w:tc>
          <w:tcPr/>
          <w:p>
            <w:pPr>
              <w:pStyle w:val="Compact"/>
            </w:pPr>
            <w:r>
              <w:t xml:space="preserve">Legal / System</w:t>
            </w:r>
          </w:p>
        </w:tc>
        <w:tc>
          <w:tcPr/>
          <w:p>
            <w:pPr>
              <w:pStyle w:val="Compact"/>
            </w:pPr>
            <w:r>
              <w:t xml:space="preserve">Partial</w:t>
            </w:r>
          </w:p>
        </w:tc>
        <w:tc>
          <w:tcPr/>
          <w:p>
            <w:pPr>
              <w:pStyle w:val="Compact"/>
            </w:pPr>
            <w:r>
              <w:t xml:space="preserve">1 day</w:t>
            </w:r>
          </w:p>
        </w:tc>
      </w:tr>
      <w:tr>
        <w:tc>
          <w:tcPr/>
          <w:p>
            <w:pPr>
              <w:pStyle w:val="Compact"/>
            </w:pPr>
            <w:r>
              <w:t xml:space="preserve">5.2 Remediation Task Assignment</w:t>
            </w:r>
          </w:p>
        </w:tc>
        <w:tc>
          <w:tcPr/>
          <w:p>
            <w:pPr>
              <w:pStyle w:val="Compact"/>
            </w:pPr>
            <w:r>
              <w:t xml:space="preserve">For any gaps identified during due diligence, assign remediation tasks with deadlines and tracking</w:t>
            </w:r>
          </w:p>
        </w:tc>
        <w:tc>
          <w:tcPr/>
          <w:p>
            <w:pPr>
              <w:pStyle w:val="Compact"/>
            </w:pPr>
            <w:r>
              <w:t xml:space="preserve">0.5 days</w:t>
            </w:r>
          </w:p>
        </w:tc>
        <w:tc>
          <w:tcPr/>
          <w:p>
            <w:pPr>
              <w:pStyle w:val="Compact"/>
            </w:pPr>
            <w:r>
              <w:t xml:space="preserve">Case Manager / BPM System</w:t>
            </w:r>
          </w:p>
        </w:tc>
        <w:tc>
          <w:tcPr/>
          <w:p>
            <w:pPr>
              <w:pStyle w:val="Compact"/>
            </w:pPr>
            <w:r>
              <w:t xml:space="preserve">Full</w:t>
            </w:r>
          </w:p>
        </w:tc>
        <w:tc>
          <w:tcPr/>
          <w:p>
            <w:pPr>
              <w:pStyle w:val="Compact"/>
            </w:pPr>
            <w:r>
              <w:t xml:space="preserve">Same day</w:t>
            </w:r>
          </w:p>
        </w:tc>
      </w:tr>
      <w:tr>
        <w:tc>
          <w:tcPr/>
          <w:p>
            <w:pPr>
              <w:pStyle w:val="Compact"/>
            </w:pPr>
            <w:r>
              <w:t xml:space="preserve">5.3 Controls Configuration</w:t>
            </w:r>
          </w:p>
        </w:tc>
        <w:tc>
          <w:tcPr/>
          <w:p>
            <w:pPr>
              <w:pStyle w:val="Compact"/>
            </w:pPr>
            <w:r>
              <w:t xml:space="preserve">Configure all required controls based on risk tier and governance requirements; map to evidence collection mechanisms</w:t>
            </w:r>
          </w:p>
        </w:tc>
        <w:tc>
          <w:tcPr/>
          <w:p>
            <w:pPr>
              <w:pStyle w:val="Compact"/>
            </w:pPr>
            <w:r>
              <w:t xml:space="preserve">1–2 days</w:t>
            </w:r>
          </w:p>
        </w:tc>
        <w:tc>
          <w:tcPr/>
          <w:p>
            <w:pPr>
              <w:pStyle w:val="Compact"/>
            </w:pPr>
            <w:r>
              <w:t xml:space="preserve">Security / Compliance / IT</w:t>
            </w:r>
          </w:p>
        </w:tc>
        <w:tc>
          <w:tcPr/>
          <w:p>
            <w:pPr>
              <w:pStyle w:val="Compact"/>
            </w:pPr>
            <w:r>
              <w:t xml:space="preserve">Partial</w:t>
            </w:r>
          </w:p>
        </w:tc>
        <w:tc>
          <w:tcPr/>
          <w:p>
            <w:pPr>
              <w:pStyle w:val="Compact"/>
            </w:pPr>
            <w:r>
              <w:t xml:space="preserve">2 days</w:t>
            </w:r>
          </w:p>
        </w:tc>
      </w:tr>
      <w:tr>
        <w:tc>
          <w:tcPr/>
          <w:p>
            <w:pPr>
              <w:pStyle w:val="Compact"/>
            </w:pPr>
            <w:r>
              <w:t xml:space="preserve">5.3.1 Control mapping to frameworks</w:t>
            </w:r>
          </w:p>
        </w:tc>
        <w:tc>
          <w:tcPr/>
          <w:p>
            <w:pPr>
              <w:pStyle w:val="Compact"/>
            </w:pPr>
            <w:r>
              <w:t xml:space="preserve">Map configured controls to NIST CSF 2.0, ISO 27001, DORA, and FS AI RMF control objectives</w:t>
            </w:r>
          </w:p>
        </w:tc>
        <w:tc>
          <w:tcPr/>
          <w:p>
            <w:pPr>
              <w:pStyle w:val="Compact"/>
            </w:pPr>
            <w:r>
              <w:t xml:space="preserve">0.5 days</w:t>
            </w:r>
          </w:p>
        </w:tc>
        <w:tc>
          <w:tcPr/>
          <w:p>
            <w:pPr>
              <w:pStyle w:val="Compact"/>
            </w:pPr>
            <w:r>
              <w:t xml:space="preserve">System / Compliance</w:t>
            </w:r>
          </w:p>
        </w:tc>
        <w:tc>
          <w:tcPr/>
          <w:p>
            <w:pPr>
              <w:pStyle w:val="Compact"/>
            </w:pPr>
            <w:r>
              <w:t xml:space="preserve">Full</w:t>
            </w:r>
          </w:p>
        </w:tc>
        <w:tc>
          <w:tcPr/>
          <w:p>
            <w:pPr>
              <w:pStyle w:val="Compact"/>
            </w:pPr>
            <w:r>
              <w:t xml:space="preserve">Same day</w:t>
            </w:r>
          </w:p>
        </w:tc>
      </w:tr>
      <w:tr>
        <w:tc>
          <w:tcPr/>
          <w:p>
            <w:pPr>
              <w:pStyle w:val="Compact"/>
            </w:pPr>
            <w:r>
              <w:t xml:space="preserve">5.3.2 Evidence collection setup</w:t>
            </w:r>
          </w:p>
        </w:tc>
        <w:tc>
          <w:tcPr/>
          <w:p>
            <w:pPr>
              <w:pStyle w:val="Compact"/>
            </w:pPr>
            <w:r>
              <w:t xml:space="preserve">Configure automated evidence collection cadence and sources for each control</w:t>
            </w:r>
          </w:p>
        </w:tc>
        <w:tc>
          <w:tcPr/>
          <w:p>
            <w:pPr>
              <w:pStyle w:val="Compact"/>
            </w:pPr>
            <w:r>
              <w:t xml:space="preserve">0.5 days</w:t>
            </w:r>
          </w:p>
        </w:tc>
        <w:tc>
          <w:tcPr/>
          <w:p>
            <w:pPr>
              <w:pStyle w:val="Compact"/>
            </w:pPr>
            <w:r>
              <w:t xml:space="preserve">System / Security</w:t>
            </w:r>
          </w:p>
        </w:tc>
        <w:tc>
          <w:tcPr/>
          <w:p>
            <w:pPr>
              <w:pStyle w:val="Compact"/>
            </w:pPr>
            <w:r>
              <w:t xml:space="preserve">Full</w:t>
            </w:r>
          </w:p>
        </w:tc>
        <w:tc>
          <w:tcPr/>
          <w:p>
            <w:pPr>
              <w:pStyle w:val="Compact"/>
            </w:pPr>
            <w:r>
              <w:t xml:space="preserve">Same day</w:t>
            </w:r>
          </w:p>
        </w:tc>
      </w:tr>
      <w:tr>
        <w:tc>
          <w:tcPr/>
          <w:p>
            <w:pPr>
              <w:pStyle w:val="Compact"/>
            </w:pPr>
            <w:r>
              <w:t xml:space="preserve">5.4 Knowledge Base Update</w:t>
            </w:r>
          </w:p>
        </w:tc>
        <w:tc>
          <w:tcPr/>
          <w:p>
            <w:pPr>
              <w:pStyle w:val="Compact"/>
            </w:pPr>
            <w:r>
              <w:t xml:space="preserve">Update deterministic knowledge base with vendor profile, controls, SLAs, and governance decision context</w:t>
            </w:r>
          </w:p>
        </w:tc>
        <w:tc>
          <w:tcPr/>
          <w:p>
            <w:pPr>
              <w:pStyle w:val="Compact"/>
            </w:pPr>
            <w:r>
              <w:t xml:space="preserve">0.25 days</w:t>
            </w:r>
          </w:p>
        </w:tc>
        <w:tc>
          <w:tcPr/>
          <w:p>
            <w:pPr>
              <w:pStyle w:val="Compact"/>
            </w:pPr>
            <w:r>
              <w:t xml:space="preserve">System</w:t>
            </w:r>
          </w:p>
        </w:tc>
        <w:tc>
          <w:tcPr/>
          <w:p>
            <w:pPr>
              <w:pStyle w:val="Compact"/>
            </w:pPr>
            <w:r>
              <w:t xml:space="preserve">Full</w:t>
            </w:r>
          </w:p>
        </w:tc>
        <w:tc>
          <w:tcPr/>
          <w:p>
            <w:pPr>
              <w:pStyle w:val="Compact"/>
            </w:pPr>
            <w:r>
              <w:t xml:space="preserve">Same day</w:t>
            </w:r>
          </w:p>
        </w:tc>
      </w:tr>
    </w:tbl>
    <w:p>
      <w:pPr>
        <w:pStyle w:val="BodyText"/>
      </w:pPr>
      <w:r>
        <w:rPr>
          <w:b/>
          <w:bCs/>
        </w:rPr>
        <w:t xml:space="preserve">Phase 6: SDLC Development and Testing (Target: 10–15 Business Days)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Task / Sub-Task</w:t>
            </w:r>
          </w:p>
        </w:tc>
        <w:tc>
          <w:tcPr/>
          <w:p>
            <w:pPr>
              <w:pStyle w:val="Compact"/>
            </w:pPr>
            <w:r>
              <w:t xml:space="preserve">Description</w:t>
            </w:r>
          </w:p>
        </w:tc>
        <w:tc>
          <w:tcPr/>
          <w:p>
            <w:pPr>
              <w:pStyle w:val="Compact"/>
            </w:pPr>
            <w:r>
              <w:t xml:space="preserve">Cycle Time</w:t>
            </w:r>
          </w:p>
        </w:tc>
        <w:tc>
          <w:tcPr/>
          <w:p>
            <w:pPr>
              <w:pStyle w:val="Compact"/>
            </w:pPr>
            <w:r>
              <w:t xml:space="preserve">Owner</w:t>
            </w:r>
          </w:p>
        </w:tc>
        <w:tc>
          <w:tcPr/>
          <w:p>
            <w:pPr>
              <w:pStyle w:val="Compact"/>
            </w:pPr>
            <w:r>
              <w:t xml:space="preserve">Automation</w:t>
            </w:r>
          </w:p>
        </w:tc>
        <w:tc>
          <w:tcPr/>
          <w:p>
            <w:pPr>
              <w:pStyle w:val="Compact"/>
            </w:pPr>
            <w:r>
              <w:t xml:space="preserve">SLA Target</w:t>
            </w:r>
          </w:p>
        </w:tc>
      </w:tr>
      <w:tr>
        <w:tc>
          <w:tcPr/>
          <w:p>
            <w:pPr>
              <w:pStyle w:val="Compact"/>
            </w:pPr>
            <w:r>
              <w:t xml:space="preserve">6.1 Development Planning</w:t>
            </w:r>
          </w:p>
        </w:tc>
        <w:tc>
          <w:tcPr/>
          <w:p>
            <w:pPr>
              <w:pStyle w:val="Compact"/>
            </w:pPr>
            <w:r>
              <w:t xml:space="preserve">Define sprint structure, technical architecture, integration points, and testing strategy</w:t>
            </w:r>
          </w:p>
        </w:tc>
        <w:tc>
          <w:tcPr/>
          <w:p>
            <w:pPr>
              <w:pStyle w:val="Compact"/>
            </w:pPr>
            <w:r>
              <w:t xml:space="preserve">2–3 days</w:t>
            </w:r>
          </w:p>
        </w:tc>
        <w:tc>
          <w:tcPr/>
          <w:p>
            <w:pPr>
              <w:pStyle w:val="Compact"/>
            </w:pPr>
            <w:r>
              <w:t xml:space="preserve">Engineering Lead</w:t>
            </w:r>
          </w:p>
        </w:tc>
        <w:tc>
          <w:tcPr/>
          <w:p>
            <w:pPr>
              <w:pStyle w:val="Compact"/>
            </w:pPr>
            <w:r>
              <w:t xml:space="preserve">Partial</w:t>
            </w:r>
          </w:p>
        </w:tc>
        <w:tc>
          <w:tcPr/>
          <w:p>
            <w:pPr>
              <w:pStyle w:val="Compact"/>
            </w:pPr>
            <w:r>
              <w:t xml:space="preserve">3 days</w:t>
            </w:r>
          </w:p>
        </w:tc>
      </w:tr>
      <w:tr>
        <w:tc>
          <w:tcPr/>
          <w:p>
            <w:pPr>
              <w:pStyle w:val="Compact"/>
            </w:pPr>
            <w:r>
              <w:t xml:space="preserve">6.2 Development Execution</w:t>
            </w:r>
          </w:p>
        </w:tc>
        <w:tc>
          <w:tcPr/>
          <w:p>
            <w:pPr>
              <w:pStyle w:val="Compact"/>
            </w:pPr>
            <w:r>
              <w:t xml:space="preserve">Build solution per approved design, integrating required controls and monitoring hooks at code level</w:t>
            </w:r>
          </w:p>
        </w:tc>
        <w:tc>
          <w:tcPr/>
          <w:p>
            <w:pPr>
              <w:pStyle w:val="Compact"/>
            </w:pPr>
            <w:r>
              <w:t xml:space="preserve">5–10 days</w:t>
            </w:r>
          </w:p>
        </w:tc>
        <w:tc>
          <w:tcPr/>
          <w:p>
            <w:pPr>
              <w:pStyle w:val="Compact"/>
            </w:pPr>
            <w:r>
              <w:t xml:space="preserve">Development Team</w:t>
            </w:r>
          </w:p>
        </w:tc>
        <w:tc>
          <w:tcPr/>
          <w:p>
            <w:pPr>
              <w:pStyle w:val="Compact"/>
            </w:pPr>
            <w:r>
              <w:t xml:space="preserve">Partial</w:t>
            </w:r>
          </w:p>
        </w:tc>
        <w:tc>
          <w:tcPr/>
          <w:p>
            <w:pPr>
              <w:pStyle w:val="Compact"/>
            </w:pPr>
            <w:r>
              <w:t xml:space="preserve">10 days</w:t>
            </w:r>
          </w:p>
        </w:tc>
      </w:tr>
      <w:tr>
        <w:tc>
          <w:tcPr/>
          <w:p>
            <w:pPr>
              <w:pStyle w:val="Compact"/>
            </w:pPr>
            <w:r>
              <w:t xml:space="preserve">6.2.1 Governance control integration</w:t>
            </w:r>
          </w:p>
        </w:tc>
        <w:tc>
          <w:tcPr/>
          <w:p>
            <w:pPr>
              <w:pStyle w:val="Compact"/>
            </w:pPr>
            <w:r>
              <w:t xml:space="preserve">Embed required governance controls, logging, and audit trail capabilities into solution architecture</w:t>
            </w:r>
          </w:p>
        </w:tc>
        <w:tc>
          <w:tcPr/>
          <w:p>
            <w:pPr>
              <w:pStyle w:val="Compact"/>
            </w:pPr>
            <w:r>
              <w:t xml:space="preserve">Concurrent</w:t>
            </w:r>
          </w:p>
        </w:tc>
        <w:tc>
          <w:tcPr/>
          <w:p>
            <w:pPr>
              <w:pStyle w:val="Compact"/>
            </w:pPr>
            <w:r>
              <w:t xml:space="preserve">Dev Team / Security</w:t>
            </w:r>
          </w:p>
        </w:tc>
        <w:tc>
          <w:tcPr/>
          <w:p>
            <w:pPr>
              <w:pStyle w:val="Compact"/>
            </w:pPr>
            <w:r>
              <w:t xml:space="preserve">Partial</w:t>
            </w:r>
          </w:p>
        </w:tc>
        <w:tc>
          <w:tcPr/>
          <w:p>
            <w:pPr>
              <w:pStyle w:val="Compact"/>
            </w:pPr>
            <w:r>
              <w:t xml:space="preserve">Integrated</w:t>
            </w:r>
          </w:p>
        </w:tc>
      </w:tr>
      <w:tr>
        <w:tc>
          <w:tcPr/>
          <w:p>
            <w:pPr>
              <w:pStyle w:val="Compact"/>
            </w:pPr>
            <w:r>
              <w:t xml:space="preserve">6.2.2 Compliance checkpoint reviews</w:t>
            </w:r>
          </w:p>
        </w:tc>
        <w:tc>
          <w:tcPr/>
          <w:p>
            <w:pPr>
              <w:pStyle w:val="Compact"/>
            </w:pPr>
            <w:r>
              <w:t xml:space="preserve">Conduct in-sprint compliance reviews to catch deviations early before they compound</w:t>
            </w:r>
          </w:p>
        </w:tc>
        <w:tc>
          <w:tcPr/>
          <w:p>
            <w:pPr>
              <w:pStyle w:val="Compact"/>
            </w:pPr>
            <w:r>
              <w:t xml:space="preserve">Per sprint</w:t>
            </w:r>
          </w:p>
        </w:tc>
        <w:tc>
          <w:tcPr/>
          <w:p>
            <w:pPr>
              <w:pStyle w:val="Compact"/>
            </w:pPr>
            <w:r>
              <w:t xml:space="preserve">Compliance / QA</w:t>
            </w:r>
          </w:p>
        </w:tc>
        <w:tc>
          <w:tcPr/>
          <w:p>
            <w:pPr>
              <w:pStyle w:val="Compact"/>
            </w:pPr>
            <w:r>
              <w:t xml:space="preserve">Partial</w:t>
            </w:r>
          </w:p>
        </w:tc>
        <w:tc>
          <w:tcPr/>
          <w:p>
            <w:pPr>
              <w:pStyle w:val="Compact"/>
            </w:pPr>
            <w:r>
              <w:t xml:space="preserve">Per sprint</w:t>
            </w:r>
          </w:p>
        </w:tc>
      </w:tr>
      <w:tr>
        <w:tc>
          <w:tcPr/>
          <w:p>
            <w:pPr>
              <w:pStyle w:val="Compact"/>
            </w:pPr>
            <w:r>
              <w:t xml:space="preserve">6.3 Security Testing</w:t>
            </w:r>
          </w:p>
        </w:tc>
        <w:tc>
          <w:tcPr/>
          <w:p>
            <w:pPr>
              <w:pStyle w:val="Compact"/>
            </w:pPr>
            <w:r>
              <w:t xml:space="preserve">Execute SAST, DAST, dependency scanning, and penetration testing on developed solution</w:t>
            </w:r>
          </w:p>
        </w:tc>
        <w:tc>
          <w:tcPr/>
          <w:p>
            <w:pPr>
              <w:pStyle w:val="Compact"/>
            </w:pPr>
            <w:r>
              <w:t xml:space="preserve">2–3 days</w:t>
            </w:r>
          </w:p>
        </w:tc>
        <w:tc>
          <w:tcPr/>
          <w:p>
            <w:pPr>
              <w:pStyle w:val="Compact"/>
            </w:pPr>
            <w:r>
              <w:t xml:space="preserve">Security / QA</w:t>
            </w:r>
          </w:p>
        </w:tc>
        <w:tc>
          <w:tcPr/>
          <w:p>
            <w:pPr>
              <w:pStyle w:val="Compact"/>
            </w:pPr>
            <w:r>
              <w:t xml:space="preserve">Partial</w:t>
            </w:r>
          </w:p>
        </w:tc>
        <w:tc>
          <w:tcPr/>
          <w:p>
            <w:pPr>
              <w:pStyle w:val="Compact"/>
            </w:pPr>
            <w:r>
              <w:t xml:space="preserve">3 days</w:t>
            </w:r>
          </w:p>
        </w:tc>
      </w:tr>
      <w:tr>
        <w:tc>
          <w:tcPr/>
          <w:p>
            <w:pPr>
              <w:pStyle w:val="Compact"/>
            </w:pPr>
            <w:r>
              <w:t xml:space="preserve">6.4 Compliance Validation</w:t>
            </w:r>
          </w:p>
        </w:tc>
        <w:tc>
          <w:tcPr/>
          <w:p>
            <w:pPr>
              <w:pStyle w:val="Compact"/>
            </w:pPr>
            <w:r>
              <w:t xml:space="preserve">Validate solution meets all regulatory and governance requirements identified during planning phases</w:t>
            </w:r>
          </w:p>
        </w:tc>
        <w:tc>
          <w:tcPr/>
          <w:p>
            <w:pPr>
              <w:pStyle w:val="Compact"/>
            </w:pPr>
            <w:r>
              <w:t xml:space="preserve">1–2 days</w:t>
            </w:r>
          </w:p>
        </w:tc>
        <w:tc>
          <w:tcPr/>
          <w:p>
            <w:pPr>
              <w:pStyle w:val="Compact"/>
            </w:pPr>
            <w:r>
              <w:t xml:space="preserve">Compliance / AI Governance</w:t>
            </w:r>
          </w:p>
        </w:tc>
        <w:tc>
          <w:tcPr/>
          <w:p>
            <w:pPr>
              <w:pStyle w:val="Compact"/>
            </w:pPr>
            <w:r>
              <w:t xml:space="preserve">Partial</w:t>
            </w:r>
          </w:p>
        </w:tc>
        <w:tc>
          <w:tcPr/>
          <w:p>
            <w:pPr>
              <w:pStyle w:val="Compact"/>
            </w:pPr>
            <w:r>
              <w:t xml:space="preserve">2 days</w:t>
            </w:r>
          </w:p>
        </w:tc>
      </w:tr>
      <w:tr>
        <w:tc>
          <w:tcPr/>
          <w:p>
            <w:pPr>
              <w:pStyle w:val="Compact"/>
            </w:pPr>
            <w:r>
              <w:t xml:space="preserve">6.5 AI-Specific Testing</w:t>
            </w:r>
          </w:p>
        </w:tc>
        <w:tc>
          <w:tcPr/>
          <w:p>
            <w:pPr>
              <w:pStyle w:val="Compact"/>
            </w:pPr>
            <w:r>
              <w:t xml:space="preserve">For AI use cases: model performance validation, bias re-testing, explainability verification, and drift baseline</w:t>
            </w:r>
          </w:p>
        </w:tc>
        <w:tc>
          <w:tcPr/>
          <w:p>
            <w:pPr>
              <w:pStyle w:val="Compact"/>
            </w:pPr>
            <w:r>
              <w:t xml:space="preserve">2–3 days</w:t>
            </w:r>
          </w:p>
        </w:tc>
        <w:tc>
          <w:tcPr/>
          <w:p>
            <w:pPr>
              <w:pStyle w:val="Compact"/>
            </w:pPr>
            <w:r>
              <w:t xml:space="preserve">AI Governance / Data Science</w:t>
            </w:r>
          </w:p>
        </w:tc>
        <w:tc>
          <w:tcPr/>
          <w:p>
            <w:pPr>
              <w:pStyle w:val="Compact"/>
            </w:pPr>
            <w:r>
              <w:t xml:space="preserve">Partial</w:t>
            </w:r>
          </w:p>
        </w:tc>
        <w:tc>
          <w:tcPr/>
          <w:p>
            <w:pPr>
              <w:pStyle w:val="Compact"/>
            </w:pPr>
            <w:r>
              <w:t xml:space="preserve">3 days</w:t>
            </w:r>
          </w:p>
        </w:tc>
      </w:tr>
      <w:tr>
        <w:tc>
          <w:tcPr/>
          <w:p>
            <w:pPr>
              <w:pStyle w:val="Compact"/>
            </w:pPr>
            <w:r>
              <w:t xml:space="preserve">6.6 Pre-Deployment Review Package</w:t>
            </w:r>
          </w:p>
        </w:tc>
        <w:tc>
          <w:tcPr/>
          <w:p>
            <w:pPr>
              <w:pStyle w:val="Compact"/>
            </w:pPr>
            <w:r>
              <w:t xml:space="preserve">Compile test results, compliance validation, security clearance, and readiness assessment for deployment gate</w:t>
            </w:r>
          </w:p>
        </w:tc>
        <w:tc>
          <w:tcPr/>
          <w:p>
            <w:pPr>
              <w:pStyle w:val="Compact"/>
            </w:pPr>
            <w:r>
              <w:t xml:space="preserve">0.5 days</w:t>
            </w:r>
          </w:p>
        </w:tc>
        <w:tc>
          <w:tcPr/>
          <w:p>
            <w:pPr>
              <w:pStyle w:val="Compact"/>
            </w:pPr>
            <w:r>
              <w:t xml:space="preserve">Case Manager / System</w:t>
            </w:r>
          </w:p>
        </w:tc>
        <w:tc>
          <w:tcPr/>
          <w:p>
            <w:pPr>
              <w:pStyle w:val="Compact"/>
            </w:pPr>
            <w:r>
              <w:t xml:space="preserve">Full</w:t>
            </w:r>
          </w:p>
        </w:tc>
        <w:tc>
          <w:tcPr/>
          <w:p>
            <w:pPr>
              <w:pStyle w:val="Compact"/>
            </w:pPr>
            <w:r>
              <w:t xml:space="preserve">Same day</w:t>
            </w:r>
          </w:p>
        </w:tc>
      </w:tr>
    </w:tbl>
    <w:p>
      <w:pPr>
        <w:pStyle w:val="BodyText"/>
      </w:pPr>
      <w:r>
        <w:rPr>
          <w:b/>
          <w:bCs/>
        </w:rPr>
        <w:t xml:space="preserve">Phase 7: Deployment Decision and Go-Live (Target: 2–3 Business</w:t>
      </w:r>
      <w:r>
        <w:rPr>
          <w:b/>
          <w:bCs/>
        </w:rPr>
        <w:t xml:space="preserve"> </w:t>
      </w:r>
      <w:r>
        <w:rPr>
          <w:b/>
          <w:bCs/>
        </w:rPr>
        <w:t xml:space="preserve">Days)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Task / Sub-Task</w:t>
            </w:r>
          </w:p>
        </w:tc>
        <w:tc>
          <w:tcPr/>
          <w:p>
            <w:pPr>
              <w:pStyle w:val="Compact"/>
            </w:pPr>
            <w:r>
              <w:t xml:space="preserve">Description</w:t>
            </w:r>
          </w:p>
        </w:tc>
        <w:tc>
          <w:tcPr/>
          <w:p>
            <w:pPr>
              <w:pStyle w:val="Compact"/>
            </w:pPr>
            <w:r>
              <w:t xml:space="preserve">Cycle Time</w:t>
            </w:r>
          </w:p>
        </w:tc>
        <w:tc>
          <w:tcPr/>
          <w:p>
            <w:pPr>
              <w:pStyle w:val="Compact"/>
            </w:pPr>
            <w:r>
              <w:t xml:space="preserve">Owner</w:t>
            </w:r>
          </w:p>
        </w:tc>
        <w:tc>
          <w:tcPr/>
          <w:p>
            <w:pPr>
              <w:pStyle w:val="Compact"/>
            </w:pPr>
            <w:r>
              <w:t xml:space="preserve">Automation</w:t>
            </w:r>
          </w:p>
        </w:tc>
        <w:tc>
          <w:tcPr/>
          <w:p>
            <w:pPr>
              <w:pStyle w:val="Compact"/>
            </w:pPr>
            <w:r>
              <w:t xml:space="preserve">SLA Target</w:t>
            </w:r>
          </w:p>
        </w:tc>
      </w:tr>
      <w:tr>
        <w:tc>
          <w:tcPr/>
          <w:p>
            <w:pPr>
              <w:pStyle w:val="Compact"/>
            </w:pPr>
            <w:r>
              <w:t xml:space="preserve">7.1 Deployment Readiness Assessment</w:t>
            </w:r>
          </w:p>
        </w:tc>
        <w:tc>
          <w:tcPr/>
          <w:p>
            <w:pPr>
              <w:pStyle w:val="Compact"/>
            </w:pPr>
            <w:r>
              <w:t xml:space="preserve">Review pre-deployment package against go/no-go criteria including all control validations and test results</w:t>
            </w:r>
          </w:p>
        </w:tc>
        <w:tc>
          <w:tcPr/>
          <w:p>
            <w:pPr>
              <w:pStyle w:val="Compact"/>
            </w:pPr>
            <w:r>
              <w:t xml:space="preserve">0.5–1 day</w:t>
            </w:r>
          </w:p>
        </w:tc>
        <w:tc>
          <w:tcPr/>
          <w:p>
            <w:pPr>
              <w:pStyle w:val="Compact"/>
            </w:pPr>
            <w:r>
              <w:t xml:space="preserve">Deployment Review Board</w:t>
            </w:r>
          </w:p>
        </w:tc>
        <w:tc>
          <w:tcPr/>
          <w:p>
            <w:pPr>
              <w:pStyle w:val="Compact"/>
            </w:pPr>
            <w:r>
              <w:t xml:space="preserve">Partial</w:t>
            </w:r>
          </w:p>
        </w:tc>
        <w:tc>
          <w:tcPr/>
          <w:p>
            <w:pPr>
              <w:pStyle w:val="Compact"/>
            </w:pPr>
            <w:r>
              <w:t xml:space="preserve">1 day</w:t>
            </w:r>
          </w:p>
        </w:tc>
      </w:tr>
      <w:tr>
        <w:tc>
          <w:tcPr/>
          <w:p>
            <w:pPr>
              <w:pStyle w:val="Compact"/>
            </w:pPr>
            <w:r>
              <w:t xml:space="preserve">7.2 Deployment Decision Gate</w:t>
            </w:r>
          </w:p>
        </w:tc>
        <w:tc>
          <w:tcPr/>
          <w:p>
            <w:pPr>
              <w:pStyle w:val="Compact"/>
            </w:pPr>
            <w:r>
              <w:t xml:space="preserve">Exclusive gateway: Approved (proceed to production) or Rejected (return to development with remediation requirements)</w:t>
            </w:r>
          </w:p>
        </w:tc>
        <w:tc>
          <w:tcPr/>
          <w:p>
            <w:pPr>
              <w:pStyle w:val="Compact"/>
            </w:pPr>
            <w:r>
              <w:t xml:space="preserve">0.5 days</w:t>
            </w:r>
          </w:p>
        </w:tc>
        <w:tc>
          <w:tcPr/>
          <w:p>
            <w:pPr>
              <w:pStyle w:val="Compact"/>
            </w:pPr>
            <w:r>
              <w:t xml:space="preserve">Deployment Review Board</w:t>
            </w:r>
          </w:p>
        </w:tc>
        <w:tc>
          <w:tcPr/>
          <w:p>
            <w:pPr>
              <w:pStyle w:val="Compact"/>
            </w:pPr>
            <w:r>
              <w:t xml:space="preserve">Manual</w:t>
            </w:r>
          </w:p>
        </w:tc>
        <w:tc>
          <w:tcPr/>
          <w:p>
            <w:pPr>
              <w:pStyle w:val="Compact"/>
            </w:pPr>
            <w:r>
              <w:t xml:space="preserve">1 day</w:t>
            </w:r>
          </w:p>
        </w:tc>
      </w:tr>
      <w:tr>
        <w:tc>
          <w:tcPr/>
          <w:p>
            <w:pPr>
              <w:pStyle w:val="Compact"/>
            </w:pPr>
            <w:r>
              <w:t xml:space="preserve">7.3 Production Cutover</w:t>
            </w:r>
          </w:p>
        </w:tc>
        <w:tc>
          <w:tcPr/>
          <w:p>
            <w:pPr>
              <w:pStyle w:val="Compact"/>
            </w:pPr>
            <w:r>
              <w:t xml:space="preserve">Execute deployment plan, activate monitoring, configure alerting thresholds, and validate production readiness</w:t>
            </w:r>
          </w:p>
        </w:tc>
        <w:tc>
          <w:tcPr/>
          <w:p>
            <w:pPr>
              <w:pStyle w:val="Compact"/>
            </w:pPr>
            <w:r>
              <w:t xml:space="preserve">0.5–1 day</w:t>
            </w:r>
          </w:p>
        </w:tc>
        <w:tc>
          <w:tcPr/>
          <w:p>
            <w:pPr>
              <w:pStyle w:val="Compact"/>
            </w:pPr>
            <w:r>
              <w:t xml:space="preserve">Engineering / Operations</w:t>
            </w:r>
          </w:p>
        </w:tc>
        <w:tc>
          <w:tcPr/>
          <w:p>
            <w:pPr>
              <w:pStyle w:val="Compact"/>
            </w:pPr>
            <w:r>
              <w:t xml:space="preserve">Partial</w:t>
            </w:r>
          </w:p>
        </w:tc>
        <w:tc>
          <w:tcPr/>
          <w:p>
            <w:pPr>
              <w:pStyle w:val="Compact"/>
            </w:pPr>
            <w:r>
              <w:t xml:space="preserve">1 day</w:t>
            </w:r>
          </w:p>
        </w:tc>
      </w:tr>
      <w:tr>
        <w:tc>
          <w:tcPr/>
          <w:p>
            <w:pPr>
              <w:pStyle w:val="Compact"/>
            </w:pPr>
            <w:r>
              <w:t xml:space="preserve">7.4 Post-Deployment Validation</w:t>
            </w:r>
          </w:p>
        </w:tc>
        <w:tc>
          <w:tcPr/>
          <w:p>
            <w:pPr>
              <w:pStyle w:val="Compact"/>
            </w:pPr>
            <w:r>
              <w:t xml:space="preserve">Verify solution functions correctly in production, confirm all controls are active and collecting evidence</w:t>
            </w:r>
          </w:p>
        </w:tc>
        <w:tc>
          <w:tcPr/>
          <w:p>
            <w:pPr>
              <w:pStyle w:val="Compact"/>
            </w:pPr>
            <w:r>
              <w:t xml:space="preserve">0.5 days</w:t>
            </w:r>
          </w:p>
        </w:tc>
        <w:tc>
          <w:tcPr/>
          <w:p>
            <w:pPr>
              <w:pStyle w:val="Compact"/>
            </w:pPr>
            <w:r>
              <w:t xml:space="preserve">Operations / QA</w:t>
            </w:r>
          </w:p>
        </w:tc>
        <w:tc>
          <w:tcPr/>
          <w:p>
            <w:pPr>
              <w:pStyle w:val="Compact"/>
            </w:pPr>
            <w:r>
              <w:t xml:space="preserve">Partial</w:t>
            </w:r>
          </w:p>
        </w:tc>
        <w:tc>
          <w:tcPr/>
          <w:p>
            <w:pPr>
              <w:pStyle w:val="Compact"/>
            </w:pPr>
            <w:r>
              <w:t xml:space="preserve">Same day</w:t>
            </w:r>
          </w:p>
        </w:tc>
      </w:tr>
    </w:tbl>
    <w:p>
      <w:pPr>
        <w:pStyle w:val="BodyText"/>
      </w:pPr>
      <w:r>
        <w:rPr>
          <w:b/>
          <w:bCs/>
        </w:rPr>
        <w:t xml:space="preserve">Phase 8: Production Operations, Monitoring &amp; Retirement (Target:</w:t>
      </w:r>
      <w:r>
        <w:rPr>
          <w:b/>
          <w:bCs/>
        </w:rPr>
        <w:t xml:space="preserve"> </w:t>
      </w:r>
      <w:r>
        <w:rPr>
          <w:b/>
          <w:bCs/>
        </w:rPr>
        <w:t xml:space="preserve">Ongoing (Continuous))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Task / Sub-Task</w:t>
            </w:r>
          </w:p>
        </w:tc>
        <w:tc>
          <w:tcPr/>
          <w:p>
            <w:pPr>
              <w:pStyle w:val="Compact"/>
            </w:pPr>
            <w:r>
              <w:t xml:space="preserve">Description</w:t>
            </w:r>
          </w:p>
        </w:tc>
        <w:tc>
          <w:tcPr/>
          <w:p>
            <w:pPr>
              <w:pStyle w:val="Compact"/>
            </w:pPr>
            <w:r>
              <w:t xml:space="preserve">Cycle Time</w:t>
            </w:r>
          </w:p>
        </w:tc>
        <w:tc>
          <w:tcPr/>
          <w:p>
            <w:pPr>
              <w:pStyle w:val="Compact"/>
            </w:pPr>
            <w:r>
              <w:t xml:space="preserve">Owner</w:t>
            </w:r>
          </w:p>
        </w:tc>
        <w:tc>
          <w:tcPr/>
          <w:p>
            <w:pPr>
              <w:pStyle w:val="Compact"/>
            </w:pPr>
            <w:r>
              <w:t xml:space="preserve">Automation</w:t>
            </w:r>
          </w:p>
        </w:tc>
        <w:tc>
          <w:tcPr/>
          <w:p>
            <w:pPr>
              <w:pStyle w:val="Compact"/>
            </w:pPr>
            <w:r>
              <w:t xml:space="preserve">SLA Target</w:t>
            </w:r>
          </w:p>
        </w:tc>
      </w:tr>
      <w:tr>
        <w:tc>
          <w:tcPr/>
          <w:p>
            <w:pPr>
              <w:pStyle w:val="Compact"/>
            </w:pPr>
            <w:r>
              <w:t xml:space="preserve">8.1 Production Operation and Monitoring</w:t>
            </w:r>
          </w:p>
        </w:tc>
        <w:tc>
          <w:tcPr/>
          <w:p>
            <w:pPr>
              <w:pStyle w:val="Compact"/>
            </w:pPr>
            <w:r>
              <w:t xml:space="preserve">Continuous monitoring of solution performance, security posture, and compliance status against assigned controls</w:t>
            </w:r>
          </w:p>
        </w:tc>
        <w:tc>
          <w:tcPr/>
          <w:p>
            <w:pPr>
              <w:pStyle w:val="Compact"/>
            </w:pPr>
            <w:r>
              <w:t xml:space="preserve">Ongoing</w:t>
            </w:r>
          </w:p>
        </w:tc>
        <w:tc>
          <w:tcPr/>
          <w:p>
            <w:pPr>
              <w:pStyle w:val="Compact"/>
            </w:pPr>
            <w:r>
              <w:t xml:space="preserve">Operations / Security</w:t>
            </w:r>
          </w:p>
        </w:tc>
        <w:tc>
          <w:tcPr/>
          <w:p>
            <w:pPr>
              <w:pStyle w:val="Compact"/>
            </w:pPr>
            <w:r>
              <w:t xml:space="preserve">Full</w:t>
            </w:r>
          </w:p>
        </w:tc>
        <w:tc>
          <w:tcPr/>
          <w:p>
            <w:pPr>
              <w:pStyle w:val="Compact"/>
            </w:pPr>
            <w:r>
              <w:t xml:space="preserve">Real-time</w:t>
            </w:r>
          </w:p>
        </w:tc>
      </w:tr>
      <w:tr>
        <w:tc>
          <w:tcPr/>
          <w:p>
            <w:pPr>
              <w:pStyle w:val="Compact"/>
            </w:pPr>
            <w:r>
              <w:t xml:space="preserve">8.1.1 Evidence collection</w:t>
            </w:r>
          </w:p>
        </w:tc>
        <w:tc>
          <w:tcPr/>
          <w:p>
            <w:pPr>
              <w:pStyle w:val="Compact"/>
            </w:pPr>
            <w:r>
              <w:t xml:space="preserve">Automated collection of evidence for each assigned control per configured cadence (daily/weekly/monthly)</w:t>
            </w:r>
          </w:p>
        </w:tc>
        <w:tc>
          <w:tcPr/>
          <w:p>
            <w:pPr>
              <w:pStyle w:val="Compact"/>
            </w:pPr>
            <w:r>
              <w:t xml:space="preserve">Per cadence</w:t>
            </w:r>
          </w:p>
        </w:tc>
        <w:tc>
          <w:tcPr/>
          <w:p>
            <w:pPr>
              <w:pStyle w:val="Compact"/>
            </w:pPr>
            <w:r>
              <w:t xml:space="preserve">System</w:t>
            </w:r>
          </w:p>
        </w:tc>
        <w:tc>
          <w:tcPr/>
          <w:p>
            <w:pPr>
              <w:pStyle w:val="Compact"/>
            </w:pPr>
            <w:r>
              <w:t xml:space="preserve">Full</w:t>
            </w:r>
          </w:p>
        </w:tc>
        <w:tc>
          <w:tcPr/>
          <w:p>
            <w:pPr>
              <w:pStyle w:val="Compact"/>
            </w:pPr>
            <w:r>
              <w:t xml:space="preserve">Per cadence</w:t>
            </w:r>
          </w:p>
        </w:tc>
      </w:tr>
      <w:tr>
        <w:tc>
          <w:tcPr/>
          <w:p>
            <w:pPr>
              <w:pStyle w:val="Compact"/>
            </w:pPr>
            <w:r>
              <w:t xml:space="preserve">8.1.2 Anomaly detection</w:t>
            </w:r>
          </w:p>
        </w:tc>
        <w:tc>
          <w:tcPr/>
          <w:p>
            <w:pPr>
              <w:pStyle w:val="Compact"/>
            </w:pPr>
            <w:r>
              <w:t xml:space="preserve">AI-driven monitoring for performance drift, security anomalies, and compliance deviations</w:t>
            </w:r>
          </w:p>
        </w:tc>
        <w:tc>
          <w:tcPr/>
          <w:p>
            <w:pPr>
              <w:pStyle w:val="Compact"/>
            </w:pPr>
            <w:r>
              <w:t xml:space="preserve">Real-time</w:t>
            </w:r>
          </w:p>
        </w:tc>
        <w:tc>
          <w:tcPr/>
          <w:p>
            <w:pPr>
              <w:pStyle w:val="Compact"/>
            </w:pPr>
            <w:r>
              <w:t xml:space="preserve">System</w:t>
            </w:r>
          </w:p>
        </w:tc>
        <w:tc>
          <w:tcPr/>
          <w:p>
            <w:pPr>
              <w:pStyle w:val="Compact"/>
            </w:pPr>
            <w:r>
              <w:t xml:space="preserve">Full</w:t>
            </w:r>
          </w:p>
        </w:tc>
        <w:tc>
          <w:tcPr/>
          <w:p>
            <w:pPr>
              <w:pStyle w:val="Compact"/>
            </w:pPr>
            <w:r>
              <w:t xml:space="preserve">Real-time</w:t>
            </w:r>
          </w:p>
        </w:tc>
      </w:tr>
      <w:tr>
        <w:tc>
          <w:tcPr/>
          <w:p>
            <w:pPr>
              <w:pStyle w:val="Compact"/>
            </w:pPr>
            <w:r>
              <w:t xml:space="preserve">8.2 Continuous Improvement</w:t>
            </w:r>
          </w:p>
        </w:tc>
        <w:tc>
          <w:tcPr/>
          <w:p>
            <w:pPr>
              <w:pStyle w:val="Compact"/>
            </w:pPr>
            <w:r>
              <w:t xml:space="preserve">Review monitoring data, identify optimization opportunities, and implement improvements within approved parameters</w:t>
            </w:r>
          </w:p>
        </w:tc>
        <w:tc>
          <w:tcPr/>
          <w:p>
            <w:pPr>
              <w:pStyle w:val="Compact"/>
            </w:pPr>
            <w:r>
              <w:t xml:space="preserve">Ongoing</w:t>
            </w:r>
          </w:p>
        </w:tc>
        <w:tc>
          <w:tcPr/>
          <w:p>
            <w:pPr>
              <w:pStyle w:val="Compact"/>
            </w:pPr>
            <w:r>
              <w:t xml:space="preserve">Operations / Engineering</w:t>
            </w:r>
          </w:p>
        </w:tc>
        <w:tc>
          <w:tcPr/>
          <w:p>
            <w:pPr>
              <w:pStyle w:val="Compact"/>
            </w:pPr>
            <w:r>
              <w:t xml:space="preserve">Partial</w:t>
            </w:r>
          </w:p>
        </w:tc>
        <w:tc>
          <w:tcPr/>
          <w:p>
            <w:pPr>
              <w:pStyle w:val="Compact"/>
            </w:pPr>
            <w:r>
              <w:t xml:space="preserve">Per cycle</w:t>
            </w:r>
          </w:p>
        </w:tc>
      </w:tr>
      <w:tr>
        <w:tc>
          <w:tcPr/>
          <w:p>
            <w:pPr>
              <w:pStyle w:val="Compact"/>
            </w:pPr>
            <w:r>
              <w:t xml:space="preserve">8.3 Control-Based Monitoring Cadence</w:t>
            </w:r>
          </w:p>
        </w:tc>
        <w:tc>
          <w:tcPr/>
          <w:p>
            <w:pPr>
              <w:pStyle w:val="Compact"/>
            </w:pPr>
            <w:r>
              <w:t xml:space="preserve">Timer-triggered review cycles based on risk tier: High=monthly, Limited=quarterly, Minimal=semi-annually</w:t>
            </w:r>
          </w:p>
        </w:tc>
        <w:tc>
          <w:tcPr/>
          <w:p>
            <w:pPr>
              <w:pStyle w:val="Compact"/>
            </w:pPr>
            <w:r>
              <w:t xml:space="preserve">Per tier</w:t>
            </w:r>
          </w:p>
        </w:tc>
        <w:tc>
          <w:tcPr/>
          <w:p>
            <w:pPr>
              <w:pStyle w:val="Compact"/>
            </w:pPr>
            <w:r>
              <w:t xml:space="preserve">TPRM Team / System</w:t>
            </w:r>
          </w:p>
        </w:tc>
        <w:tc>
          <w:tcPr/>
          <w:p>
            <w:pPr>
              <w:pStyle w:val="Compact"/>
            </w:pPr>
            <w:r>
              <w:t xml:space="preserve">Full</w:t>
            </w:r>
          </w:p>
        </w:tc>
        <w:tc>
          <w:tcPr/>
          <w:p>
            <w:pPr>
              <w:pStyle w:val="Compact"/>
            </w:pPr>
            <w:r>
              <w:t xml:space="preserve">Per tier</w:t>
            </w:r>
          </w:p>
        </w:tc>
      </w:tr>
      <w:tr>
        <w:tc>
          <w:tcPr/>
          <w:p>
            <w:pPr>
              <w:pStyle w:val="Compact"/>
            </w:pPr>
            <w:r>
              <w:t xml:space="preserve">8.4 Trigger Review on Demand</w:t>
            </w:r>
          </w:p>
        </w:tc>
        <w:tc>
          <w:tcPr/>
          <w:p>
            <w:pPr>
              <w:pStyle w:val="Compact"/>
            </w:pPr>
            <w:r>
              <w:t xml:space="preserve">Message-triggered ad hoc review based on external events (breach notification, regulatory change, adverse media)</w:t>
            </w:r>
          </w:p>
        </w:tc>
        <w:tc>
          <w:tcPr/>
          <w:p>
            <w:pPr>
              <w:pStyle w:val="Compact"/>
            </w:pPr>
            <w:r>
              <w:t xml:space="preserve">1–2 days</w:t>
            </w:r>
          </w:p>
        </w:tc>
        <w:tc>
          <w:tcPr/>
          <w:p>
            <w:pPr>
              <w:pStyle w:val="Compact"/>
            </w:pPr>
            <w:r>
              <w:t xml:space="preserve">Risk / TPRM Team</w:t>
            </w:r>
          </w:p>
        </w:tc>
        <w:tc>
          <w:tcPr/>
          <w:p>
            <w:pPr>
              <w:pStyle w:val="Compact"/>
            </w:pPr>
            <w:r>
              <w:t xml:space="preserve">Partial</w:t>
            </w:r>
          </w:p>
        </w:tc>
        <w:tc>
          <w:tcPr/>
          <w:p>
            <w:pPr>
              <w:pStyle w:val="Compact"/>
            </w:pPr>
            <w:r>
              <w:t xml:space="preserve">2 days</w:t>
            </w:r>
          </w:p>
        </w:tc>
      </w:tr>
      <w:tr>
        <w:tc>
          <w:tcPr/>
          <w:p>
            <w:pPr>
              <w:pStyle w:val="Compact"/>
            </w:pPr>
            <w:r>
              <w:t xml:space="preserve">8.5 Change Management</w:t>
            </w:r>
          </w:p>
        </w:tc>
        <w:tc>
          <w:tcPr/>
          <w:p>
            <w:pPr>
              <w:pStyle w:val="Compact"/>
            </w:pPr>
            <w:r>
              <w:t xml:space="preserve">For material changes: trigger new governance review cycle; assess impact against original risk classification</w:t>
            </w:r>
          </w:p>
        </w:tc>
        <w:tc>
          <w:tcPr/>
          <w:p>
            <w:pPr>
              <w:pStyle w:val="Compact"/>
            </w:pPr>
            <w:r>
              <w:t xml:space="preserve">3–7 days</w:t>
            </w:r>
          </w:p>
        </w:tc>
        <w:tc>
          <w:tcPr/>
          <w:p>
            <w:pPr>
              <w:pStyle w:val="Compact"/>
            </w:pPr>
            <w:r>
              <w:t xml:space="preserve">Change Advisory Board</w:t>
            </w:r>
          </w:p>
        </w:tc>
        <w:tc>
          <w:tcPr/>
          <w:p>
            <w:pPr>
              <w:pStyle w:val="Compact"/>
            </w:pPr>
            <w:r>
              <w:t xml:space="preserve">Partial</w:t>
            </w:r>
          </w:p>
        </w:tc>
        <w:tc>
          <w:tcPr/>
          <w:p>
            <w:pPr>
              <w:pStyle w:val="Compact"/>
            </w:pPr>
            <w:r>
              <w:t xml:space="preserve">7 days</w:t>
            </w:r>
          </w:p>
        </w:tc>
      </w:tr>
      <w:tr>
        <w:tc>
          <w:tcPr/>
          <w:p>
            <w:pPr>
              <w:pStyle w:val="Compact"/>
            </w:pPr>
            <w:r>
              <w:t xml:space="preserve">8.6 Vendor Reassessment</w:t>
            </w:r>
          </w:p>
        </w:tc>
        <w:tc>
          <w:tcPr/>
          <w:p>
            <w:pPr>
              <w:pStyle w:val="Compact"/>
            </w:pPr>
            <w:r>
              <w:t xml:space="preserve">Periodic full reassessment of vendor per contractual and regulatory requirements (annually or per trigger)</w:t>
            </w:r>
          </w:p>
        </w:tc>
        <w:tc>
          <w:tcPr/>
          <w:p>
            <w:pPr>
              <w:pStyle w:val="Compact"/>
            </w:pPr>
            <w:r>
              <w:t xml:space="preserve">5–10 days</w:t>
            </w:r>
          </w:p>
        </w:tc>
        <w:tc>
          <w:tcPr/>
          <w:p>
            <w:pPr>
              <w:pStyle w:val="Compact"/>
            </w:pPr>
            <w:r>
              <w:t xml:space="preserve">TPRM Team</w:t>
            </w:r>
          </w:p>
        </w:tc>
        <w:tc>
          <w:tcPr/>
          <w:p>
            <w:pPr>
              <w:pStyle w:val="Compact"/>
            </w:pPr>
            <w:r>
              <w:t xml:space="preserve">Partial</w:t>
            </w:r>
          </w:p>
        </w:tc>
        <w:tc>
          <w:tcPr/>
          <w:p>
            <w:pPr>
              <w:pStyle w:val="Compact"/>
            </w:pPr>
            <w:r>
              <w:t xml:space="preserve">10 days</w:t>
            </w:r>
          </w:p>
        </w:tc>
      </w:tr>
      <w:tr>
        <w:tc>
          <w:tcPr/>
          <w:p>
            <w:pPr>
              <w:pStyle w:val="Compact"/>
            </w:pPr>
            <w:r>
              <w:t xml:space="preserve">8.7 Decommission Planning</w:t>
            </w:r>
          </w:p>
        </w:tc>
        <w:tc>
          <w:tcPr/>
          <w:p>
            <w:pPr>
              <w:pStyle w:val="Compact"/>
            </w:pPr>
            <w:r>
              <w:t xml:space="preserve">For retirement decisions: plan data migration, dependency unwinding, stakeholder notification, and knowledge capture</w:t>
            </w:r>
          </w:p>
        </w:tc>
        <w:tc>
          <w:tcPr/>
          <w:p>
            <w:pPr>
              <w:pStyle w:val="Compact"/>
            </w:pPr>
            <w:r>
              <w:t xml:space="preserve">5–10 days</w:t>
            </w:r>
          </w:p>
        </w:tc>
        <w:tc>
          <w:tcPr/>
          <w:p>
            <w:pPr>
              <w:pStyle w:val="Compact"/>
            </w:pPr>
            <w:r>
              <w:t xml:space="preserve">Engineering / Operations</w:t>
            </w:r>
          </w:p>
        </w:tc>
        <w:tc>
          <w:tcPr/>
          <w:p>
            <w:pPr>
              <w:pStyle w:val="Compact"/>
            </w:pPr>
            <w:r>
              <w:t xml:space="preserve">Partial</w:t>
            </w:r>
          </w:p>
        </w:tc>
        <w:tc>
          <w:tcPr/>
          <w:p>
            <w:pPr>
              <w:pStyle w:val="Compact"/>
            </w:pPr>
            <w:r>
              <w:t xml:space="preserve">10 days</w:t>
            </w:r>
          </w:p>
        </w:tc>
      </w:tr>
      <w:tr>
        <w:tc>
          <w:tcPr/>
          <w:p>
            <w:pPr>
              <w:pStyle w:val="Compact"/>
            </w:pPr>
            <w:r>
              <w:t xml:space="preserve">8.7.1 Knowledge capture</w:t>
            </w:r>
          </w:p>
        </w:tc>
        <w:tc>
          <w:tcPr/>
          <w:p>
            <w:pPr>
              <w:pStyle w:val="Compact"/>
            </w:pPr>
            <w:r>
              <w:t xml:space="preserve">Extract and archive all institutional knowledge, decision rationale, and lessons learned before retirement</w:t>
            </w:r>
          </w:p>
        </w:tc>
        <w:tc>
          <w:tcPr/>
          <w:p>
            <w:pPr>
              <w:pStyle w:val="Compact"/>
            </w:pPr>
            <w:r>
              <w:t xml:space="preserve">2–3 days</w:t>
            </w:r>
          </w:p>
        </w:tc>
        <w:tc>
          <w:tcPr/>
          <w:p>
            <w:pPr>
              <w:pStyle w:val="Compact"/>
            </w:pPr>
            <w:r>
              <w:t xml:space="preserve">Case Manager / System</w:t>
            </w:r>
          </w:p>
        </w:tc>
        <w:tc>
          <w:tcPr/>
          <w:p>
            <w:pPr>
              <w:pStyle w:val="Compact"/>
            </w:pPr>
            <w:r>
              <w:t xml:space="preserve">Partial</w:t>
            </w:r>
          </w:p>
        </w:tc>
        <w:tc>
          <w:tcPr/>
          <w:p>
            <w:pPr>
              <w:pStyle w:val="Compact"/>
            </w:pPr>
            <w:r>
              <w:t xml:space="preserve">3 days</w:t>
            </w:r>
          </w:p>
        </w:tc>
      </w:tr>
      <w:tr>
        <w:tc>
          <w:tcPr/>
          <w:p>
            <w:pPr>
              <w:pStyle w:val="Compact"/>
            </w:pPr>
            <w:r>
              <w:t xml:space="preserve">8.7.2 Data archival</w:t>
            </w:r>
          </w:p>
        </w:tc>
        <w:tc>
          <w:tcPr/>
          <w:p>
            <w:pPr>
              <w:pStyle w:val="Compact"/>
            </w:pPr>
            <w:r>
              <w:t xml:space="preserve">Archive or securely destroy all data per retention policies and regulatory requirements</w:t>
            </w:r>
          </w:p>
        </w:tc>
        <w:tc>
          <w:tcPr/>
          <w:p>
            <w:pPr>
              <w:pStyle w:val="Compact"/>
            </w:pPr>
            <w:r>
              <w:t xml:space="preserve">1–2 days</w:t>
            </w:r>
          </w:p>
        </w:tc>
        <w:tc>
          <w:tcPr/>
          <w:p>
            <w:pPr>
              <w:pStyle w:val="Compact"/>
            </w:pPr>
            <w:r>
              <w:t xml:space="preserve">Data Governance / Security</w:t>
            </w:r>
          </w:p>
        </w:tc>
        <w:tc>
          <w:tcPr/>
          <w:p>
            <w:pPr>
              <w:pStyle w:val="Compact"/>
            </w:pPr>
            <w:r>
              <w:t xml:space="preserve">Partial</w:t>
            </w:r>
          </w:p>
        </w:tc>
        <w:tc>
          <w:tcPr/>
          <w:p>
            <w:pPr>
              <w:pStyle w:val="Compact"/>
            </w:pPr>
            <w:r>
              <w:t xml:space="preserve">2 days</w:t>
            </w:r>
          </w:p>
        </w:tc>
      </w:tr>
      <w:tr>
        <w:tc>
          <w:tcPr/>
          <w:p>
            <w:pPr>
              <w:pStyle w:val="Compact"/>
            </w:pPr>
            <w:r>
              <w:t xml:space="preserve">8.8 End States</w:t>
            </w:r>
          </w:p>
        </w:tc>
        <w:tc>
          <w:tcPr/>
          <w:p>
            <w:pPr>
              <w:pStyle w:val="Compact"/>
            </w:pPr>
            <w:r>
              <w:t xml:space="preserve">Use Case Retired (graceful wind-down) or Use Case Terminated (immediate cessation for cause)</w:t>
            </w:r>
          </w:p>
        </w:tc>
        <w:tc>
          <w:tcPr/>
          <w:p>
            <w:pPr>
              <w:pStyle w:val="Compact"/>
            </w:pPr>
            <w:r>
              <w:t xml:space="preserve">Per plan</w:t>
            </w:r>
          </w:p>
        </w:tc>
        <w:tc>
          <w:tcPr/>
          <w:p>
            <w:pPr>
              <w:pStyle w:val="Compact"/>
            </w:pPr>
            <w:r>
              <w:t xml:space="preserve">Governance</w:t>
            </w:r>
          </w:p>
        </w:tc>
        <w:tc>
          <w:tcPr/>
          <w:p>
            <w:pPr>
              <w:pStyle w:val="Compact"/>
            </w:pPr>
            <w:r>
              <w:t xml:space="preserve">Partial</w:t>
            </w:r>
          </w:p>
        </w:tc>
        <w:tc>
          <w:tcPr/>
          <w:p>
            <w:pPr>
              <w:pStyle w:val="Compact"/>
            </w:pPr>
            <w:r>
              <w:t xml:space="preserve">Per plan</w:t>
            </w:r>
          </w:p>
        </w:tc>
      </w:tr>
    </w:tbl>
    <w:bookmarkEnd w:id="39"/>
    <w:bookmarkEnd w:id="40"/>
    <w:bookmarkStart w:id="45" w:name="X30f7bc00fd6663ed0f6176245a3ac1bafad8ca9"/>
    <w:p>
      <w:pPr>
        <w:pStyle w:val="Heading2"/>
      </w:pPr>
      <w:r>
        <w:t xml:space="preserve">7. Phase 0: Continuous Software Asset Intelligence</w:t>
      </w:r>
    </w:p>
    <w:p>
      <w:pPr>
        <w:pStyle w:val="BlockText"/>
      </w:pPr>
      <w:r>
        <w:rPr>
          <w:b/>
          <w:bCs/>
        </w:rPr>
        <w:t xml:space="preserve">P0 Continuous Software Asset Intelligence</w:t>
      </w:r>
    </w:p>
    <w:p>
      <w:pPr>
        <w:pStyle w:val="BlockText"/>
      </w:pPr>
      <w:r>
        <w:rPr>
          <w:i/>
          <w:iCs/>
        </w:rPr>
        <w:t xml:space="preserve">Always-on. Feeds every subsequent phase. The foundation of</w:t>
      </w:r>
      <w:r>
        <w:rPr>
          <w:i/>
          <w:iCs/>
        </w:rPr>
        <w:t xml:space="preserve"> </w:t>
      </w:r>
      <w:r>
        <w:rPr>
          <w:i/>
          <w:iCs/>
        </w:rPr>
        <w:t xml:space="preserve">non-duplicative, reuse-first governance.</w:t>
      </w:r>
    </w:p>
    <w:bookmarkStart w:id="41" w:name="purpose-and-strategic-rationale"/>
    <w:p>
      <w:pPr>
        <w:pStyle w:val="Heading3"/>
      </w:pPr>
      <w:r>
        <w:t xml:space="preserve">6.1 Purpose and Strategic Rationale</w:t>
      </w:r>
    </w:p>
    <w:p>
      <w:pPr>
        <w:pStyle w:val="FirstParagraph"/>
      </w:pPr>
      <w:r>
        <w:t xml:space="preserve">A persistent failure in traditional software governance is the absence</w:t>
      </w:r>
      <w:r>
        <w:t xml:space="preserve"> </w:t>
      </w:r>
      <w:r>
        <w:t xml:space="preserve">of a continuously-maintained, authoritative record of what technology</w:t>
      </w:r>
      <w:r>
        <w:t xml:space="preserve"> </w:t>
      </w:r>
      <w:r>
        <w:t xml:space="preserve">the institution already owns, contracts for, or is building. Without</w:t>
      </w:r>
      <w:r>
        <w:t xml:space="preserve"> </w:t>
      </w:r>
      <w:r>
        <w:t xml:space="preserve">this foundation, duplicate procurement is routine, reuse opportunities</w:t>
      </w:r>
      <w:r>
        <w:t xml:space="preserve"> </w:t>
      </w:r>
      <w:r>
        <w:t xml:space="preserve">are invisible, shadow IT proliferates, and the existing solution check</w:t>
      </w:r>
      <w:r>
        <w:t xml:space="preserve"> </w:t>
      </w:r>
      <w:r>
        <w:t xml:space="preserve">at intake is either unreliable or skipped entirely. Phase 0 eliminates</w:t>
      </w:r>
      <w:r>
        <w:t xml:space="preserve"> </w:t>
      </w:r>
      <w:r>
        <w:t xml:space="preserve">this failure mode by establishing the Software Registry as a federated,</w:t>
      </w:r>
      <w:r>
        <w:t xml:space="preserve"> </w:t>
      </w:r>
      <w:r>
        <w:t xml:space="preserve">continuously-updated institutional knowledge base.</w:t>
      </w:r>
    </w:p>
    <w:p>
      <w:pPr>
        <w:pStyle w:val="BlockText"/>
      </w:pPr>
      <w:r>
        <w:rPr>
          <w:i/>
          <w:iCs/>
        </w:rPr>
        <w:t xml:space="preserve">Deterministic Knowledge Integration: The Software Registry is the</w:t>
      </w:r>
      <w:r>
        <w:rPr>
          <w:i/>
          <w:iCs/>
        </w:rPr>
        <w:t xml:space="preserve"> </w:t>
      </w:r>
      <w:r>
        <w:rPr>
          <w:i/>
          <w:iCs/>
        </w:rPr>
        <w:t xml:space="preserve">first and foundational deterministic knowledge base in this framework.</w:t>
      </w:r>
      <w:r>
        <w:rPr>
          <w:i/>
          <w:iCs/>
        </w:rPr>
        <w:t xml:space="preserve"> </w:t>
      </w:r>
      <w:r>
        <w:rPr>
          <w:i/>
          <w:iCs/>
        </w:rPr>
        <w:t xml:space="preserve">All downstream phases query it—not email threads, not spreadsheets,</w:t>
      </w:r>
      <w:r>
        <w:rPr>
          <w:i/>
          <w:iCs/>
        </w:rPr>
        <w:t xml:space="preserve"> </w:t>
      </w:r>
      <w:r>
        <w:rPr>
          <w:i/>
          <w:iCs/>
        </w:rPr>
        <w:t xml:space="preserve">not tribal knowledge. Knowledge generated in subsequent phases (reuse</w:t>
      </w:r>
      <w:r>
        <w:rPr>
          <w:i/>
          <w:iCs/>
        </w:rPr>
        <w:t xml:space="preserve"> </w:t>
      </w:r>
      <w:r>
        <w:rPr>
          <w:i/>
          <w:iCs/>
        </w:rPr>
        <w:t xml:space="preserve">decisions, decommission rationale, capability assessments) is staged</w:t>
      </w:r>
      <w:r>
        <w:rPr>
          <w:i/>
          <w:iCs/>
        </w:rPr>
        <w:t xml:space="preserve"> </w:t>
      </w:r>
      <w:r>
        <w:rPr>
          <w:i/>
          <w:iCs/>
        </w:rPr>
        <w:t xml:space="preserve">back into the Registry by the Knowledge Staging Agent.</w:t>
      </w:r>
    </w:p>
    <w:bookmarkEnd w:id="41"/>
    <w:bookmarkStart w:id="42" w:name="software-registry-federated-data-sources"/>
    <w:p>
      <w:pPr>
        <w:pStyle w:val="Heading3"/>
      </w:pPr>
      <w:r>
        <w:t xml:space="preserve">6.2 Software Registry: Federated Data Sources</w:t>
      </w:r>
    </w:p>
    <w:p>
      <w:pPr>
        <w:numPr>
          <w:ilvl w:val="0"/>
          <w:numId w:val="1006"/>
        </w:numPr>
      </w:pPr>
      <w:r>
        <w:rPr>
          <w:b/>
          <w:bCs/>
        </w:rPr>
        <w:t xml:space="preserve">Configuration Management Database (CMDB):</w:t>
      </w:r>
      <w:r>
        <w:t xml:space="preserve"> </w:t>
      </w:r>
      <w:r>
        <w:t xml:space="preserve">All deployed</w:t>
      </w:r>
      <w:r>
        <w:t xml:space="preserve"> </w:t>
      </w:r>
      <w:r>
        <w:t xml:space="preserve">applications and services—version, owner, business unit, integration</w:t>
      </w:r>
      <w:r>
        <w:t xml:space="preserve"> </w:t>
      </w:r>
      <w:r>
        <w:t xml:space="preserve">dependencies, data classification, environment</w:t>
      </w:r>
      <w:r>
        <w:t xml:space="preserve"> </w:t>
      </w:r>
      <w:r>
        <w:t xml:space="preserve">(production/non-production), and operational status.</w:t>
      </w:r>
    </w:p>
    <w:p>
      <w:pPr>
        <w:numPr>
          <w:ilvl w:val="0"/>
          <w:numId w:val="1006"/>
        </w:numPr>
      </w:pPr>
      <w:r>
        <w:rPr>
          <w:b/>
          <w:bCs/>
        </w:rPr>
        <w:t xml:space="preserve">Software Asset Management (SAM) Tool:</w:t>
      </w:r>
      <w:r>
        <w:t xml:space="preserve"> </w:t>
      </w:r>
      <w:r>
        <w:t xml:space="preserve">License entitlements, actual</w:t>
      </w:r>
      <w:r>
        <w:t xml:space="preserve"> </w:t>
      </w:r>
      <w:r>
        <w:t xml:space="preserve">seat utilization, renewal dates, contract values, compliance status,</w:t>
      </w:r>
      <w:r>
        <w:t xml:space="preserve"> </w:t>
      </w:r>
      <w:r>
        <w:t xml:space="preserve">and vendor contact records. Integrated with procurement system for</w:t>
      </w:r>
      <w:r>
        <w:t xml:space="preserve"> </w:t>
      </w:r>
      <w:r>
        <w:t xml:space="preserve">contract lifecycle alignment.</w:t>
      </w:r>
    </w:p>
    <w:p>
      <w:pPr>
        <w:numPr>
          <w:ilvl w:val="0"/>
          <w:numId w:val="1006"/>
        </w:numPr>
      </w:pPr>
      <w:r>
        <w:rPr>
          <w:b/>
          <w:bCs/>
        </w:rPr>
        <w:t xml:space="preserve">Internal Source Code Repository (GitHub Enterprise / Bitbucket /</w:t>
      </w:r>
      <w:r>
        <w:rPr>
          <w:b/>
          <w:bCs/>
        </w:rPr>
        <w:t xml:space="preserve"> </w:t>
      </w:r>
      <w:r>
        <w:rPr>
          <w:b/>
          <w:bCs/>
        </w:rPr>
        <w:t xml:space="preserve">Azure DevOps):</w:t>
      </w:r>
      <w:r>
        <w:t xml:space="preserve"> </w:t>
      </w:r>
      <w:r>
        <w:t xml:space="preserve">Automated scanning for internally built libraries,</w:t>
      </w:r>
      <w:r>
        <w:t xml:space="preserve"> </w:t>
      </w:r>
      <w:r>
        <w:t xml:space="preserve">microservices, APIs, SDKs, and in-flight builds. Dependency graph</w:t>
      </w:r>
      <w:r>
        <w:t xml:space="preserve"> </w:t>
      </w:r>
      <w:r>
        <w:t xml:space="preserve">analysis via SBOM generation (SPDX / CycloneDX) with vulnerability</w:t>
      </w:r>
      <w:r>
        <w:t xml:space="preserve"> </w:t>
      </w:r>
      <w:r>
        <w:t xml:space="preserve">scan integration.</w:t>
      </w:r>
    </w:p>
    <w:p>
      <w:pPr>
        <w:numPr>
          <w:ilvl w:val="0"/>
          <w:numId w:val="1006"/>
        </w:numPr>
      </w:pPr>
      <w:r>
        <w:rPr>
          <w:b/>
          <w:bCs/>
        </w:rPr>
        <w:t xml:space="preserve">SaaS Spend Analytics and SSO Integration:</w:t>
      </w:r>
      <w:r>
        <w:t xml:space="preserve"> </w:t>
      </w:r>
      <w:r>
        <w:t xml:space="preserve">SSO usage data</w:t>
      </w:r>
      <w:r>
        <w:t xml:space="preserve"> </w:t>
      </w:r>
      <w:r>
        <w:t xml:space="preserve">cross-referenced with expense management and card spend to detect</w:t>
      </w:r>
      <w:r>
        <w:t xml:space="preserve"> </w:t>
      </w:r>
      <w:r>
        <w:t xml:space="preserve">shadow IT.</w:t>
      </w:r>
    </w:p>
    <w:p>
      <w:pPr>
        <w:numPr>
          <w:ilvl w:val="0"/>
          <w:numId w:val="1006"/>
        </w:numPr>
      </w:pPr>
      <w:r>
        <w:rPr>
          <w:b/>
          <w:bCs/>
        </w:rPr>
        <w:t xml:space="preserve">Active Vendor Contract Repository:</w:t>
      </w:r>
      <w:r>
        <w:t xml:space="preserve"> </w:t>
      </w:r>
      <w:r>
        <w:t xml:space="preserve">All current MSAs, SaaS</w:t>
      </w:r>
      <w:r>
        <w:t xml:space="preserve"> </w:t>
      </w:r>
      <w:r>
        <w:t xml:space="preserve">agreements, professional services contracts, and addenda—including</w:t>
      </w:r>
      <w:r>
        <w:t xml:space="preserve"> </w:t>
      </w:r>
      <w:r>
        <w:t xml:space="preserve">expansion rights, multi-use provisions, and available seat counts.</w:t>
      </w:r>
    </w:p>
    <w:p>
      <w:pPr>
        <w:numPr>
          <w:ilvl w:val="0"/>
          <w:numId w:val="1006"/>
        </w:numPr>
      </w:pPr>
      <w:r>
        <w:rPr>
          <w:b/>
          <w:bCs/>
        </w:rPr>
        <w:t xml:space="preserve">In-Flight Development Backlog (Jira / Azure DevOps):</w:t>
      </w:r>
      <w:r>
        <w:t xml:space="preserve"> </w:t>
      </w:r>
      <w:r>
        <w:t xml:space="preserve">All</w:t>
      </w:r>
      <w:r>
        <w:t xml:space="preserve"> </w:t>
      </w:r>
      <w:r>
        <w:t xml:space="preserve">initiatives currently approved, in development, or in</w:t>
      </w:r>
      <w:r>
        <w:t xml:space="preserve"> </w:t>
      </w:r>
      <w:r>
        <w:t xml:space="preserve">procurement—enabling merge and deduplication detection at intake.</w:t>
      </w:r>
    </w:p>
    <w:p>
      <w:pPr>
        <w:numPr>
          <w:ilvl w:val="0"/>
          <w:numId w:val="1006"/>
        </w:numPr>
      </w:pPr>
      <w:r>
        <w:rPr>
          <w:b/>
          <w:bCs/>
        </w:rPr>
        <w:t xml:space="preserve">Retired and Decommissioned Asset Register:</w:t>
      </w:r>
      <w:r>
        <w:t xml:space="preserve"> </w:t>
      </w:r>
      <w:r>
        <w:t xml:space="preserve">Intentionally retired</w:t>
      </w:r>
      <w:r>
        <w:t xml:space="preserve"> </w:t>
      </w:r>
      <w:r>
        <w:t xml:space="preserve">tools with decommission rationale, preventing re-procurement of tools</w:t>
      </w:r>
      <w:r>
        <w:t xml:space="preserve"> </w:t>
      </w:r>
      <w:r>
        <w:t xml:space="preserve">removed for cause.</w:t>
      </w:r>
    </w:p>
    <w:p>
      <w:pPr>
        <w:numPr>
          <w:ilvl w:val="0"/>
          <w:numId w:val="1006"/>
        </w:numPr>
      </w:pPr>
      <w:r>
        <w:rPr>
          <w:b/>
          <w:bCs/>
        </w:rPr>
        <w:t xml:space="preserve">Open-Source Registry:</w:t>
      </w:r>
      <w:r>
        <w:t xml:space="preserve"> </w:t>
      </w:r>
      <w:r>
        <w:t xml:space="preserve">All open-source components approved for</w:t>
      </w:r>
      <w:r>
        <w:t xml:space="preserve"> </w:t>
      </w:r>
      <w:r>
        <w:t xml:space="preserve">enterprise use, including license type, security review status, and</w:t>
      </w:r>
      <w:r>
        <w:t xml:space="preserve"> </w:t>
      </w:r>
      <w:r>
        <w:t xml:space="preserve">approved version ranges.</w:t>
      </w:r>
    </w:p>
    <w:bookmarkEnd w:id="42"/>
    <w:bookmarkStart w:id="43" w:name="continuous-intelligence-processes"/>
    <w:p>
      <w:pPr>
        <w:pStyle w:val="Heading3"/>
      </w:pPr>
      <w:r>
        <w:t xml:space="preserve">6.3 Continuous Intelligence Processes</w:t>
      </w:r>
    </w:p>
    <w:p>
      <w:pPr>
        <w:pStyle w:val="FirstParagraph"/>
      </w:pPr>
      <w:r>
        <w:t xml:space="preserve">All processes below are</w:t>
      </w:r>
      <w:r>
        <w:t xml:space="preserve"> </w:t>
      </w:r>
      <w:r>
        <w:rPr>
          <w:b/>
          <w:bCs/>
        </w:rPr>
        <w:t xml:space="preserve">Automated (A)</w:t>
      </w:r>
      <w:r>
        <w:t xml:space="preserve"> </w:t>
      </w:r>
      <w:r>
        <w:t xml:space="preserve">unless noted:</w:t>
      </w:r>
    </w:p>
    <w:p>
      <w:pPr>
        <w:numPr>
          <w:ilvl w:val="0"/>
          <w:numId w:val="1007"/>
        </w:numPr>
      </w:pPr>
      <w:r>
        <w:t xml:space="preserve">Automated nightly reconciliation across all data sources with delta</w:t>
      </w:r>
      <w:r>
        <w:t xml:space="preserve"> </w:t>
      </w:r>
      <w:r>
        <w:t xml:space="preserve">alerting for new, changed, or expired assets.</w:t>
      </w:r>
      <w:r>
        <w:t xml:space="preserve"> </w:t>
      </w:r>
      <w:r>
        <w:rPr>
          <w:b/>
          <w:bCs/>
        </w:rPr>
        <w:t xml:space="preserve">(A)</w:t>
      </w:r>
    </w:p>
    <w:p>
      <w:pPr>
        <w:numPr>
          <w:ilvl w:val="0"/>
          <w:numId w:val="1007"/>
        </w:numPr>
      </w:pPr>
      <w:r>
        <w:t xml:space="preserve">Real-time API exposed to the Phase 1 Intake Bot and Phase 2 Routing</w:t>
      </w:r>
      <w:r>
        <w:t xml:space="preserve"> </w:t>
      </w:r>
      <w:r>
        <w:t xml:space="preserve">Engine: every intake query includes an automated Software Registry</w:t>
      </w:r>
      <w:r>
        <w:t xml:space="preserve"> </w:t>
      </w:r>
      <w:r>
        <w:t xml:space="preserve">lookup before human review begins.</w:t>
      </w:r>
      <w:r>
        <w:t xml:space="preserve"> </w:t>
      </w:r>
      <w:r>
        <w:rPr>
          <w:b/>
          <w:bCs/>
        </w:rPr>
        <w:t xml:space="preserve">(A)</w:t>
      </w:r>
    </w:p>
    <w:p>
      <w:pPr>
        <w:numPr>
          <w:ilvl w:val="0"/>
          <w:numId w:val="1007"/>
        </w:numPr>
      </w:pPr>
      <w:r>
        <w:t xml:space="preserve">License utilization alerting: any software asset with utilization</w:t>
      </w:r>
      <w:r>
        <w:t xml:space="preserve"> </w:t>
      </w:r>
      <w:r>
        <w:t xml:space="preserve">below 40% of licensed seats generates a reuse recommendation workflow.</w:t>
      </w:r>
      <w:r>
        <w:t xml:space="preserve"> </w:t>
      </w:r>
      <w:r>
        <w:rPr>
          <w:b/>
          <w:bCs/>
        </w:rPr>
        <w:t xml:space="preserve">(DA)</w:t>
      </w:r>
    </w:p>
    <w:p>
      <w:pPr>
        <w:numPr>
          <w:ilvl w:val="0"/>
          <w:numId w:val="1007"/>
        </w:numPr>
      </w:pPr>
      <w:r>
        <w:t xml:space="preserve">Shadow IT triage workflow: SSO-identified applications not registered</w:t>
      </w:r>
      <w:r>
        <w:t xml:space="preserve"> </w:t>
      </w:r>
      <w:r>
        <w:t xml:space="preserve">in the procurement system trigger an automated intake workflow.</w:t>
      </w:r>
      <w:r>
        <w:t xml:space="preserve"> </w:t>
      </w:r>
      <w:r>
        <w:rPr>
          <w:b/>
          <w:bCs/>
        </w:rPr>
        <w:t xml:space="preserve">(A)</w:t>
      </w:r>
    </w:p>
    <w:p>
      <w:pPr>
        <w:numPr>
          <w:ilvl w:val="0"/>
          <w:numId w:val="1007"/>
        </w:numPr>
      </w:pPr>
      <w:r>
        <w:t xml:space="preserve">SBOM collection: all internally built assets generate an SBOM stored</w:t>
      </w:r>
      <w:r>
        <w:t xml:space="preserve"> </w:t>
      </w:r>
      <w:r>
        <w:t xml:space="preserve">in the registry, linked to National Vulnerability Database (NVD)</w:t>
      </w:r>
      <w:r>
        <w:t xml:space="preserve"> </w:t>
      </w:r>
      <w:r>
        <w:t xml:space="preserve">scanning.</w:t>
      </w:r>
      <w:r>
        <w:t xml:space="preserve"> </w:t>
      </w:r>
      <w:r>
        <w:rPr>
          <w:b/>
          <w:bCs/>
        </w:rPr>
        <w:t xml:space="preserve">(A)</w:t>
      </w:r>
    </w:p>
    <w:p>
      <w:pPr>
        <w:numPr>
          <w:ilvl w:val="0"/>
          <w:numId w:val="1007"/>
        </w:numPr>
      </w:pPr>
      <w:r>
        <w:t xml:space="preserve">Quarterly reconciliation audit: Software Asset Manager reconciles</w:t>
      </w:r>
      <w:r>
        <w:t xml:space="preserve"> </w:t>
      </w:r>
      <w:r>
        <w:t xml:space="preserve">registry records against vendor invoices and CMDB configuration items.</w:t>
      </w:r>
      <w:r>
        <w:t xml:space="preserve"> </w:t>
      </w:r>
      <w:r>
        <w:rPr>
          <w:b/>
          <w:bCs/>
        </w:rPr>
        <w:t xml:space="preserve">(H)</w:t>
      </w:r>
    </w:p>
    <w:p>
      <w:pPr>
        <w:numPr>
          <w:ilvl w:val="0"/>
          <w:numId w:val="1007"/>
        </w:numPr>
      </w:pPr>
      <w:r>
        <w:t xml:space="preserve">Registry refresh SLA: any change to a production system is reflected</w:t>
      </w:r>
      <w:r>
        <w:t xml:space="preserve"> </w:t>
      </w:r>
      <w:r>
        <w:t xml:space="preserve">in the registry within 24 hours; new contract entries within 48 hours</w:t>
      </w:r>
      <w:r>
        <w:t xml:space="preserve"> </w:t>
      </w:r>
      <w:r>
        <w:t xml:space="preserve">of signature.</w:t>
      </w:r>
    </w:p>
    <w:bookmarkEnd w:id="43"/>
    <w:bookmarkStart w:id="44" w:name="registry-to-intake-query-interface"/>
    <w:p>
      <w:pPr>
        <w:pStyle w:val="Heading3"/>
      </w:pPr>
      <w:r>
        <w:t xml:space="preserve">6.4 Registry-to-Intake Query Interface</w:t>
      </w:r>
    </w:p>
    <w:p>
      <w:pPr>
        <w:pStyle w:val="FirstParagraph"/>
      </w:pPr>
      <w:r>
        <w:t xml:space="preserve">When a requestor begins an intake session, the Intake Bot automatically</w:t>
      </w:r>
      <w:r>
        <w:t xml:space="preserve"> </w:t>
      </w:r>
      <w:r>
        <w:t xml:space="preserve">executes a semantic search against the Software Registry using the</w:t>
      </w:r>
      <w:r>
        <w:t xml:space="preserve"> </w:t>
      </w:r>
      <w:r>
        <w:t xml:space="preserve">capability description. Results are returned in four categories:</w:t>
      </w:r>
    </w:p>
    <w:p>
      <w:pPr>
        <w:numPr>
          <w:ilvl w:val="0"/>
          <w:numId w:val="1008"/>
        </w:numPr>
      </w:pPr>
      <w:r>
        <w:rPr>
          <w:b/>
          <w:bCs/>
        </w:rPr>
        <w:t xml:space="preserve">Exact match (&gt;90% similarity):</w:t>
      </w:r>
      <w:r>
        <w:t xml:space="preserve"> </w:t>
      </w:r>
      <w:r>
        <w:t xml:space="preserve">Requestor is redirected to the</w:t>
      </w:r>
      <w:r>
        <w:t xml:space="preserve"> </w:t>
      </w:r>
      <w:r>
        <w:t xml:space="preserve">ITSM service catalog for self-service fulfilment. No further intake</w:t>
      </w:r>
      <w:r>
        <w:t xml:space="preserve"> </w:t>
      </w:r>
      <w:r>
        <w:t xml:space="preserve">required.</w:t>
      </w:r>
      <w:r>
        <w:t xml:space="preserve"> </w:t>
      </w:r>
      <w:r>
        <w:rPr>
          <w:b/>
          <w:bCs/>
        </w:rPr>
        <w:t xml:space="preserve">(A)</w:t>
      </w:r>
    </w:p>
    <w:p>
      <w:pPr>
        <w:numPr>
          <w:ilvl w:val="0"/>
          <w:numId w:val="1008"/>
        </w:numPr>
      </w:pPr>
      <w:r>
        <w:rPr>
          <w:b/>
          <w:bCs/>
        </w:rPr>
        <w:t xml:space="preserve">Partial capability match (70–90% similarity):</w:t>
      </w:r>
      <w:r>
        <w:t xml:space="preserve"> </w:t>
      </w:r>
      <w:r>
        <w:t xml:space="preserve">Product Owner is</w:t>
      </w:r>
      <w:r>
        <w:t xml:space="preserve"> </w:t>
      </w:r>
      <w:r>
        <w:t xml:space="preserve">notified; a structured reuse assessment is scheduled within five</w:t>
      </w:r>
      <w:r>
        <w:t xml:space="preserve"> </w:t>
      </w:r>
      <w:r>
        <w:t xml:space="preserve">business days.</w:t>
      </w:r>
      <w:r>
        <w:t xml:space="preserve"> </w:t>
      </w:r>
      <w:r>
        <w:rPr>
          <w:b/>
          <w:bCs/>
        </w:rPr>
        <w:t xml:space="preserve">(H)</w:t>
      </w:r>
    </w:p>
    <w:p>
      <w:pPr>
        <w:numPr>
          <w:ilvl w:val="0"/>
          <w:numId w:val="1008"/>
        </w:numPr>
      </w:pPr>
      <w:r>
        <w:rPr>
          <w:b/>
          <w:bCs/>
        </w:rPr>
        <w:t xml:space="preserve">In-flight backlog match:</w:t>
      </w:r>
      <w:r>
        <w:t xml:space="preserve"> </w:t>
      </w:r>
      <w:r>
        <w:t xml:space="preserve">Requestor is offered the option to merge</w:t>
      </w:r>
      <w:r>
        <w:t xml:space="preserve"> </w:t>
      </w:r>
      <w:r>
        <w:t xml:space="preserve">with the existing initiative or proceed as separate with documented</w:t>
      </w:r>
      <w:r>
        <w:t xml:space="preserve"> </w:t>
      </w:r>
      <w:r>
        <w:t xml:space="preserve">rationale.</w:t>
      </w:r>
      <w:r>
        <w:t xml:space="preserve"> </w:t>
      </w:r>
      <w:r>
        <w:rPr>
          <w:b/>
          <w:bCs/>
        </w:rPr>
        <w:t xml:space="preserve">(H)</w:t>
      </w:r>
    </w:p>
    <w:p>
      <w:pPr>
        <w:numPr>
          <w:ilvl w:val="0"/>
          <w:numId w:val="1008"/>
        </w:numPr>
      </w:pPr>
      <w:r>
        <w:rPr>
          <w:b/>
          <w:bCs/>
        </w:rPr>
        <w:t xml:space="preserve">Retired/decommissioned match:</w:t>
      </w:r>
      <w:r>
        <w:t xml:space="preserve"> </w:t>
      </w:r>
      <w:r>
        <w:t xml:space="preserve">Decommission rationale is surfaced</w:t>
      </w:r>
      <w:r>
        <w:t xml:space="preserve"> </w:t>
      </w:r>
      <w:r>
        <w:t xml:space="preserve">and included in the intake record.</w:t>
      </w:r>
      <w:r>
        <w:t xml:space="preserve"> </w:t>
      </w:r>
      <w:r>
        <w:rPr>
          <w:b/>
          <w:bCs/>
        </w:rPr>
        <w:t xml:space="preserve">(DA)</w:t>
      </w:r>
    </w:p>
    <w:bookmarkEnd w:id="44"/>
    <w:bookmarkEnd w:id="45"/>
    <w:bookmarkStart w:id="53" w:name="Xa77b030682a48013e9250413df9c5d46891abf2"/>
    <w:p>
      <w:pPr>
        <w:pStyle w:val="Heading2"/>
      </w:pPr>
      <w:r>
        <w:t xml:space="preserve">8. Phase 1: Intake, Risk Classification, and Capability Reuse Gate</w:t>
      </w:r>
    </w:p>
    <w:p>
      <w:pPr>
        <w:pStyle w:val="BlockText"/>
      </w:pPr>
      <w:r>
        <w:rPr>
          <w:b/>
          <w:bCs/>
        </w:rPr>
        <w:t xml:space="preserve">P1 Intake, Risk Classification, and Capability Reuse Gate</w:t>
      </w:r>
    </w:p>
    <w:p>
      <w:pPr>
        <w:pStyle w:val="BlockText"/>
      </w:pPr>
      <w:r>
        <w:rPr>
          <w:i/>
          <w:iCs/>
        </w:rPr>
        <w:t xml:space="preserve">Structured elicitation → Reuse check → PRD → Jira/ADO Epics → Git</w:t>
      </w:r>
      <w:r>
        <w:rPr>
          <w:i/>
          <w:iCs/>
        </w:rPr>
        <w:t xml:space="preserve"> </w:t>
      </w:r>
      <w:r>
        <w:rPr>
          <w:i/>
          <w:iCs/>
        </w:rPr>
        <w:t xml:space="preserve">linkage. Risk classified in parallel. Compliance validated early.</w:t>
      </w:r>
    </w:p>
    <w:bookmarkStart w:id="46" w:name="X60fc29414e203ebac309fb6b53c4403451c656c"/>
    <w:p>
      <w:pPr>
        <w:pStyle w:val="Heading3"/>
      </w:pPr>
      <w:r>
        <w:t xml:space="preserve">7.1 Conversational Intake Bot Design Standards</w:t>
      </w:r>
    </w:p>
    <w:p>
      <w:pPr>
        <w:pStyle w:val="FirstParagraph"/>
      </w:pPr>
      <w:r>
        <w:t xml:space="preserve">The institution’s intake mechanism must be a structured conversational</w:t>
      </w:r>
      <w:r>
        <w:t xml:space="preserve"> </w:t>
      </w:r>
      <w:r>
        <w:t xml:space="preserve">AI—not a form. A form can be submitted incomplete; a conversational</w:t>
      </w:r>
      <w:r>
        <w:t xml:space="preserve"> </w:t>
      </w:r>
      <w:r>
        <w:t xml:space="preserve">bot enforces completeness through progressive elicitation, validates</w:t>
      </w:r>
      <w:r>
        <w:t xml:space="preserve"> </w:t>
      </w:r>
      <w:r>
        <w:t xml:space="preserve">each response, and branches its question logic based on prior answers.</w:t>
      </w:r>
      <w:r>
        <w:t xml:space="preserve"> </w:t>
      </w:r>
      <w:r>
        <w:t xml:space="preserve">Task type:</w:t>
      </w:r>
      <w:r>
        <w:t xml:space="preserve"> </w:t>
      </w:r>
      <w:r>
        <w:rPr>
          <w:b/>
          <w:bCs/>
        </w:rPr>
        <w:t xml:space="preserve">Automated (A)</w:t>
      </w:r>
      <w:r>
        <w:t xml:space="preserve"> </w:t>
      </w:r>
      <w:r>
        <w:t xml:space="preserve">with</w:t>
      </w:r>
      <w:r>
        <w:t xml:space="preserve"> </w:t>
      </w:r>
      <w:r>
        <w:rPr>
          <w:b/>
          <w:bCs/>
        </w:rPr>
        <w:t xml:space="preserve">Deterministic Agent-Enabled (DA)</w:t>
      </w:r>
      <w:r>
        <w:t xml:space="preserve"> </w:t>
      </w:r>
      <w:r>
        <w:t xml:space="preserve">enrichment.</w:t>
      </w:r>
    </w:p>
    <w:p>
      <w:pPr>
        <w:numPr>
          <w:ilvl w:val="0"/>
          <w:numId w:val="1009"/>
        </w:numPr>
      </w:pPr>
      <w:r>
        <w:t xml:space="preserve">Guided, progressive disclosure: one targeted question at a time,</w:t>
      </w:r>
      <w:r>
        <w:t xml:space="preserve"> </w:t>
      </w:r>
      <w:r>
        <w:t xml:space="preserve">branching based on previous responses.</w:t>
      </w:r>
    </w:p>
    <w:p>
      <w:pPr>
        <w:numPr>
          <w:ilvl w:val="0"/>
          <w:numId w:val="1009"/>
        </w:numPr>
      </w:pPr>
      <w:r>
        <w:t xml:space="preserve">Context-aware personalization: the bot knows the requestor’s business</w:t>
      </w:r>
      <w:r>
        <w:t xml:space="preserve"> </w:t>
      </w:r>
      <w:r>
        <w:t xml:space="preserve">unit, existing entitlements from the Software Registry, and open</w:t>
      </w:r>
      <w:r>
        <w:t xml:space="preserve"> </w:t>
      </w:r>
      <w:r>
        <w:t xml:space="preserve">backlog initiatives.</w:t>
      </w:r>
    </w:p>
    <w:p>
      <w:pPr>
        <w:numPr>
          <w:ilvl w:val="0"/>
          <w:numId w:val="1009"/>
        </w:numPr>
      </w:pPr>
      <w:r>
        <w:t xml:space="preserve">Completeness enforcement: submission is only possible when all</w:t>
      </w:r>
      <w:r>
        <w:t xml:space="preserve"> </w:t>
      </w:r>
      <w:r>
        <w:t xml:space="preserve">pathway-specific required fields have been validated.</w:t>
      </w:r>
    </w:p>
    <w:p>
      <w:pPr>
        <w:numPr>
          <w:ilvl w:val="0"/>
          <w:numId w:val="1009"/>
        </w:numPr>
      </w:pPr>
      <w:r>
        <w:t xml:space="preserve">Scoring transparency: the bot displays the requestor’s preliminary</w:t>
      </w:r>
      <w:r>
        <w:t xml:space="preserve"> </w:t>
      </w:r>
      <w:r>
        <w:t xml:space="preserve">risk score and pathway routing as it develops.</w:t>
      </w:r>
    </w:p>
    <w:p>
      <w:pPr>
        <w:numPr>
          <w:ilvl w:val="0"/>
          <w:numId w:val="1009"/>
        </w:numPr>
      </w:pPr>
      <w:r>
        <w:t xml:space="preserve">Session persistence: conversational state is saved; sessions can be</w:t>
      </w:r>
      <w:r>
        <w:t xml:space="preserve"> </w:t>
      </w:r>
      <w:r>
        <w:t xml:space="preserve">paused and resumed.</w:t>
      </w:r>
    </w:p>
    <w:p>
      <w:pPr>
        <w:numPr>
          <w:ilvl w:val="0"/>
          <w:numId w:val="1009"/>
        </w:numPr>
      </w:pPr>
      <w:r>
        <w:t xml:space="preserve">Immutable conversation log: every exchange is written to an</w:t>
      </w:r>
      <w:r>
        <w:t xml:space="preserve"> </w:t>
      </w:r>
      <w:r>
        <w:t xml:space="preserve">append-only event store with timestamp, session ID, and requestor</w:t>
      </w:r>
      <w:r>
        <w:t xml:space="preserve"> </w:t>
      </w:r>
      <w:r>
        <w:t xml:space="preserve">role—satisfying regulatory audit trail requirements.</w:t>
      </w:r>
    </w:p>
    <w:bookmarkEnd w:id="46"/>
    <w:bookmarkStart w:id="47" w:name="structured-intake-fields-by-domain"/>
    <w:p>
      <w:pPr>
        <w:pStyle w:val="Heading3"/>
      </w:pPr>
      <w:r>
        <w:t xml:space="preserve">7.2 Structured Intake Fields by Domain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Fields Collected</w:t>
            </w:r>
          </w:p>
        </w:tc>
        <w:tc>
          <w:tcPr/>
          <w:p>
            <w:pPr>
              <w:pStyle w:val="Compact"/>
            </w:pPr>
            <w:r>
              <w:t xml:space="preserve">Purpose / Downstream Use</w:t>
            </w:r>
          </w:p>
        </w:tc>
      </w:tr>
      <w:tr>
        <w:tc>
          <w:tcPr/>
          <w:p>
            <w:pPr>
              <w:pStyle w:val="Compact"/>
            </w:pPr>
            <w:r>
              <w:t xml:space="preserve">Business Context</w:t>
            </w:r>
          </w:p>
        </w:tc>
        <w:tc>
          <w:tcPr/>
          <w:p>
            <w:pPr>
              <w:pStyle w:val="Compact"/>
            </w:pPr>
            <w:r>
              <w:t xml:space="preserve">Problem statement; affected user population; impacted business process; annual transaction volume; SLA expectations; urgency driver</w:t>
            </w:r>
          </w:p>
        </w:tc>
        <w:tc>
          <w:tcPr/>
          <w:p>
            <w:pPr>
              <w:pStyle w:val="Compact"/>
            </w:pPr>
            <w:r>
              <w:t xml:space="preserve">PRD context; risk scoring; portfolio scheduling</w:t>
            </w:r>
          </w:p>
        </w:tc>
      </w:tr>
      <w:tr>
        <w:tc>
          <w:tcPr/>
          <w:p>
            <w:pPr>
              <w:pStyle w:val="Compact"/>
            </w:pPr>
            <w:r>
              <w:t xml:space="preserve">Capability Definition</w:t>
            </w:r>
          </w:p>
        </w:tc>
        <w:tc>
          <w:tcPr/>
          <w:p>
            <w:pPr>
              <w:pStyle w:val="Compact"/>
            </w:pPr>
            <w:r>
              <w:t xml:space="preserve">Natural language feature description; capability category (AI/ML, productivity, analytics, integration, data, security, reporting); sub-domain classification</w:t>
            </w:r>
          </w:p>
        </w:tc>
        <w:tc>
          <w:tcPr/>
          <w:p>
            <w:pPr>
              <w:pStyle w:val="Compact"/>
            </w:pPr>
            <w:r>
              <w:t xml:space="preserve">Registry semantic match; technical routing</w:t>
            </w:r>
          </w:p>
        </w:tc>
      </w:tr>
      <w:tr>
        <w:tc>
          <w:tcPr/>
          <w:p>
            <w:pPr>
              <w:pStyle w:val="Compact"/>
            </w:pPr>
            <w:r>
              <w:t xml:space="preserve">Value Quantification</w:t>
            </w:r>
          </w:p>
        </w:tc>
        <w:tc>
          <w:tcPr/>
          <w:p>
            <w:pPr>
              <w:pStyle w:val="Compact"/>
            </w:pPr>
            <w:r>
              <w:t xml:space="preserve">Estimated annual business value (FTE savings, revenue uplift, risk reduction, regulatory avoidance); strategic alignment score; ROI timeframe</w:t>
            </w:r>
          </w:p>
        </w:tc>
        <w:tc>
          <w:tcPr/>
          <w:p>
            <w:pPr>
              <w:pStyle w:val="Compact"/>
            </w:pPr>
            <w:r>
              <w:t xml:space="preserve">Prioritization scoring; Go/No-Go DMN input</w:t>
            </w:r>
          </w:p>
        </w:tc>
      </w:tr>
      <w:tr>
        <w:tc>
          <w:tcPr/>
          <w:p>
            <w:pPr>
              <w:pStyle w:val="Compact"/>
            </w:pPr>
            <w:r>
              <w:t xml:space="preserve">Data and Privacy</w:t>
            </w:r>
          </w:p>
        </w:tc>
        <w:tc>
          <w:tcPr/>
          <w:p>
            <w:pPr>
              <w:pStyle w:val="Compact"/>
            </w:pPr>
            <w:r>
              <w:t xml:space="preserve">Data classification (PII, NPI, confidential, regulated, public); data residency; retention obligations; third-party data sharing; applicable privacy regulations</w:t>
            </w:r>
          </w:p>
        </w:tc>
        <w:tc>
          <w:tcPr/>
          <w:p>
            <w:pPr>
              <w:pStyle w:val="Compact"/>
            </w:pPr>
            <w:r>
              <w:t xml:space="preserve">AI risk tier; CyberSec routing; TPRM due diligence; DPA requirement</w:t>
            </w:r>
          </w:p>
        </w:tc>
      </w:tr>
      <w:tr>
        <w:tc>
          <w:tcPr/>
          <w:p>
            <w:pPr>
              <w:pStyle w:val="Compact"/>
            </w:pPr>
            <w:r>
              <w:t xml:space="preserve">AI / Automation Flags</w:t>
            </w:r>
          </w:p>
        </w:tc>
        <w:tc>
          <w:tcPr/>
          <w:p>
            <w:pPr>
              <w:pStyle w:val="Compact"/>
            </w:pPr>
            <w:r>
              <w:t xml:space="preserve">AI-enabled (Y/N); model type; training data source; inference frequency; human-in-the-loop provisions; output type (recommendation, decision, generation)</w:t>
            </w:r>
          </w:p>
        </w:tc>
        <w:tc>
          <w:tcPr/>
          <w:p>
            <w:pPr>
              <w:pStyle w:val="Compact"/>
            </w:pPr>
            <w:r>
              <w:t xml:space="preserve">SR 11-7 model risk tier; AI Governance routing; observability design tier</w:t>
            </w:r>
          </w:p>
        </w:tc>
      </w:tr>
      <w:tr>
        <w:tc>
          <w:tcPr/>
          <w:p>
            <w:pPr>
              <w:pStyle w:val="Compact"/>
            </w:pPr>
            <w:r>
              <w:t xml:space="preserve">Integration Requirements</w:t>
            </w:r>
          </w:p>
        </w:tc>
        <w:tc>
          <w:tcPr/>
          <w:p>
            <w:pPr>
              <w:pStyle w:val="Compact"/>
            </w:pPr>
            <w:r>
              <w:t xml:space="preserve">Systems requiring integration (CMDB lookup); API protocols; SSO/IAM requirements; data volumes and latency; network segmentation</w:t>
            </w:r>
          </w:p>
        </w:tc>
        <w:tc>
          <w:tcPr/>
          <w:p>
            <w:pPr>
              <w:pStyle w:val="Compact"/>
            </w:pPr>
            <w:r>
              <w:t xml:space="preserve">Architecture review routing; build complexity estimation</w:t>
            </w:r>
          </w:p>
        </w:tc>
      </w:tr>
      <w:tr>
        <w:tc>
          <w:tcPr/>
          <w:p>
            <w:pPr>
              <w:pStyle w:val="Compact"/>
            </w:pPr>
            <w:r>
              <w:t xml:space="preserve">Regulatory and Compliance</w:t>
            </w:r>
          </w:p>
        </w:tc>
        <w:tc>
          <w:tcPr/>
          <w:p>
            <w:pPr>
              <w:pStyle w:val="Compact"/>
            </w:pPr>
            <w:r>
              <w:t xml:space="preserve">Applicable regulations; specific control requirements; auditability and record retention; cross-border regulatory flags</w:t>
            </w:r>
          </w:p>
        </w:tc>
        <w:tc>
          <w:tcPr/>
          <w:p>
            <w:pPr>
              <w:pStyle w:val="Compact"/>
            </w:pPr>
            <w:r>
              <w:t xml:space="preserve">Compliance governance routing; contract terms; observability retention</w:t>
            </w:r>
          </w:p>
        </w:tc>
      </w:tr>
      <w:tr>
        <w:tc>
          <w:tcPr/>
          <w:p>
            <w:pPr>
              <w:pStyle w:val="Compact"/>
            </w:pPr>
            <w:r>
              <w:t xml:space="preserve">Resource and Timeline</w:t>
            </w:r>
          </w:p>
        </w:tc>
        <w:tc>
          <w:tcPr/>
          <w:p>
            <w:pPr>
              <w:pStyle w:val="Compact"/>
            </w:pPr>
            <w:r>
              <w:t xml:space="preserve">Desired go-live date; business event drivers; internal resource availability; budget range</w:t>
            </w:r>
          </w:p>
        </w:tc>
        <w:tc>
          <w:tcPr/>
          <w:p>
            <w:pPr>
              <w:pStyle w:val="Compact"/>
            </w:pPr>
            <w:r>
              <w:t xml:space="preserve">Portfolio scheduling; finance engagement</w:t>
            </w:r>
          </w:p>
        </w:tc>
      </w:tr>
      <w:tr>
        <w:tc>
          <w:tcPr/>
          <w:p>
            <w:pPr>
              <w:pStyle w:val="Compact"/>
            </w:pPr>
            <w:r>
              <w:t xml:space="preserve">Vendor Context (Buy)</w:t>
            </w:r>
          </w:p>
        </w:tc>
        <w:tc>
          <w:tcPr/>
          <w:p>
            <w:pPr>
              <w:pStyle w:val="Compact"/>
            </w:pPr>
            <w:r>
              <w:t xml:space="preserve">Known vendor preference; incumbent relationships; open-source consideration; prior vendor performance data</w:t>
            </w:r>
          </w:p>
        </w:tc>
        <w:tc>
          <w:tcPr/>
          <w:p>
            <w:pPr>
              <w:pStyle w:val="Compact"/>
            </w:pPr>
            <w:r>
              <w:t xml:space="preserve">Vendor sourcing strategy; concentration risk assessment</w:t>
            </w:r>
          </w:p>
        </w:tc>
      </w:tr>
    </w:tbl>
    <w:bookmarkEnd w:id="47"/>
    <w:bookmarkStart w:id="48" w:name="mandatory-capability-reuse-gate-dmn-15"/>
    <w:p>
      <w:pPr>
        <w:pStyle w:val="Heading3"/>
      </w:pPr>
      <w:r>
        <w:t xml:space="preserve">7.3 Mandatory Capability Reuse Gate (DMN-15)</w:t>
      </w:r>
    </w:p>
    <w:p>
      <w:pPr>
        <w:pStyle w:val="BlockText"/>
      </w:pPr>
      <w:r>
        <w:rPr>
          <w:i/>
          <w:iCs/>
        </w:rPr>
        <w:t xml:space="preserve">Capability Reuse Before Net-New Build: Before any downstream design</w:t>
      </w:r>
      <w:r>
        <w:rPr>
          <w:i/>
          <w:iCs/>
        </w:rPr>
        <w:t xml:space="preserve"> </w:t>
      </w:r>
      <w:r>
        <w:rPr>
          <w:i/>
          <w:iCs/>
        </w:rPr>
        <w:t xml:space="preserve">or build activity proceeds, a mandatory capability reuse evaluation</w:t>
      </w:r>
      <w:r>
        <w:rPr>
          <w:i/>
          <w:iCs/>
        </w:rPr>
        <w:t xml:space="preserve"> </w:t>
      </w:r>
      <w:r>
        <w:rPr>
          <w:i/>
          <w:iCs/>
        </w:rPr>
        <w:t xml:space="preserve">must occur. This gate queries the institutional registry, tests reuse</w:t>
      </w:r>
      <w:r>
        <w:rPr>
          <w:i/>
          <w:iCs/>
        </w:rPr>
        <w:t xml:space="preserve"> </w:t>
      </w:r>
      <w:r>
        <w:rPr>
          <w:i/>
          <w:iCs/>
        </w:rPr>
        <w:t xml:space="preserve">potential, and logs the decision rationale. It is governed by</w:t>
      </w:r>
      <w:r>
        <w:rPr>
          <w:i/>
          <w:iCs/>
        </w:rPr>
        <w:t xml:space="preserve"> </w:t>
      </w:r>
      <w:r>
        <w:rPr>
          <w:i/>
          <w:iCs/>
        </w:rPr>
        <w:t xml:space="preserve">deterministic decision rules (DMN-15). Objective: Prevent redundancy,</w:t>
      </w:r>
      <w:r>
        <w:rPr>
          <w:i/>
          <w:iCs/>
        </w:rPr>
        <w:t xml:space="preserve"> </w:t>
      </w:r>
      <w:r>
        <w:rPr>
          <w:i/>
          <w:iCs/>
        </w:rPr>
        <w:t xml:space="preserve">shorten cycle time, reduce downstream compliance effort.</w:t>
      </w:r>
    </w:p>
    <w:p>
      <w:pPr>
        <w:pStyle w:val="FirstParagraph"/>
      </w:pPr>
      <w:r>
        <w:t xml:space="preserve">The Capability Reuse Gate is a</w:t>
      </w:r>
      <w:r>
        <w:t xml:space="preserve"> </w:t>
      </w:r>
      <w:r>
        <w:rPr>
          <w:b/>
          <w:bCs/>
        </w:rPr>
        <w:t xml:space="preserve">Deterministic Agent-Enabled (DA)</w:t>
      </w:r>
      <w:r>
        <w:t xml:space="preserve"> </w:t>
      </w:r>
      <w:r>
        <w:t xml:space="preserve">task</w:t>
      </w:r>
      <w:r>
        <w:t xml:space="preserve"> </w:t>
      </w:r>
      <w:r>
        <w:t xml:space="preserve">that fires automatically after the Intake Bot has collected sufficient</w:t>
      </w:r>
      <w:r>
        <w:t xml:space="preserve"> </w:t>
      </w:r>
      <w:r>
        <w:t xml:space="preserve">capability definition data. It executes the following sequence:</w:t>
      </w:r>
    </w:p>
    <w:p>
      <w:pPr>
        <w:numPr>
          <w:ilvl w:val="0"/>
          <w:numId w:val="1010"/>
        </w:numPr>
      </w:pPr>
      <w:r>
        <w:rPr>
          <w:b/>
          <w:bCs/>
        </w:rPr>
        <w:t xml:space="preserve">Step 1: Registry Query.</w:t>
      </w:r>
      <w:r>
        <w:t xml:space="preserve"> </w:t>
      </w:r>
      <w:r>
        <w:t xml:space="preserve">The agent queries the Software Registry</w:t>
      </w:r>
      <w:r>
        <w:t xml:space="preserve"> </w:t>
      </w:r>
      <w:r>
        <w:t xml:space="preserve">using the capability description, category, sub-domain, and</w:t>
      </w:r>
      <w:r>
        <w:t xml:space="preserve"> </w:t>
      </w:r>
      <w:r>
        <w:t xml:space="preserve">integration requirements. Semantic similarity scoring is applied</w:t>
      </w:r>
      <w:r>
        <w:t xml:space="preserve"> </w:t>
      </w:r>
      <w:r>
        <w:t xml:space="preserve">against all active, in-flight, and retired assets.</w:t>
      </w:r>
      <w:r>
        <w:t xml:space="preserve"> </w:t>
      </w:r>
      <w:r>
        <w:rPr>
          <w:b/>
          <w:bCs/>
        </w:rPr>
        <w:t xml:space="preserve">(A)</w:t>
      </w:r>
    </w:p>
    <w:p>
      <w:pPr>
        <w:numPr>
          <w:ilvl w:val="0"/>
          <w:numId w:val="1010"/>
        </w:numPr>
      </w:pPr>
      <w:r>
        <w:rPr>
          <w:b/>
          <w:bCs/>
        </w:rPr>
        <w:t xml:space="preserve">Step 2: Reuse Potential Test.</w:t>
      </w:r>
      <w:r>
        <w:t xml:space="preserve"> </w:t>
      </w:r>
      <w:r>
        <w:t xml:space="preserve">For matches scoring above 70%, the</w:t>
      </w:r>
      <w:r>
        <w:t xml:space="preserve"> </w:t>
      </w:r>
      <w:r>
        <w:t xml:space="preserve">agent evaluates reuse potential by comparing functional requirements,</w:t>
      </w:r>
      <w:r>
        <w:t xml:space="preserve"> </w:t>
      </w:r>
      <w:r>
        <w:t xml:space="preserve">integration compatibility, license availability, and security posture</w:t>
      </w:r>
      <w:r>
        <w:t xml:space="preserve"> </w:t>
      </w:r>
      <w:r>
        <w:t xml:space="preserve">against the new request.</w:t>
      </w:r>
      <w:r>
        <w:t xml:space="preserve"> </w:t>
      </w:r>
      <w:r>
        <w:rPr>
          <w:b/>
          <w:bCs/>
        </w:rPr>
        <w:t xml:space="preserve">(DA)</w:t>
      </w:r>
    </w:p>
    <w:p>
      <w:pPr>
        <w:numPr>
          <w:ilvl w:val="0"/>
          <w:numId w:val="1010"/>
        </w:numPr>
      </w:pPr>
      <w:r>
        <w:rPr>
          <w:b/>
          <w:bCs/>
        </w:rPr>
        <w:t xml:space="preserve">Step 3: Decision Rationale Logging.</w:t>
      </w:r>
      <w:r>
        <w:t xml:space="preserve"> </w:t>
      </w:r>
      <w:r>
        <w:t xml:space="preserve">The reuse evaluation result,</w:t>
      </w:r>
      <w:r>
        <w:t xml:space="preserve"> </w:t>
      </w:r>
      <w:r>
        <w:t xml:space="preserve">match scores, and decision rationale are logged to the decision audit</w:t>
      </w:r>
      <w:r>
        <w:t xml:space="preserve"> </w:t>
      </w:r>
      <w:r>
        <w:t xml:space="preserve">trail with full provenance (registry version, query timestamp, agent</w:t>
      </w:r>
      <w:r>
        <w:t xml:space="preserve"> </w:t>
      </w:r>
      <w:r>
        <w:t xml:space="preserve">version, knowledge base version).</w:t>
      </w:r>
      <w:r>
        <w:t xml:space="preserve"> </w:t>
      </w:r>
      <w:r>
        <w:rPr>
          <w:b/>
          <w:bCs/>
        </w:rPr>
        <w:t xml:space="preserve">(A)</w:t>
      </w:r>
    </w:p>
    <w:p>
      <w:pPr>
        <w:pStyle w:val="FirstParagraph"/>
      </w:pPr>
      <w:r>
        <w:t xml:space="preserve">DMN-15 governs the reuse decision: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Registry Match</w:t>
            </w:r>
          </w:p>
        </w:tc>
        <w:tc>
          <w:tcPr/>
          <w:p>
            <w:pPr>
              <w:pStyle w:val="Compact"/>
            </w:pPr>
            <w:r>
              <w:t xml:space="preserve">Functional Fit</w:t>
            </w:r>
          </w:p>
        </w:tc>
        <w:tc>
          <w:tcPr/>
          <w:p>
            <w:pPr>
              <w:pStyle w:val="Compact"/>
            </w:pPr>
            <w:r>
              <w:t xml:space="preserve">License Avail.</w:t>
            </w:r>
          </w:p>
        </w:tc>
        <w:tc>
          <w:tcPr/>
          <w:p>
            <w:pPr>
              <w:pStyle w:val="Compact"/>
            </w:pPr>
            <w:r>
              <w:t xml:space="preserve">Decision</w:t>
            </w:r>
          </w:p>
        </w:tc>
        <w:tc>
          <w:tcPr/>
          <w:p>
            <w:pPr>
              <w:pStyle w:val="Compact"/>
            </w:pPr>
            <w:r>
              <w:t xml:space="preserve">Action</w:t>
            </w:r>
          </w:p>
        </w:tc>
        <w:tc>
          <w:tcPr/>
          <w:p>
            <w:pPr>
              <w:pStyle w:val="Compact"/>
            </w:pPr>
            <w:r>
              <w:t xml:space="preserve">Task Type</w:t>
            </w:r>
          </w:p>
        </w:tc>
      </w:tr>
      <w:tr>
        <w:tc>
          <w:tcPr/>
          <w:p>
            <w:pPr>
              <w:pStyle w:val="Compact"/>
            </w:pPr>
            <w:r>
              <w:t xml:space="preserve">1</w:t>
            </w:r>
          </w:p>
        </w:tc>
        <w:tc>
          <w:tcPr/>
          <w:p>
            <w:pPr>
              <w:pStyle w:val="Compact"/>
            </w:pPr>
            <w:r>
              <w:t xml:space="preserve">&gt;90%</w:t>
            </w:r>
          </w:p>
        </w:tc>
        <w:tc>
          <w:tcPr/>
          <w:p>
            <w:pPr>
              <w:pStyle w:val="Compact"/>
            </w:pPr>
            <w:r>
              <w:t xml:space="preserve">Full</w:t>
            </w:r>
          </w:p>
        </w:tc>
        <w:tc>
          <w:tcPr/>
          <w:p>
            <w:pPr>
              <w:pStyle w:val="Compact"/>
            </w:pPr>
            <w:r>
              <w:t xml:space="preserve">Available</w:t>
            </w:r>
          </w:p>
        </w:tc>
        <w:tc>
          <w:tcPr/>
          <w:p>
            <w:pPr>
              <w:pStyle w:val="Compact"/>
            </w:pPr>
            <w:r>
              <w:t xml:space="preserve">REUSE—REDIRECT</w:t>
            </w:r>
          </w:p>
        </w:tc>
        <w:tc>
          <w:tcPr/>
          <w:p>
            <w:pPr>
              <w:pStyle w:val="Compact"/>
            </w:pPr>
            <w:r>
              <w:t xml:space="preserve">Redirect to ITSM; close intake</w:t>
            </w:r>
          </w:p>
        </w:tc>
        <w:tc>
          <w:tcPr/>
          <w:p>
            <w:pPr>
              <w:pStyle w:val="Compact"/>
            </w:pPr>
            <w:r>
              <w:t xml:space="preserve">A</w:t>
            </w:r>
          </w:p>
        </w:tc>
      </w:tr>
      <w:tr>
        <w:tc>
          <w:tcPr/>
          <w:p>
            <w:pPr>
              <w:pStyle w:val="Compact"/>
            </w:pPr>
            <w:r>
              <w:t xml:space="preserve">2</w:t>
            </w:r>
          </w:p>
        </w:tc>
        <w:tc>
          <w:tcPr/>
          <w:p>
            <w:pPr>
              <w:pStyle w:val="Compact"/>
            </w:pPr>
            <w:r>
              <w:t xml:space="preserve">70–90%</w:t>
            </w:r>
          </w:p>
        </w:tc>
        <w:tc>
          <w:tcPr/>
          <w:p>
            <w:pPr>
              <w:pStyle w:val="Compact"/>
            </w:pPr>
            <w:r>
              <w:t xml:space="preserve">Partial</w:t>
            </w:r>
          </w:p>
        </w:tc>
        <w:tc>
          <w:tcPr/>
          <w:p>
            <w:pPr>
              <w:pStyle w:val="Compact"/>
            </w:pPr>
            <w:r>
              <w:t xml:space="preserve">Available</w:t>
            </w:r>
          </w:p>
        </w:tc>
        <w:tc>
          <w:tcPr/>
          <w:p>
            <w:pPr>
              <w:pStyle w:val="Compact"/>
            </w:pPr>
            <w:r>
              <w:t xml:space="preserve">REUSE ASSESSMENT</w:t>
            </w:r>
          </w:p>
        </w:tc>
        <w:tc>
          <w:tcPr/>
          <w:p>
            <w:pPr>
              <w:pStyle w:val="Compact"/>
            </w:pPr>
            <w:r>
              <w:t xml:space="preserve">Schedule structured assessment within 5 business days</w:t>
            </w:r>
          </w:p>
        </w:tc>
        <w:tc>
          <w:tcPr/>
          <w:p>
            <w:pPr>
              <w:pStyle w:val="Compact"/>
            </w:pPr>
            <w:r>
              <w:t xml:space="preserve">H</w:t>
            </w:r>
          </w:p>
        </w:tc>
      </w:tr>
      <w:tr>
        <w:tc>
          <w:tcPr/>
          <w:p>
            <w:pPr>
              <w:pStyle w:val="Compact"/>
            </w:pPr>
            <w:r>
              <w:t xml:space="preserve">3</w:t>
            </w:r>
          </w:p>
        </w:tc>
        <w:tc>
          <w:tcPr/>
          <w:p>
            <w:pPr>
              <w:pStyle w:val="Compact"/>
            </w:pPr>
            <w:r>
              <w:t xml:space="preserve">70–90%</w:t>
            </w:r>
          </w:p>
        </w:tc>
        <w:tc>
          <w:tcPr/>
          <w:p>
            <w:pPr>
              <w:pStyle w:val="Compact"/>
            </w:pPr>
            <w:r>
              <w:t xml:space="preserve">Any</w:t>
            </w:r>
          </w:p>
        </w:tc>
        <w:tc>
          <w:tcPr/>
          <w:p>
            <w:pPr>
              <w:pStyle w:val="Compact"/>
            </w:pPr>
            <w:r>
              <w:t xml:space="preserve">Unavailable</w:t>
            </w:r>
          </w:p>
        </w:tc>
        <w:tc>
          <w:tcPr/>
          <w:p>
            <w:pPr>
              <w:pStyle w:val="Compact"/>
            </w:pPr>
            <w:r>
              <w:t xml:space="preserve">EVALUATE EXPANSION</w:t>
            </w:r>
          </w:p>
        </w:tc>
        <w:tc>
          <w:tcPr/>
          <w:p>
            <w:pPr>
              <w:pStyle w:val="Compact"/>
            </w:pPr>
            <w:r>
              <w:t xml:space="preserve">Procurement evaluates license expansion vs. net-new</w:t>
            </w:r>
          </w:p>
        </w:tc>
        <w:tc>
          <w:tcPr/>
          <w:p>
            <w:pPr>
              <w:pStyle w:val="Compact"/>
            </w:pPr>
            <w:r>
              <w:t xml:space="preserve">H</w:t>
            </w:r>
          </w:p>
        </w:tc>
      </w:tr>
      <w:tr>
        <w:tc>
          <w:tcPr/>
          <w:p>
            <w:pPr>
              <w:pStyle w:val="Compact"/>
            </w:pPr>
            <w:r>
              <w:t xml:space="preserve">4</w:t>
            </w:r>
          </w:p>
        </w:tc>
        <w:tc>
          <w:tcPr/>
          <w:p>
            <w:pPr>
              <w:pStyle w:val="Compact"/>
            </w:pPr>
            <w:r>
              <w:t xml:space="preserve">&lt;70%</w:t>
            </w:r>
          </w:p>
        </w:tc>
        <w:tc>
          <w:tcPr/>
          <w:p>
            <w:pPr>
              <w:pStyle w:val="Compact"/>
            </w:pPr>
            <w:r>
              <w:t xml:space="preserve">N/A</w:t>
            </w:r>
          </w:p>
        </w:tc>
        <w:tc>
          <w:tcPr/>
          <w:p>
            <w:pPr>
              <w:pStyle w:val="Compact"/>
            </w:pPr>
            <w:r>
              <w:t xml:space="preserve">N/A</w:t>
            </w:r>
          </w:p>
        </w:tc>
        <w:tc>
          <w:tcPr/>
          <w:p>
            <w:pPr>
              <w:pStyle w:val="Compact"/>
            </w:pPr>
            <w:r>
              <w:t xml:space="preserve">PROCEED AS NEW</w:t>
            </w:r>
          </w:p>
        </w:tc>
        <w:tc>
          <w:tcPr/>
          <w:p>
            <w:pPr>
              <w:pStyle w:val="Compact"/>
            </w:pPr>
            <w:r>
              <w:t xml:space="preserve">Continue to risk classification and routing</w:t>
            </w:r>
          </w:p>
        </w:tc>
        <w:tc>
          <w:tcPr/>
          <w:p>
            <w:pPr>
              <w:pStyle w:val="Compact"/>
            </w:pPr>
            <w:r>
              <w:t xml:space="preserve">A</w:t>
            </w:r>
          </w:p>
        </w:tc>
      </w:tr>
      <w:tr>
        <w:tc>
          <w:tcPr/>
          <w:p>
            <w:pPr>
              <w:pStyle w:val="Compact"/>
            </w:pPr>
            <w:r>
              <w:t xml:space="preserve">5</w:t>
            </w:r>
          </w:p>
        </w:tc>
        <w:tc>
          <w:tcPr/>
          <w:p>
            <w:pPr>
              <w:pStyle w:val="Compact"/>
            </w:pPr>
            <w:r>
              <w:t xml:space="preserve">Retired match</w:t>
            </w:r>
          </w:p>
        </w:tc>
        <w:tc>
          <w:tcPr/>
          <w:p>
            <w:pPr>
              <w:pStyle w:val="Compact"/>
            </w:pPr>
            <w:r>
              <w:t xml:space="preserve">N/A</w:t>
            </w:r>
          </w:p>
        </w:tc>
        <w:tc>
          <w:tcPr/>
          <w:p>
            <w:pPr>
              <w:pStyle w:val="Compact"/>
            </w:pPr>
            <w:r>
              <w:t xml:space="preserve">N/A</w:t>
            </w:r>
          </w:p>
        </w:tc>
        <w:tc>
          <w:tcPr/>
          <w:p>
            <w:pPr>
              <w:pStyle w:val="Compact"/>
            </w:pPr>
            <w:r>
              <w:t xml:space="preserve">SURFACE RATIONALE</w:t>
            </w:r>
          </w:p>
        </w:tc>
        <w:tc>
          <w:tcPr/>
          <w:p>
            <w:pPr>
              <w:pStyle w:val="Compact"/>
            </w:pPr>
            <w:r>
              <w:t xml:space="preserve">Decommission rationale surfaced; proceed as new with rationale logged</w:t>
            </w:r>
          </w:p>
        </w:tc>
        <w:tc>
          <w:tcPr/>
          <w:p>
            <w:pPr>
              <w:pStyle w:val="Compact"/>
            </w:pPr>
            <w:r>
              <w:t xml:space="preserve">DA</w:t>
            </w:r>
          </w:p>
        </w:tc>
      </w:tr>
    </w:tbl>
    <w:bookmarkEnd w:id="48"/>
    <w:bookmarkStart w:id="49" w:name="Xf3bc5dc364c8548a77380628c0068d5cdc16c59"/>
    <w:p>
      <w:pPr>
        <w:pStyle w:val="Heading3"/>
      </w:pPr>
      <w:r>
        <w:t xml:space="preserve">7.4 Concurrent AI Risk Assessment: Five-Dimension Classification</w:t>
      </w:r>
    </w:p>
    <w:p>
      <w:pPr>
        <w:pStyle w:val="FirstParagraph"/>
      </w:pPr>
      <w:r>
        <w:t xml:space="preserve">While the Intake Bot elicits intake information and the Capability Reuse</w:t>
      </w:r>
      <w:r>
        <w:t xml:space="preserve"> </w:t>
      </w:r>
      <w:r>
        <w:t xml:space="preserve">Gate executes, a parallel, automated risk assessment engine classifies</w:t>
      </w:r>
      <w:r>
        <w:t xml:space="preserve"> </w:t>
      </w:r>
      <w:r>
        <w:t xml:space="preserve">the request across five dimensions simultaneously. This</w:t>
      </w:r>
      <w:r>
        <w:t xml:space="preserve"> </w:t>
      </w:r>
      <w:r>
        <w:t xml:space="preserve">classification—not a post-submission review—determines the</w:t>
      </w:r>
      <w:r>
        <w:t xml:space="preserve"> </w:t>
      </w:r>
      <w:r>
        <w:t xml:space="preserve">governance depth, approval authority, and observability requirements</w:t>
      </w:r>
      <w:r>
        <w:t xml:space="preserve"> </w:t>
      </w:r>
      <w:r>
        <w:t xml:space="preserve">from the outset. Task type:</w:t>
      </w:r>
      <w:r>
        <w:t xml:space="preserve"> </w:t>
      </w:r>
      <w:r>
        <w:rPr>
          <w:b/>
          <w:bCs/>
        </w:rPr>
        <w:t xml:space="preserve">Automated (A)</w:t>
      </w:r>
      <w:r>
        <w:t xml:space="preserve"> </w:t>
      </w:r>
      <w:r>
        <w:t xml:space="preserve">with</w:t>
      </w:r>
      <w:r>
        <w:t xml:space="preserve"> </w:t>
      </w:r>
      <w:r>
        <w:rPr>
          <w:b/>
          <w:bCs/>
        </w:rPr>
        <w:t xml:space="preserve">Deterministic</w:t>
      </w:r>
      <w:r>
        <w:rPr>
          <w:b/>
          <w:bCs/>
        </w:rPr>
        <w:t xml:space="preserve"> </w:t>
      </w:r>
      <w:r>
        <w:rPr>
          <w:b/>
          <w:bCs/>
        </w:rPr>
        <w:t xml:space="preserve">Agent-Enabled (DA)</w:t>
      </w:r>
      <w:r>
        <w:t xml:space="preserve"> </w:t>
      </w:r>
      <w:r>
        <w:t xml:space="preserve">enrichment for complex classifications.</w:t>
      </w:r>
    </w:p>
    <w:p>
      <w:pPr>
        <w:numPr>
          <w:ilvl w:val="0"/>
          <w:numId w:val="1011"/>
        </w:numPr>
      </w:pPr>
      <w:r>
        <w:rPr>
          <w:b/>
          <w:bCs/>
        </w:rPr>
        <w:t xml:space="preserve">Dimension 1: Model Risk Tier (SR 11-7 / NIST AI RMF).</w:t>
      </w:r>
      <w:r>
        <w:t xml:space="preserve"> </w:t>
      </w:r>
      <w:r>
        <w:t xml:space="preserve">Tier 1</w:t>
      </w:r>
      <w:r>
        <w:t xml:space="preserve"> </w:t>
      </w:r>
      <w:r>
        <w:t xml:space="preserve">(High): model outputs materially influence credit underwriting,</w:t>
      </w:r>
      <w:r>
        <w:t xml:space="preserve"> </w:t>
      </w:r>
      <w:r>
        <w:t xml:space="preserve">regulatory capital, fraud decisioning, or consumer-facing compliance</w:t>
      </w:r>
      <w:r>
        <w:t xml:space="preserve"> </w:t>
      </w:r>
      <w:r>
        <w:t xml:space="preserve">decisions. Requires independent validation, MRM Committee approval,</w:t>
      </w:r>
      <w:r>
        <w:t xml:space="preserve"> </w:t>
      </w:r>
      <w:r>
        <w:t xml:space="preserve">Board-level reporting, full observability, executive sponsor sign-off.</w:t>
      </w:r>
      <w:r>
        <w:t xml:space="preserve"> </w:t>
      </w:r>
      <w:r>
        <w:t xml:space="preserve">Tier 2 (Moderate): material operational impact, not directly embedded</w:t>
      </w:r>
      <w:r>
        <w:t xml:space="preserve"> </w:t>
      </w:r>
      <w:r>
        <w:t xml:space="preserve">in regulated financial decisions. Tier 3 (Low):</w:t>
      </w:r>
      <w:r>
        <w:t xml:space="preserve"> </w:t>
      </w:r>
      <w:r>
        <w:t xml:space="preserve">automation/productivity tools with no model risk exposure.</w:t>
      </w:r>
    </w:p>
    <w:p>
      <w:pPr>
        <w:numPr>
          <w:ilvl w:val="0"/>
          <w:numId w:val="1011"/>
        </w:numPr>
      </w:pPr>
      <w:r>
        <w:rPr>
          <w:b/>
          <w:bCs/>
        </w:rPr>
        <w:t xml:space="preserve">Dimension 2: Data Privacy and Residency Risk.</w:t>
      </w:r>
      <w:r>
        <w:t xml:space="preserve"> </w:t>
      </w:r>
      <w:r>
        <w:t xml:space="preserve">PII/NPI handling</w:t>
      </w:r>
      <w:r>
        <w:t xml:space="preserve"> </w:t>
      </w:r>
      <w:r>
        <w:t xml:space="preserve">triggers GDPR/CCPA/GLB compliance review, mandatory DPA, data</w:t>
      </w:r>
      <w:r>
        <w:t xml:space="preserve"> </w:t>
      </w:r>
      <w:r>
        <w:t xml:space="preserve">residency verification, and deletion/portability provisions.</w:t>
      </w:r>
    </w:p>
    <w:p>
      <w:pPr>
        <w:numPr>
          <w:ilvl w:val="0"/>
          <w:numId w:val="1011"/>
        </w:numPr>
      </w:pPr>
      <w:r>
        <w:rPr>
          <w:b/>
          <w:bCs/>
        </w:rPr>
        <w:t xml:space="preserve">Dimension 3: Cybersecurity Risk Score.</w:t>
      </w:r>
      <w:r>
        <w:t xml:space="preserve"> </w:t>
      </w:r>
      <w:r>
        <w:t xml:space="preserve">Composite score across</w:t>
      </w:r>
      <w:r>
        <w:t xml:space="preserve"> </w:t>
      </w:r>
      <w:r>
        <w:t xml:space="preserve">external connectivity, authentication model, data sensitivity, network</w:t>
      </w:r>
      <w:r>
        <w:t xml:space="preserve"> </w:t>
      </w:r>
      <w:r>
        <w:t xml:space="preserve">segmentation, and incident response obligations.</w:t>
      </w:r>
    </w:p>
    <w:p>
      <w:pPr>
        <w:numPr>
          <w:ilvl w:val="0"/>
          <w:numId w:val="1011"/>
        </w:numPr>
      </w:pPr>
      <w:r>
        <w:rPr>
          <w:b/>
          <w:bCs/>
        </w:rPr>
        <w:t xml:space="preserve">Dimension 4: Operational and Concentration Risk.</w:t>
      </w:r>
      <w:r>
        <w:t xml:space="preserve"> </w:t>
      </w:r>
      <w:r>
        <w:t xml:space="preserve">Critical activity</w:t>
      </w:r>
      <w:r>
        <w:t xml:space="preserve"> </w:t>
      </w:r>
      <w:r>
        <w:t xml:space="preserve">designation per OCC definition; concentration risk assessment per BCBS</w:t>
      </w:r>
      <w:r>
        <w:t xml:space="preserve"> </w:t>
      </w:r>
      <w:r>
        <w:t xml:space="preserve">d577.</w:t>
      </w:r>
    </w:p>
    <w:p>
      <w:pPr>
        <w:numPr>
          <w:ilvl w:val="0"/>
          <w:numId w:val="1011"/>
        </w:numPr>
      </w:pPr>
      <w:r>
        <w:rPr>
          <w:b/>
          <w:bCs/>
        </w:rPr>
        <w:t xml:space="preserve">Dimension 5: Regulatory Classification.</w:t>
      </w:r>
      <w:r>
        <w:t xml:space="preserve"> </w:t>
      </w:r>
      <w:r>
        <w:t xml:space="preserve">Automated tagging of</w:t>
      </w:r>
      <w:r>
        <w:t xml:space="preserve"> </w:t>
      </w:r>
      <w:r>
        <w:t xml:space="preserve">applicable regulatory frameworks based on business function, data</w:t>
      </w:r>
      <w:r>
        <w:t xml:space="preserve"> </w:t>
      </w:r>
      <w:r>
        <w:t xml:space="preserve">types, AI flags, and distribution channel.</w:t>
      </w:r>
    </w:p>
    <w:bookmarkEnd w:id="49"/>
    <w:bookmarkStart w:id="50" w:name="Xb8a36cc69b24ba32c12434c3f4bb87d21527ad1"/>
    <w:p>
      <w:pPr>
        <w:pStyle w:val="Heading3"/>
      </w:pPr>
      <w:r>
        <w:t xml:space="preserve">7.5 Early Deterministic Compliance and Risk Validation</w:t>
      </w:r>
    </w:p>
    <w:p>
      <w:pPr>
        <w:pStyle w:val="BlockText"/>
      </w:pPr>
      <w:r>
        <w:rPr>
          <w:i/>
          <w:iCs/>
        </w:rPr>
        <w:t xml:space="preserve">Shift Compliance Left: Compliance and risk evaluation occurs at</w:t>
      </w:r>
      <w:r>
        <w:rPr>
          <w:i/>
          <w:iCs/>
        </w:rPr>
        <w:t xml:space="preserve"> </w:t>
      </w:r>
      <w:r>
        <w:rPr>
          <w:i/>
          <w:iCs/>
        </w:rPr>
        <w:t xml:space="preserve">intake—not as a late-stage gate. All compliance inputs come from</w:t>
      </w:r>
      <w:r>
        <w:rPr>
          <w:i/>
          <w:iCs/>
        </w:rPr>
        <w:t xml:space="preserve"> </w:t>
      </w:r>
      <w:r>
        <w:rPr>
          <w:i/>
          <w:iCs/>
        </w:rPr>
        <w:t xml:space="preserve">deterministic, auditable knowledge bases. No informal email-based</w:t>
      </w:r>
      <w:r>
        <w:rPr>
          <w:i/>
          <w:iCs/>
        </w:rPr>
        <w:t xml:space="preserve"> </w:t>
      </w:r>
      <w:r>
        <w:rPr>
          <w:i/>
          <w:iCs/>
        </w:rPr>
        <w:t xml:space="preserve">validation loops. Agent-enabled analysis supports RFP review, testing</w:t>
      </w:r>
      <w:r>
        <w:rPr>
          <w:i/>
          <w:iCs/>
        </w:rPr>
        <w:t xml:space="preserve"> </w:t>
      </w:r>
      <w:r>
        <w:rPr>
          <w:i/>
          <w:iCs/>
        </w:rPr>
        <w:t xml:space="preserve">requirements, and risk classification, but all inputs are traceable to</w:t>
      </w:r>
      <w:r>
        <w:rPr>
          <w:i/>
          <w:iCs/>
        </w:rPr>
        <w:t xml:space="preserve"> </w:t>
      </w:r>
      <w:r>
        <w:rPr>
          <w:i/>
          <w:iCs/>
        </w:rPr>
        <w:t xml:space="preserve">versioned knowledge bases.</w:t>
      </w:r>
    </w:p>
    <w:p>
      <w:pPr>
        <w:pStyle w:val="FirstParagraph"/>
      </w:pPr>
      <w:r>
        <w:t xml:space="preserve">The following compliance checks fire during Phase 1 as</w:t>
      </w:r>
      <w:r>
        <w:t xml:space="preserve"> </w:t>
      </w:r>
      <w:r>
        <w:rPr>
          <w:b/>
          <w:bCs/>
        </w:rPr>
        <w:t xml:space="preserve">Deterministic</w:t>
      </w:r>
      <w:r>
        <w:rPr>
          <w:b/>
          <w:bCs/>
        </w:rPr>
        <w:t xml:space="preserve"> </w:t>
      </w:r>
      <w:r>
        <w:rPr>
          <w:b/>
          <w:bCs/>
        </w:rPr>
        <w:t xml:space="preserve">Agent-Enabled (DA)</w:t>
      </w:r>
      <w:r>
        <w:t xml:space="preserve"> </w:t>
      </w:r>
      <w:r>
        <w:t xml:space="preserve">tasks:</w:t>
      </w:r>
    </w:p>
    <w:p>
      <w:pPr>
        <w:numPr>
          <w:ilvl w:val="0"/>
          <w:numId w:val="1012"/>
        </w:numPr>
      </w:pPr>
      <w:r>
        <w:rPr>
          <w:b/>
          <w:bCs/>
        </w:rPr>
        <w:t xml:space="preserve">Regulatory applicability scan:</w:t>
      </w:r>
      <w:r>
        <w:t xml:space="preserve"> </w:t>
      </w:r>
      <w:r>
        <w:t xml:space="preserve">Agent queries the Regulatory</w:t>
      </w:r>
      <w:r>
        <w:t xml:space="preserve"> </w:t>
      </w:r>
      <w:r>
        <w:t xml:space="preserve">Requirements Knowledge Base to identify all applicable regulations</w:t>
      </w:r>
      <w:r>
        <w:t xml:space="preserve"> </w:t>
      </w:r>
      <w:r>
        <w:t xml:space="preserve">based on business function, data types, AI flags, and jurisdiction.</w:t>
      </w:r>
      <w:r>
        <w:t xml:space="preserve"> </w:t>
      </w:r>
      <w:r>
        <w:t xml:space="preserve">Output: structured list of regulatory obligations with citation.</w:t>
      </w:r>
      <w:r>
        <w:t xml:space="preserve"> </w:t>
      </w:r>
      <w:r>
        <w:rPr>
          <w:b/>
          <w:bCs/>
        </w:rPr>
        <w:t xml:space="preserve">(DA)</w:t>
      </w:r>
    </w:p>
    <w:p>
      <w:pPr>
        <w:numPr>
          <w:ilvl w:val="0"/>
          <w:numId w:val="1012"/>
        </w:numPr>
      </w:pPr>
      <w:r>
        <w:rPr>
          <w:b/>
          <w:bCs/>
        </w:rPr>
        <w:t xml:space="preserve">Data classification validation:</w:t>
      </w:r>
      <w:r>
        <w:t xml:space="preserve"> </w:t>
      </w:r>
      <w:r>
        <w:t xml:space="preserve">Agent validates data</w:t>
      </w:r>
      <w:r>
        <w:t xml:space="preserve"> </w:t>
      </w:r>
      <w:r>
        <w:t xml:space="preserve">classification against the Data Governance Knowledge Base. If PII/NPI</w:t>
      </w:r>
      <w:r>
        <w:t xml:space="preserve"> </w:t>
      </w:r>
      <w:r>
        <w:t xml:space="preserve">is flagged, mandatory DPA and privacy review requirements are</w:t>
      </w:r>
      <w:r>
        <w:t xml:space="preserve"> </w:t>
      </w:r>
      <w:r>
        <w:t xml:space="preserve">auto-populated.</w:t>
      </w:r>
      <w:r>
        <w:t xml:space="preserve"> </w:t>
      </w:r>
      <w:r>
        <w:rPr>
          <w:b/>
          <w:bCs/>
        </w:rPr>
        <w:t xml:space="preserve">(DA)</w:t>
      </w:r>
    </w:p>
    <w:p>
      <w:pPr>
        <w:numPr>
          <w:ilvl w:val="0"/>
          <w:numId w:val="1012"/>
        </w:numPr>
      </w:pPr>
      <w:r>
        <w:rPr>
          <w:b/>
          <w:bCs/>
        </w:rPr>
        <w:t xml:space="preserve">AI risk tier assignment (DMN-09):</w:t>
      </w:r>
      <w:r>
        <w:t xml:space="preserve"> </w:t>
      </w:r>
      <w:r>
        <w:t xml:space="preserve">Deterministic classification of</w:t>
      </w:r>
      <w:r>
        <w:t xml:space="preserve"> </w:t>
      </w:r>
      <w:r>
        <w:t xml:space="preserve">AI risk tier based on decision materiality, regulatory impact, and</w:t>
      </w:r>
      <w:r>
        <w:t xml:space="preserve"> </w:t>
      </w:r>
      <w:r>
        <w:t xml:space="preserve">model complexity.</w:t>
      </w:r>
      <w:r>
        <w:t xml:space="preserve"> </w:t>
      </w:r>
      <w:r>
        <w:rPr>
          <w:b/>
          <w:bCs/>
        </w:rPr>
        <w:t xml:space="preserve">(A)</w:t>
      </w:r>
    </w:p>
    <w:p>
      <w:pPr>
        <w:numPr>
          <w:ilvl w:val="0"/>
          <w:numId w:val="1012"/>
        </w:numPr>
      </w:pPr>
      <w:r>
        <w:rPr>
          <w:b/>
          <w:bCs/>
        </w:rPr>
        <w:t xml:space="preserve">Compliance governance notification:</w:t>
      </w:r>
      <w:r>
        <w:t xml:space="preserve"> </w:t>
      </w:r>
      <w:r>
        <w:t xml:space="preserve">If regulatory flags are</w:t>
      </w:r>
      <w:r>
        <w:t xml:space="preserve"> </w:t>
      </w:r>
      <w:r>
        <w:t xml:space="preserve">raised, the Compliance Governance role is notified with a structured</w:t>
      </w:r>
      <w:r>
        <w:t xml:space="preserve"> </w:t>
      </w:r>
      <w:r>
        <w:t xml:space="preserve">summary and response SLA. No email—structured notification via the</w:t>
      </w:r>
      <w:r>
        <w:t xml:space="preserve"> </w:t>
      </w:r>
      <w:r>
        <w:t xml:space="preserve">workflow system.</w:t>
      </w:r>
      <w:r>
        <w:t xml:space="preserve"> </w:t>
      </w:r>
      <w:r>
        <w:rPr>
          <w:b/>
          <w:bCs/>
        </w:rPr>
        <w:t xml:space="preserve">(A)</w:t>
      </w:r>
    </w:p>
    <w:bookmarkEnd w:id="50"/>
    <w:bookmarkStart w:id="51" w:name="prd-auto-generation-pipeline"/>
    <w:p>
      <w:pPr>
        <w:pStyle w:val="Heading3"/>
      </w:pPr>
      <w:r>
        <w:t xml:space="preserve">7.6 PRD Auto-Generation Pipeline</w:t>
      </w:r>
    </w:p>
    <w:p>
      <w:pPr>
        <w:pStyle w:val="FirstParagraph"/>
      </w:pPr>
      <w:r>
        <w:t xml:space="preserve">Upon completion of intake, reuse gate, and risk classification, the</w:t>
      </w:r>
      <w:r>
        <w:t xml:space="preserve"> </w:t>
      </w:r>
      <w:r>
        <w:t xml:space="preserve">system automatically generates a structured Product Requirements</w:t>
      </w:r>
      <w:r>
        <w:t xml:space="preserve"> </w:t>
      </w:r>
      <w:r>
        <w:t xml:space="preserve">Document (PRD). Task type:</w:t>
      </w:r>
      <w:r>
        <w:t xml:space="preserve"> </w:t>
      </w:r>
      <w:r>
        <w:rPr>
          <w:b/>
          <w:bCs/>
        </w:rPr>
        <w:t xml:space="preserve">Automated (A)</w:t>
      </w:r>
      <w:r>
        <w:t xml:space="preserve"> </w:t>
      </w:r>
      <w:r>
        <w:t xml:space="preserve">with</w:t>
      </w:r>
      <w:r>
        <w:t xml:space="preserve"> </w:t>
      </w:r>
      <w:r>
        <w:rPr>
          <w:b/>
          <w:bCs/>
        </w:rPr>
        <w:t xml:space="preserve">Deterministic</w:t>
      </w:r>
      <w:r>
        <w:rPr>
          <w:b/>
          <w:bCs/>
        </w:rPr>
        <w:t xml:space="preserve"> </w:t>
      </w:r>
      <w:r>
        <w:rPr>
          <w:b/>
          <w:bCs/>
        </w:rPr>
        <w:t xml:space="preserve">Agent-Enabled (DA)</w:t>
      </w:r>
      <w:r>
        <w:t xml:space="preserve"> </w:t>
      </w:r>
      <w:r>
        <w:t xml:space="preserve">enrichment from knowledge bases.</w:t>
      </w:r>
    </w:p>
    <w:p>
      <w:pPr>
        <w:numPr>
          <w:ilvl w:val="0"/>
          <w:numId w:val="1013"/>
        </w:numPr>
      </w:pPr>
      <w:r>
        <w:t xml:space="preserve">Cover: request ID; date; requestor business unit; pathway assignment;</w:t>
      </w:r>
      <w:r>
        <w:t xml:space="preserve"> </w:t>
      </w:r>
      <w:r>
        <w:t xml:space="preserve">preliminary risk scores; Product Owner assigned.</w:t>
      </w:r>
    </w:p>
    <w:p>
      <w:pPr>
        <w:numPr>
          <w:ilvl w:val="0"/>
          <w:numId w:val="1013"/>
        </w:numPr>
      </w:pPr>
      <w:r>
        <w:t xml:space="preserve">Problem Statement and Opportunity Definition.</w:t>
      </w:r>
    </w:p>
    <w:p>
      <w:pPr>
        <w:numPr>
          <w:ilvl w:val="0"/>
          <w:numId w:val="1013"/>
        </w:numPr>
      </w:pPr>
      <w:r>
        <w:t xml:space="preserve">Functional Requirements (from capability definition and integration</w:t>
      </w:r>
      <w:r>
        <w:t xml:space="preserve"> </w:t>
      </w:r>
      <w:r>
        <w:t xml:space="preserve">fields).</w:t>
      </w:r>
    </w:p>
    <w:p>
      <w:pPr>
        <w:numPr>
          <w:ilvl w:val="0"/>
          <w:numId w:val="1013"/>
        </w:numPr>
      </w:pPr>
      <w:r>
        <w:t xml:space="preserve">Non-Functional Requirements (performance SLAs, availability, security</w:t>
      </w:r>
      <w:r>
        <w:t xml:space="preserve"> </w:t>
      </w:r>
      <w:r>
        <w:t xml:space="preserve">classification, data residency, DR objectives).</w:t>
      </w:r>
    </w:p>
    <w:p>
      <w:pPr>
        <w:numPr>
          <w:ilvl w:val="0"/>
          <w:numId w:val="1013"/>
        </w:numPr>
      </w:pPr>
      <w:r>
        <w:t xml:space="preserve">Regulatory Requirements (auto-populated from regulatory classification</w:t>
      </w:r>
      <w:r>
        <w:t xml:space="preserve"> </w:t>
      </w:r>
      <w:r>
        <w:t xml:space="preserve">output with specific regulation and clause citations).</w:t>
      </w:r>
    </w:p>
    <w:p>
      <w:pPr>
        <w:numPr>
          <w:ilvl w:val="0"/>
          <w:numId w:val="1013"/>
        </w:numPr>
      </w:pPr>
      <w:r>
        <w:t xml:space="preserve">AI Governance Requirements (if AI-enabled: model card template</w:t>
      </w:r>
      <w:r>
        <w:t xml:space="preserve"> </w:t>
      </w:r>
      <w:r>
        <w:t xml:space="preserve">pre-populated; observability requirements; drift monitoring cadence;</w:t>
      </w:r>
      <w:r>
        <w:t xml:space="preserve"> </w:t>
      </w:r>
      <w:r>
        <w:t xml:space="preserve">human-in-the-loop specification).</w:t>
      </w:r>
    </w:p>
    <w:p>
      <w:pPr>
        <w:numPr>
          <w:ilvl w:val="0"/>
          <w:numId w:val="1013"/>
        </w:numPr>
      </w:pPr>
      <w:r>
        <w:t xml:space="preserve">Capability Reuse Assessment Summary (DMN-15 output with decision</w:t>
      </w:r>
      <w:r>
        <w:t xml:space="preserve"> </w:t>
      </w:r>
      <w:r>
        <w:t xml:space="preserve">rationale).</w:t>
      </w:r>
    </w:p>
    <w:p>
      <w:pPr>
        <w:numPr>
          <w:ilvl w:val="0"/>
          <w:numId w:val="1013"/>
        </w:numPr>
      </w:pPr>
      <w:r>
        <w:t xml:space="preserve">Preliminary Acceptance Criteria (AI-generated, reviewed and approved</w:t>
      </w:r>
      <w:r>
        <w:t xml:space="preserve"> </w:t>
      </w:r>
      <w:r>
        <w:t xml:space="preserve">by Product Owner).</w:t>
      </w:r>
    </w:p>
    <w:bookmarkEnd w:id="51"/>
    <w:bookmarkStart w:id="52" w:name="Xefb5c191f95a815f5b5f1e66c4afd18140e3d96"/>
    <w:p>
      <w:pPr>
        <w:pStyle w:val="Heading3"/>
      </w:pPr>
      <w:r>
        <w:t xml:space="preserve">7.7 Backlog Automation: Jira / Azure DevOps and Git Integration</w:t>
      </w:r>
    </w:p>
    <w:p>
      <w:pPr>
        <w:pStyle w:val="FirstParagraph"/>
      </w:pPr>
      <w:r>
        <w:t xml:space="preserve">Upon Product Owner approval of the PRD, the system automatically pushes</w:t>
      </w:r>
      <w:r>
        <w:t xml:space="preserve"> </w:t>
      </w:r>
      <w:r>
        <w:t xml:space="preserve">artifacts to the designated development project management tool. Task</w:t>
      </w:r>
      <w:r>
        <w:t xml:space="preserve"> </w:t>
      </w:r>
      <w:r>
        <w:t xml:space="preserve">type:</w:t>
      </w:r>
      <w:r>
        <w:t xml:space="preserve"> </w:t>
      </w:r>
      <w:r>
        <w:rPr>
          <w:b/>
          <w:bCs/>
        </w:rPr>
        <w:t xml:space="preserve">Automated (A)</w:t>
      </w:r>
      <w:r>
        <w:t xml:space="preserve">.</w:t>
      </w:r>
    </w:p>
    <w:p>
      <w:pPr>
        <w:numPr>
          <w:ilvl w:val="0"/>
          <w:numId w:val="1014"/>
        </w:numPr>
      </w:pPr>
      <w:r>
        <w:t xml:space="preserve">Parent Epic: maps to the full PRD with bi-directional document link;</w:t>
      </w:r>
      <w:r>
        <w:t xml:space="preserve"> </w:t>
      </w:r>
      <w:r>
        <w:t xml:space="preserve">tagged with risk tier, regulatory flags, and TPRM status.</w:t>
      </w:r>
    </w:p>
    <w:p>
      <w:pPr>
        <w:numPr>
          <w:ilvl w:val="0"/>
          <w:numId w:val="1014"/>
        </w:numPr>
      </w:pPr>
      <w:r>
        <w:t xml:space="preserve">Feature Stories: one per functional requirement; formatted as user</w:t>
      </w:r>
      <w:r>
        <w:t xml:space="preserve"> </w:t>
      </w:r>
      <w:r>
        <w:t xml:space="preserve">stories with acceptance criteria in Gherkin format.</w:t>
      </w:r>
    </w:p>
    <w:p>
      <w:pPr>
        <w:numPr>
          <w:ilvl w:val="0"/>
          <w:numId w:val="1014"/>
        </w:numPr>
      </w:pPr>
      <w:r>
        <w:t xml:space="preserve">Technical Notes and Dependency Flags: pre-populated from architecture</w:t>
      </w:r>
      <w:r>
        <w:t xml:space="preserve"> </w:t>
      </w:r>
      <w:r>
        <w:t xml:space="preserve">and integration fields.</w:t>
      </w:r>
    </w:p>
    <w:p>
      <w:pPr>
        <w:numPr>
          <w:ilvl w:val="0"/>
          <w:numId w:val="1014"/>
        </w:numPr>
      </w:pPr>
      <w:r>
        <w:t xml:space="preserve">Story Point Estimates: AI-generated rough sizing (S/M/L/XL) based on</w:t>
      </w:r>
      <w:r>
        <w:t xml:space="preserve"> </w:t>
      </w:r>
      <w:r>
        <w:t xml:space="preserve">historical comparables—subject to Engineering refinement.</w:t>
      </w:r>
    </w:p>
    <w:p>
      <w:pPr>
        <w:numPr>
          <w:ilvl w:val="0"/>
          <w:numId w:val="1014"/>
        </w:numPr>
      </w:pPr>
      <w:r>
        <w:t xml:space="preserve">Git Repository Linkage: feature branch naming convention applied;</w:t>
      </w:r>
      <w:r>
        <w:t xml:space="preserve"> </w:t>
      </w:r>
      <w:r>
        <w:t xml:space="preserve">initial branch created; branch protection rules applied.</w:t>
      </w:r>
    </w:p>
    <w:bookmarkEnd w:id="52"/>
    <w:bookmarkEnd w:id="53"/>
    <w:bookmarkStart w:id="57" w:name="Xf866c1c8d6098c81d167688db55f6dfc25f5258"/>
    <w:p>
      <w:pPr>
        <w:pStyle w:val="Heading2"/>
      </w:pPr>
      <w:r>
        <w:t xml:space="preserve">9. Phase 2: AI Routing Engine and Composite Scoring</w:t>
      </w:r>
    </w:p>
    <w:p>
      <w:pPr>
        <w:pStyle w:val="BlockText"/>
      </w:pPr>
      <w:r>
        <w:rPr>
          <w:b/>
          <w:bCs/>
        </w:rPr>
        <w:t xml:space="preserve">P2 AI Routing Engine and Composite Scoring</w:t>
      </w:r>
    </w:p>
    <w:p>
      <w:pPr>
        <w:pStyle w:val="BlockText"/>
      </w:pPr>
      <w:r>
        <w:rPr>
          <w:i/>
          <w:iCs/>
        </w:rPr>
        <w:t xml:space="preserve">Deterministic DMN-01 fires on structured data. Pathway assigned. SLA</w:t>
      </w:r>
      <w:r>
        <w:rPr>
          <w:i/>
          <w:iCs/>
        </w:rPr>
        <w:t xml:space="preserve"> </w:t>
      </w:r>
      <w:r>
        <w:rPr>
          <w:i/>
          <w:iCs/>
        </w:rPr>
        <w:t xml:space="preserve">clock starts. Task type: Automated (A).</w:t>
      </w:r>
    </w:p>
    <w:bookmarkStart w:id="54" w:name="composite-scoring-model"/>
    <w:p>
      <w:pPr>
        <w:pStyle w:val="Heading3"/>
      </w:pPr>
      <w:r>
        <w:t xml:space="preserve">8.1 Composite Scoring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Weight</w:t>
            </w:r>
          </w:p>
        </w:tc>
        <w:tc>
          <w:tcPr/>
          <w:p>
            <w:pPr>
              <w:pStyle w:val="Compact"/>
            </w:pPr>
            <w:r>
              <w:t xml:space="preserve">Inputs</w:t>
            </w:r>
          </w:p>
        </w:tc>
        <w:tc>
          <w:tcPr/>
          <w:p>
            <w:pPr>
              <w:pStyle w:val="Compact"/>
            </w:pPr>
            <w:r>
              <w:t xml:space="preserve">Score Range</w:t>
            </w:r>
          </w:p>
        </w:tc>
      </w:tr>
      <w:tr>
        <w:tc>
          <w:tcPr/>
          <w:p>
            <w:pPr>
              <w:pStyle w:val="Compact"/>
            </w:pPr>
            <w:r>
              <w:t xml:space="preserve">Strategic Value</w:t>
            </w:r>
          </w:p>
        </w:tc>
        <w:tc>
          <w:tcPr/>
          <w:p>
            <w:pPr>
              <w:pStyle w:val="Compact"/>
            </w:pPr>
            <w:r>
              <w:t xml:space="preserve">25%</w:t>
            </w:r>
          </w:p>
        </w:tc>
        <w:tc>
          <w:tcPr/>
          <w:p>
            <w:pPr>
              <w:pStyle w:val="Compact"/>
            </w:pPr>
            <w:r>
              <w:t xml:space="preserve">Business value quantification; strategic alignment; user population; SLA criticality</w:t>
            </w:r>
          </w:p>
        </w:tc>
        <w:tc>
          <w:tcPr/>
          <w:p>
            <w:pPr>
              <w:pStyle w:val="Compact"/>
            </w:pPr>
            <w:r>
              <w:t xml:space="preserve">0–25</w:t>
            </w:r>
          </w:p>
        </w:tc>
      </w:tr>
      <w:tr>
        <w:tc>
          <w:tcPr/>
          <w:p>
            <w:pPr>
              <w:pStyle w:val="Compact"/>
            </w:pPr>
            <w:r>
              <w:t xml:space="preserve">Risk Score</w:t>
            </w:r>
          </w:p>
        </w:tc>
        <w:tc>
          <w:tcPr/>
          <w:p>
            <w:pPr>
              <w:pStyle w:val="Compact"/>
            </w:pPr>
            <w:r>
              <w:t xml:space="preserve">30%</w:t>
            </w:r>
          </w:p>
        </w:tc>
        <w:tc>
          <w:tcPr/>
          <w:p>
            <w:pPr>
              <w:pStyle w:val="Compact"/>
            </w:pPr>
            <w:r>
              <w:t xml:space="preserve">AI risk tier; data classification; cybersecurity score; regulatory flags; concentration risk</w:t>
            </w:r>
          </w:p>
        </w:tc>
        <w:tc>
          <w:tcPr/>
          <w:p>
            <w:pPr>
              <w:pStyle w:val="Compact"/>
            </w:pPr>
            <w:r>
              <w:t xml:space="preserve">0–30</w:t>
            </w:r>
          </w:p>
        </w:tc>
      </w:tr>
      <w:tr>
        <w:tc>
          <w:tcPr/>
          <w:p>
            <w:pPr>
              <w:pStyle w:val="Compact"/>
            </w:pPr>
            <w:r>
              <w:t xml:space="preserve">Complexity Score</w:t>
            </w:r>
          </w:p>
        </w:tc>
        <w:tc>
          <w:tcPr/>
          <w:p>
            <w:pPr>
              <w:pStyle w:val="Compact"/>
            </w:pPr>
            <w:r>
              <w:t xml:space="preserve">20%</w:t>
            </w:r>
          </w:p>
        </w:tc>
        <w:tc>
          <w:tcPr/>
          <w:p>
            <w:pPr>
              <w:pStyle w:val="Compact"/>
            </w:pPr>
            <w:r>
              <w:t xml:space="preserve">Integration count; data domain breadth; build vs. buy complexity estimate</w:t>
            </w:r>
          </w:p>
        </w:tc>
        <w:tc>
          <w:tcPr/>
          <w:p>
            <w:pPr>
              <w:pStyle w:val="Compact"/>
            </w:pPr>
            <w:r>
              <w:t xml:space="preserve">0–20</w:t>
            </w:r>
          </w:p>
        </w:tc>
      </w:tr>
      <w:tr>
        <w:tc>
          <w:tcPr/>
          <w:p>
            <w:pPr>
              <w:pStyle w:val="Compact"/>
            </w:pPr>
            <w:r>
              <w:t xml:space="preserve">Portfolio Fit</w:t>
            </w:r>
          </w:p>
        </w:tc>
        <w:tc>
          <w:tcPr/>
          <w:p>
            <w:pPr>
              <w:pStyle w:val="Compact"/>
            </w:pPr>
            <w:r>
              <w:t xml:space="preserve">15%</w:t>
            </w:r>
          </w:p>
        </w:tc>
        <w:tc>
          <w:tcPr/>
          <w:p>
            <w:pPr>
              <w:pStyle w:val="Compact"/>
            </w:pPr>
            <w:r>
              <w:t xml:space="preserve">Current backlog capacity; resource availability; strategic theme alignment; duplicate probability</w:t>
            </w:r>
          </w:p>
        </w:tc>
        <w:tc>
          <w:tcPr/>
          <w:p>
            <w:pPr>
              <w:pStyle w:val="Compact"/>
            </w:pPr>
            <w:r>
              <w:t xml:space="preserve">0–15</w:t>
            </w:r>
          </w:p>
        </w:tc>
      </w:tr>
      <w:tr>
        <w:tc>
          <w:tcPr/>
          <w:p>
            <w:pPr>
              <w:pStyle w:val="Compact"/>
            </w:pPr>
            <w:r>
              <w:t xml:space="preserve">Urgency</w:t>
            </w:r>
          </w:p>
        </w:tc>
        <w:tc>
          <w:tcPr/>
          <w:p>
            <w:pPr>
              <w:pStyle w:val="Compact"/>
            </w:pPr>
            <w:r>
              <w:t xml:space="preserve">10%</w:t>
            </w:r>
          </w:p>
        </w:tc>
        <w:tc>
          <w:tcPr/>
          <w:p>
            <w:pPr>
              <w:pStyle w:val="Compact"/>
            </w:pPr>
            <w:r>
              <w:t xml:space="preserve">Go-live date delta; regulatory or contractual deadline; business event driver</w:t>
            </w:r>
          </w:p>
        </w:tc>
        <w:tc>
          <w:tcPr/>
          <w:p>
            <w:pPr>
              <w:pStyle w:val="Compact"/>
            </w:pPr>
            <w:r>
              <w:t xml:space="preserve">0–10</w:t>
            </w:r>
          </w:p>
        </w:tc>
      </w:tr>
    </w:tbl>
    <w:bookmarkEnd w:id="54"/>
    <w:bookmarkStart w:id="55" w:name="three-tier-routing-architecture"/>
    <w:p>
      <w:pPr>
        <w:pStyle w:val="Heading3"/>
      </w:pPr>
      <w:r>
        <w:t xml:space="preserve">8.2 Three-Tier Routing Architecture</w:t>
      </w:r>
    </w:p>
    <w:p>
      <w:pPr>
        <w:pStyle w:val="FirstParagraph"/>
      </w:pPr>
      <w:r>
        <w:t xml:space="preserve">The Routing Engine applies three tiers in sequence, stopping at the</w:t>
      </w:r>
      <w:r>
        <w:t xml:space="preserve"> </w:t>
      </w:r>
      <w:r>
        <w:t xml:space="preserve">first tier that produces a high-confidence result:</w:t>
      </w:r>
    </w:p>
    <w:p>
      <w:pPr>
        <w:numPr>
          <w:ilvl w:val="0"/>
          <w:numId w:val="1015"/>
        </w:numPr>
      </w:pPr>
      <w:r>
        <w:rPr>
          <w:b/>
          <w:bCs/>
        </w:rPr>
        <w:t xml:space="preserve">Tier 1—Deterministic DMN Rules (A):</w:t>
      </w:r>
      <w:r>
        <w:t xml:space="preserve"> </w:t>
      </w:r>
      <w:r>
        <w:t xml:space="preserve">DMN-01 fires against</w:t>
      </w:r>
      <w:r>
        <w:t xml:space="preserve"> </w:t>
      </w:r>
      <w:r>
        <w:t xml:space="preserve">structured fields. If a rule matches with unambiguous inputs, the</w:t>
      </w:r>
      <w:r>
        <w:t xml:space="preserve"> </w:t>
      </w:r>
      <w:r>
        <w:t xml:space="preserve">result is applied immediately and logged with the rule ID.</w:t>
      </w:r>
    </w:p>
    <w:p>
      <w:pPr>
        <w:numPr>
          <w:ilvl w:val="0"/>
          <w:numId w:val="1015"/>
        </w:numPr>
      </w:pPr>
      <w:r>
        <w:rPr>
          <w:b/>
          <w:bCs/>
        </w:rPr>
        <w:t xml:space="preserve">Tier 2—Deterministic Agent-Enabled Semantic Classification (DA):</w:t>
      </w:r>
      <w:r>
        <w:t xml:space="preserve"> </w:t>
      </w:r>
      <w:r>
        <w:t xml:space="preserve">Applied for requests where structured fields alone are insufficient</w:t>
      </w:r>
      <w:r>
        <w:t xml:space="preserve"> </w:t>
      </w:r>
      <w:r>
        <w:t xml:space="preserve">(novel capability descriptions, ambiguous regulatory flags). The agent</w:t>
      </w:r>
      <w:r>
        <w:t xml:space="preserve"> </w:t>
      </w:r>
      <w:r>
        <w:t xml:space="preserve">reasoning trace is captured and stored. Agent uses deterministic</w:t>
      </w:r>
      <w:r>
        <w:t xml:space="preserve"> </w:t>
      </w:r>
      <w:r>
        <w:t xml:space="preserve">knowledge bases only.</w:t>
      </w:r>
    </w:p>
    <w:p>
      <w:pPr>
        <w:numPr>
          <w:ilvl w:val="0"/>
          <w:numId w:val="1015"/>
        </w:numPr>
      </w:pPr>
      <w:r>
        <w:rPr>
          <w:b/>
          <w:bCs/>
        </w:rPr>
        <w:t xml:space="preserve">Tier 3—Human Review Escalation (H):</w:t>
      </w:r>
      <w:r>
        <w:t xml:space="preserve"> </w:t>
      </w:r>
      <w:r>
        <w:t xml:space="preserve">Any case where neither Tier</w:t>
      </w:r>
      <w:r>
        <w:t xml:space="preserve"> </w:t>
      </w:r>
      <w:r>
        <w:t xml:space="preserve">1 nor Tier 2 produces confidence ≥85% is escalated to the Product</w:t>
      </w:r>
      <w:r>
        <w:t xml:space="preserve"> </w:t>
      </w:r>
      <w:r>
        <w:t xml:space="preserve">Owner with candidate routes and confidence scores presented for human</w:t>
      </w:r>
      <w:r>
        <w:t xml:space="preserve"> </w:t>
      </w:r>
      <w:r>
        <w:t xml:space="preserve">determination.</w:t>
      </w:r>
    </w:p>
    <w:bookmarkEnd w:id="55"/>
    <w:bookmarkStart w:id="56" w:name="dmn-01-ai-routing-and-pathway-assignment"/>
    <w:p>
      <w:pPr>
        <w:pStyle w:val="Heading3"/>
      </w:pPr>
      <w:r>
        <w:t xml:space="preserve">8.3 DMN-01: AI Routing and Pathway Assignment</w:t>
      </w:r>
    </w:p>
    <w:p>
      <w:pPr>
        <w:pStyle w:val="FirstParagraph"/>
      </w:pPr>
      <w:r>
        <w:t xml:space="preserve">Hit policy: UNIQUE (U). First matching rule fires.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w:t>
            </w:r>
          </w:p>
        </w:tc>
        <w:tc>
          <w:tcPr/>
          <w:p>
            <w:pPr>
              <w:pStyle w:val="Compact"/>
            </w:pPr>
            <w:r>
              <w:t xml:space="preserve">Channel</w:t>
            </w:r>
          </w:p>
        </w:tc>
        <w:tc>
          <w:tcPr/>
          <w:p>
            <w:pPr>
              <w:pStyle w:val="Compact"/>
            </w:pPr>
            <w:r>
              <w:t xml:space="preserve">Existing Soln?</w:t>
            </w:r>
          </w:p>
        </w:tc>
        <w:tc>
          <w:tcPr/>
          <w:p>
            <w:pPr>
              <w:pStyle w:val="Compact"/>
            </w:pPr>
            <w:r>
              <w:t xml:space="preserve">AI Tier</w:t>
            </w:r>
          </w:p>
        </w:tc>
        <w:tc>
          <w:tcPr/>
          <w:p>
            <w:pPr>
              <w:pStyle w:val="Compact"/>
            </w:pPr>
            <w:r>
              <w:t xml:space="preserve">Score</w:t>
            </w:r>
          </w:p>
        </w:tc>
        <w:tc>
          <w:tcPr/>
          <w:p>
            <w:pPr>
              <w:pStyle w:val="Compact"/>
            </w:pPr>
            <w:r>
              <w:t xml:space="preserve">Vendor Status</w:t>
            </w:r>
          </w:p>
        </w:tc>
        <w:tc>
          <w:tcPr/>
          <w:p>
            <w:pPr>
              <w:pStyle w:val="Compact"/>
            </w:pPr>
            <w:r>
              <w:t xml:space="preserve">Pathway</w:t>
            </w:r>
          </w:p>
        </w:tc>
        <w:tc>
          <w:tcPr/>
          <w:p>
            <w:pPr>
              <w:pStyle w:val="Compact"/>
            </w:pPr>
            <w:r>
              <w:t xml:space="preserve">Fast-Track?</w:t>
            </w:r>
          </w:p>
        </w:tc>
        <w:tc>
          <w:tcPr/>
          <w:p>
            <w:pPr>
              <w:pStyle w:val="Compact"/>
            </w:pPr>
            <w:r>
              <w:t xml:space="preserve">Required Reviews</w:t>
            </w:r>
          </w:p>
        </w:tc>
      </w:tr>
      <w:tr>
        <w:tc>
          <w:tcPr/>
          <w:p>
            <w:pPr>
              <w:pStyle w:val="Compact"/>
            </w:pPr>
            <w:r>
              <w:t xml:space="preserve">1</w:t>
            </w:r>
          </w:p>
        </w:tc>
        <w:tc>
          <w:tcPr/>
          <w:p>
            <w:pPr>
              <w:pStyle w:val="Compact"/>
            </w:pPr>
            <w:r>
              <w:t xml:space="preserve">Internal</w:t>
            </w:r>
          </w:p>
        </w:tc>
        <w:tc>
          <w:tcPr/>
          <w:p>
            <w:pPr>
              <w:pStyle w:val="Compact"/>
            </w:pPr>
            <w:r>
              <w:t xml:space="preserve">Exact match</w:t>
            </w:r>
          </w:p>
        </w:tc>
        <w:tc>
          <w:tcPr/>
          <w:p>
            <w:pPr>
              <w:pStyle w:val="Compact"/>
            </w:pPr>
            <w:r>
              <w:t xml:space="preserve">Any</w:t>
            </w:r>
          </w:p>
        </w:tc>
        <w:tc>
          <w:tcPr/>
          <w:p>
            <w:pPr>
              <w:pStyle w:val="Compact"/>
            </w:pPr>
            <w:r>
              <w:t xml:space="preserve">Any</w:t>
            </w:r>
          </w:p>
        </w:tc>
        <w:tc>
          <w:tcPr/>
          <w:p>
            <w:pPr>
              <w:pStyle w:val="Compact"/>
            </w:pPr>
            <w:r>
              <w:t xml:space="preserve">Any</w:t>
            </w:r>
          </w:p>
        </w:tc>
        <w:tc>
          <w:tcPr/>
          <w:p>
            <w:pPr>
              <w:pStyle w:val="Compact"/>
            </w:pPr>
            <w:r>
              <w:t xml:space="preserve">Fast-track → ITSM</w:t>
            </w:r>
          </w:p>
        </w:tc>
        <w:tc>
          <w:tcPr/>
          <w:p>
            <w:pPr>
              <w:pStyle w:val="Compact"/>
            </w:pPr>
            <w:r>
              <w:t xml:space="preserve">YES</w:t>
            </w:r>
          </w:p>
        </w:tc>
        <w:tc>
          <w:tcPr/>
          <w:p>
            <w:pPr>
              <w:pStyle w:val="Compact"/>
            </w:pPr>
            <w:r>
              <w:t xml:space="preserve">None</w:t>
            </w:r>
          </w:p>
        </w:tc>
      </w:tr>
      <w:tr>
        <w:tc>
          <w:tcPr/>
          <w:p>
            <w:pPr>
              <w:pStyle w:val="Compact"/>
            </w:pPr>
            <w:r>
              <w:t xml:space="preserve">2</w:t>
            </w:r>
          </w:p>
        </w:tc>
        <w:tc>
          <w:tcPr/>
          <w:p>
            <w:pPr>
              <w:pStyle w:val="Compact"/>
            </w:pPr>
            <w:r>
              <w:t xml:space="preserve">Internal</w:t>
            </w:r>
          </w:p>
        </w:tc>
        <w:tc>
          <w:tcPr/>
          <w:p>
            <w:pPr>
              <w:pStyle w:val="Compact"/>
            </w:pPr>
            <w:r>
              <w:t xml:space="preserve">No match</w:t>
            </w:r>
          </w:p>
        </w:tc>
        <w:tc>
          <w:tcPr/>
          <w:p>
            <w:pPr>
              <w:pStyle w:val="Compact"/>
            </w:pPr>
            <w:r>
              <w:t xml:space="preserve">Tier 3</w:t>
            </w:r>
          </w:p>
        </w:tc>
        <w:tc>
          <w:tcPr/>
          <w:p>
            <w:pPr>
              <w:pStyle w:val="Compact"/>
            </w:pPr>
            <w:r>
              <w:t xml:space="preserve">0–45</w:t>
            </w:r>
          </w:p>
        </w:tc>
        <w:tc>
          <w:tcPr/>
          <w:p>
            <w:pPr>
              <w:pStyle w:val="Compact"/>
            </w:pPr>
            <w:r>
              <w:t xml:space="preserve">N/A</w:t>
            </w:r>
          </w:p>
        </w:tc>
        <w:tc>
          <w:tcPr/>
          <w:p>
            <w:pPr>
              <w:pStyle w:val="Compact"/>
            </w:pPr>
            <w:r>
              <w:t xml:space="preserve">Fast-track → Build (lite)</w:t>
            </w:r>
          </w:p>
        </w:tc>
        <w:tc>
          <w:tcPr/>
          <w:p>
            <w:pPr>
              <w:pStyle w:val="Compact"/>
            </w:pPr>
            <w:r>
              <w:t xml:space="preserve">YES</w:t>
            </w:r>
          </w:p>
        </w:tc>
        <w:tc>
          <w:tcPr/>
          <w:p>
            <w:pPr>
              <w:pStyle w:val="Compact"/>
            </w:pPr>
            <w:r>
              <w:t xml:space="preserve">Architecture (abbrev), Security (abbrev)</w:t>
            </w:r>
          </w:p>
        </w:tc>
      </w:tr>
      <w:tr>
        <w:tc>
          <w:tcPr/>
          <w:p>
            <w:pPr>
              <w:pStyle w:val="Compact"/>
            </w:pPr>
            <w:r>
              <w:t xml:space="preserve">3</w:t>
            </w:r>
          </w:p>
        </w:tc>
        <w:tc>
          <w:tcPr/>
          <w:p>
            <w:pPr>
              <w:pStyle w:val="Compact"/>
            </w:pPr>
            <w:r>
              <w:t xml:space="preserve">Internal</w:t>
            </w:r>
          </w:p>
        </w:tc>
        <w:tc>
          <w:tcPr/>
          <w:p>
            <w:pPr>
              <w:pStyle w:val="Compact"/>
            </w:pPr>
            <w:r>
              <w:t xml:space="preserve">No match</w:t>
            </w:r>
          </w:p>
        </w:tc>
        <w:tc>
          <w:tcPr/>
          <w:p>
            <w:pPr>
              <w:pStyle w:val="Compact"/>
            </w:pPr>
            <w:r>
              <w:t xml:space="preserve">Tier 3</w:t>
            </w:r>
          </w:p>
        </w:tc>
        <w:tc>
          <w:tcPr/>
          <w:p>
            <w:pPr>
              <w:pStyle w:val="Compact"/>
            </w:pPr>
            <w:r>
              <w:t xml:space="preserve">0–45</w:t>
            </w:r>
          </w:p>
        </w:tc>
        <w:tc>
          <w:tcPr/>
          <w:p>
            <w:pPr>
              <w:pStyle w:val="Compact"/>
            </w:pPr>
            <w:r>
              <w:t xml:space="preserve">Pre-approved</w:t>
            </w:r>
          </w:p>
        </w:tc>
        <w:tc>
          <w:tcPr/>
          <w:p>
            <w:pPr>
              <w:pStyle w:val="Compact"/>
            </w:pPr>
            <w:r>
              <w:t xml:space="preserve">Fast-track → Buy (lite)</w:t>
            </w:r>
          </w:p>
        </w:tc>
        <w:tc>
          <w:tcPr/>
          <w:p>
            <w:pPr>
              <w:pStyle w:val="Compact"/>
            </w:pPr>
            <w:r>
              <w:t xml:space="preserve">YES</w:t>
            </w:r>
          </w:p>
        </w:tc>
        <w:tc>
          <w:tcPr/>
          <w:p>
            <w:pPr>
              <w:pStyle w:val="Compact"/>
            </w:pPr>
            <w:r>
              <w:t xml:space="preserve">Procurement (abbrev)</w:t>
            </w:r>
          </w:p>
        </w:tc>
      </w:tr>
      <w:tr>
        <w:tc>
          <w:tcPr/>
          <w:p>
            <w:pPr>
              <w:pStyle w:val="Compact"/>
            </w:pPr>
            <w:r>
              <w:t xml:space="preserve">4</w:t>
            </w:r>
          </w:p>
        </w:tc>
        <w:tc>
          <w:tcPr/>
          <w:p>
            <w:pPr>
              <w:pStyle w:val="Compact"/>
            </w:pPr>
            <w:r>
              <w:t xml:space="preserve">Internal</w:t>
            </w:r>
          </w:p>
        </w:tc>
        <w:tc>
          <w:tcPr/>
          <w:p>
            <w:pPr>
              <w:pStyle w:val="Compact"/>
            </w:pPr>
            <w:r>
              <w:t xml:space="preserve">No match</w:t>
            </w:r>
          </w:p>
        </w:tc>
        <w:tc>
          <w:tcPr/>
          <w:p>
            <w:pPr>
              <w:pStyle w:val="Compact"/>
            </w:pPr>
            <w:r>
              <w:t xml:space="preserve">Tier 3</w:t>
            </w:r>
          </w:p>
        </w:tc>
        <w:tc>
          <w:tcPr/>
          <w:p>
            <w:pPr>
              <w:pStyle w:val="Compact"/>
            </w:pPr>
            <w:r>
              <w:t xml:space="preserve">46–65</w:t>
            </w:r>
          </w:p>
        </w:tc>
        <w:tc>
          <w:tcPr/>
          <w:p>
            <w:pPr>
              <w:pStyle w:val="Compact"/>
            </w:pPr>
            <w:r>
              <w:t xml:space="preserve">Not approved</w:t>
            </w:r>
          </w:p>
        </w:tc>
        <w:tc>
          <w:tcPr/>
          <w:p>
            <w:pPr>
              <w:pStyle w:val="Compact"/>
            </w:pPr>
            <w:r>
              <w:t xml:space="preserve">Standard → Buy + RAE</w:t>
            </w:r>
          </w:p>
        </w:tc>
        <w:tc>
          <w:tcPr/>
          <w:p>
            <w:pPr>
              <w:pStyle w:val="Compact"/>
            </w:pPr>
            <w:r>
              <w:t xml:space="preserve">NO</w:t>
            </w:r>
          </w:p>
        </w:tc>
        <w:tc>
          <w:tcPr/>
          <w:p>
            <w:pPr>
              <w:pStyle w:val="Compact"/>
            </w:pPr>
            <w:r>
              <w:t xml:space="preserve">Procurement, Risk, Legal, CyberSec</w:t>
            </w:r>
          </w:p>
        </w:tc>
      </w:tr>
      <w:tr>
        <w:tc>
          <w:tcPr/>
          <w:p>
            <w:pPr>
              <w:pStyle w:val="Compact"/>
            </w:pPr>
            <w:r>
              <w:t xml:space="preserve">5</w:t>
            </w:r>
          </w:p>
        </w:tc>
        <w:tc>
          <w:tcPr/>
          <w:p>
            <w:pPr>
              <w:pStyle w:val="Compact"/>
            </w:pPr>
            <w:r>
              <w:t xml:space="preserve">Internal</w:t>
            </w:r>
          </w:p>
        </w:tc>
        <w:tc>
          <w:tcPr/>
          <w:p>
            <w:pPr>
              <w:pStyle w:val="Compact"/>
            </w:pPr>
            <w:r>
              <w:t xml:space="preserve">No match</w:t>
            </w:r>
          </w:p>
        </w:tc>
        <w:tc>
          <w:tcPr/>
          <w:p>
            <w:pPr>
              <w:pStyle w:val="Compact"/>
            </w:pPr>
            <w:r>
              <w:t xml:space="preserve">Tier 2</w:t>
            </w:r>
          </w:p>
        </w:tc>
        <w:tc>
          <w:tcPr/>
          <w:p>
            <w:pPr>
              <w:pStyle w:val="Compact"/>
            </w:pPr>
            <w:r>
              <w:t xml:space="preserve">46–75</w:t>
            </w:r>
          </w:p>
        </w:tc>
        <w:tc>
          <w:tcPr/>
          <w:p>
            <w:pPr>
              <w:pStyle w:val="Compact"/>
            </w:pPr>
            <w:r>
              <w:t xml:space="preserve">Any</w:t>
            </w:r>
          </w:p>
        </w:tc>
        <w:tc>
          <w:tcPr/>
          <w:p>
            <w:pPr>
              <w:pStyle w:val="Compact"/>
            </w:pPr>
            <w:r>
              <w:t xml:space="preserve">Standard → Build + AI Gov</w:t>
            </w:r>
          </w:p>
        </w:tc>
        <w:tc>
          <w:tcPr/>
          <w:p>
            <w:pPr>
              <w:pStyle w:val="Compact"/>
            </w:pPr>
            <w:r>
              <w:t xml:space="preserve">NO</w:t>
            </w:r>
          </w:p>
        </w:tc>
        <w:tc>
          <w:tcPr/>
          <w:p>
            <w:pPr>
              <w:pStyle w:val="Compact"/>
            </w:pPr>
            <w:r>
              <w:t xml:space="preserve">Architecture, PMO, AI Gov, Risk, Compliance</w:t>
            </w:r>
          </w:p>
        </w:tc>
      </w:tr>
      <w:tr>
        <w:tc>
          <w:tcPr/>
          <w:p>
            <w:pPr>
              <w:pStyle w:val="Compact"/>
            </w:pPr>
            <w:r>
              <w:t xml:space="preserve">6</w:t>
            </w:r>
          </w:p>
        </w:tc>
        <w:tc>
          <w:tcPr/>
          <w:p>
            <w:pPr>
              <w:pStyle w:val="Compact"/>
            </w:pPr>
            <w:r>
              <w:t xml:space="preserve">Internal</w:t>
            </w:r>
          </w:p>
        </w:tc>
        <w:tc>
          <w:tcPr/>
          <w:p>
            <w:pPr>
              <w:pStyle w:val="Compact"/>
            </w:pPr>
            <w:r>
              <w:t xml:space="preserve">No match</w:t>
            </w:r>
          </w:p>
        </w:tc>
        <w:tc>
          <w:tcPr/>
          <w:p>
            <w:pPr>
              <w:pStyle w:val="Compact"/>
            </w:pPr>
            <w:r>
              <w:t xml:space="preserve">Tier 1</w:t>
            </w:r>
          </w:p>
        </w:tc>
        <w:tc>
          <w:tcPr/>
          <w:p>
            <w:pPr>
              <w:pStyle w:val="Compact"/>
            </w:pPr>
            <w:r>
              <w:t xml:space="preserve">Any</w:t>
            </w:r>
          </w:p>
        </w:tc>
        <w:tc>
          <w:tcPr/>
          <w:p>
            <w:pPr>
              <w:pStyle w:val="Compact"/>
            </w:pPr>
            <w:r>
              <w:t xml:space="preserve">Any</w:t>
            </w:r>
          </w:p>
        </w:tc>
        <w:tc>
          <w:tcPr/>
          <w:p>
            <w:pPr>
              <w:pStyle w:val="Compact"/>
            </w:pPr>
            <w:r>
              <w:t xml:space="preserve">Full PDLC + AI Gov (Full)</w:t>
            </w:r>
          </w:p>
        </w:tc>
        <w:tc>
          <w:tcPr/>
          <w:p>
            <w:pPr>
              <w:pStyle w:val="Compact"/>
            </w:pPr>
            <w:r>
              <w:t xml:space="preserve">NO</w:t>
            </w:r>
          </w:p>
        </w:tc>
        <w:tc>
          <w:tcPr/>
          <w:p>
            <w:pPr>
              <w:pStyle w:val="Compact"/>
            </w:pPr>
            <w:r>
              <w:t xml:space="preserve">Architecture, AI Gov (exec sponsor), Risk, Legal, CyberSec, Compliance, Audit</w:t>
            </w:r>
          </w:p>
        </w:tc>
      </w:tr>
      <w:tr>
        <w:tc>
          <w:tcPr/>
          <w:p>
            <w:pPr>
              <w:pStyle w:val="Compact"/>
            </w:pPr>
            <w:r>
              <w:t xml:space="preserve">7</w:t>
            </w:r>
          </w:p>
        </w:tc>
        <w:tc>
          <w:tcPr/>
          <w:p>
            <w:pPr>
              <w:pStyle w:val="Compact"/>
            </w:pPr>
            <w:r>
              <w:t xml:space="preserve">External</w:t>
            </w:r>
          </w:p>
        </w:tc>
        <w:tc>
          <w:tcPr/>
          <w:p>
            <w:pPr>
              <w:pStyle w:val="Compact"/>
            </w:pPr>
            <w:r>
              <w:t xml:space="preserve">No match</w:t>
            </w:r>
          </w:p>
        </w:tc>
        <w:tc>
          <w:tcPr/>
          <w:p>
            <w:pPr>
              <w:pStyle w:val="Compact"/>
            </w:pPr>
            <w:r>
              <w:t xml:space="preserve">Any</w:t>
            </w:r>
          </w:p>
        </w:tc>
        <w:tc>
          <w:tcPr/>
          <w:p>
            <w:pPr>
              <w:pStyle w:val="Compact"/>
            </w:pPr>
            <w:r>
              <w:t xml:space="preserve">Any</w:t>
            </w:r>
          </w:p>
        </w:tc>
        <w:tc>
          <w:tcPr/>
          <w:p>
            <w:pPr>
              <w:pStyle w:val="Compact"/>
            </w:pPr>
            <w:r>
              <w:t xml:space="preserve">New vendor</w:t>
            </w:r>
          </w:p>
        </w:tc>
        <w:tc>
          <w:tcPr/>
          <w:p>
            <w:pPr>
              <w:pStyle w:val="Compact"/>
            </w:pPr>
            <w:r>
              <w:t xml:space="preserve">Full → Buy + TPRM</w:t>
            </w:r>
          </w:p>
        </w:tc>
        <w:tc>
          <w:tcPr/>
          <w:p>
            <w:pPr>
              <w:pStyle w:val="Compact"/>
            </w:pPr>
            <w:r>
              <w:t xml:space="preserve">NO</w:t>
            </w:r>
          </w:p>
        </w:tc>
        <w:tc>
          <w:tcPr/>
          <w:p>
            <w:pPr>
              <w:pStyle w:val="Compact"/>
            </w:pPr>
            <w:r>
              <w:t xml:space="preserve">TPRM, Procurement, Legal, Finance, AI Gov (if AI)</w:t>
            </w:r>
          </w:p>
        </w:tc>
      </w:tr>
      <w:tr>
        <w:tc>
          <w:tcPr/>
          <w:p>
            <w:pPr>
              <w:pStyle w:val="Compact"/>
            </w:pPr>
            <w:r>
              <w:t xml:space="preserve">8</w:t>
            </w:r>
          </w:p>
        </w:tc>
        <w:tc>
          <w:tcPr/>
          <w:p>
            <w:pPr>
              <w:pStyle w:val="Compact"/>
            </w:pPr>
            <w:r>
              <w:t xml:space="preserve">Any</w:t>
            </w:r>
          </w:p>
        </w:tc>
        <w:tc>
          <w:tcPr/>
          <w:p>
            <w:pPr>
              <w:pStyle w:val="Compact"/>
            </w:pPr>
            <w:r>
              <w:t xml:space="preserve">Partial (70–90%)</w:t>
            </w:r>
          </w:p>
        </w:tc>
        <w:tc>
          <w:tcPr/>
          <w:p>
            <w:pPr>
              <w:pStyle w:val="Compact"/>
            </w:pPr>
            <w:r>
              <w:t xml:space="preserve">Any</w:t>
            </w:r>
          </w:p>
        </w:tc>
        <w:tc>
          <w:tcPr/>
          <w:p>
            <w:pPr>
              <w:pStyle w:val="Compact"/>
            </w:pPr>
            <w:r>
              <w:t xml:space="preserve">Any</w:t>
            </w:r>
          </w:p>
        </w:tc>
        <w:tc>
          <w:tcPr/>
          <w:p>
            <w:pPr>
              <w:pStyle w:val="Compact"/>
            </w:pPr>
            <w:r>
              <w:t xml:space="preserve">Any</w:t>
            </w:r>
          </w:p>
        </w:tc>
        <w:tc>
          <w:tcPr/>
          <w:p>
            <w:pPr>
              <w:pStyle w:val="Compact"/>
            </w:pPr>
            <w:r>
              <w:t xml:space="preserve">Reuse Assessment</w:t>
            </w:r>
          </w:p>
        </w:tc>
        <w:tc>
          <w:tcPr/>
          <w:p>
            <w:pPr>
              <w:pStyle w:val="Compact"/>
            </w:pPr>
            <w:r>
              <w:t xml:space="preserve">Pending</w:t>
            </w:r>
          </w:p>
        </w:tc>
        <w:tc>
          <w:tcPr/>
          <w:p>
            <w:pPr>
              <w:pStyle w:val="Compact"/>
            </w:pPr>
            <w:r>
              <w:t xml:space="preserve">Product Owner + requestor within 5 days</w:t>
            </w:r>
          </w:p>
        </w:tc>
      </w:tr>
      <w:tr>
        <w:tc>
          <w:tcPr/>
          <w:p>
            <w:pPr>
              <w:pStyle w:val="Compact"/>
            </w:pPr>
            <w:r>
              <w:t xml:space="preserve">9</w:t>
            </w:r>
          </w:p>
        </w:tc>
        <w:tc>
          <w:tcPr/>
          <w:p>
            <w:pPr>
              <w:pStyle w:val="Compact"/>
            </w:pPr>
            <w:r>
              <w:t xml:space="preserve">Any</w:t>
            </w:r>
          </w:p>
        </w:tc>
        <w:tc>
          <w:tcPr/>
          <w:p>
            <w:pPr>
              <w:pStyle w:val="Compact"/>
            </w:pPr>
            <w:r>
              <w:t xml:space="preserve">In-flight match</w:t>
            </w:r>
          </w:p>
        </w:tc>
        <w:tc>
          <w:tcPr/>
          <w:p>
            <w:pPr>
              <w:pStyle w:val="Compact"/>
            </w:pPr>
            <w:r>
              <w:t xml:space="preserve">Any</w:t>
            </w:r>
          </w:p>
        </w:tc>
        <w:tc>
          <w:tcPr/>
          <w:p>
            <w:pPr>
              <w:pStyle w:val="Compact"/>
            </w:pPr>
            <w:r>
              <w:t xml:space="preserve">Any</w:t>
            </w:r>
          </w:p>
        </w:tc>
        <w:tc>
          <w:tcPr/>
          <w:p>
            <w:pPr>
              <w:pStyle w:val="Compact"/>
            </w:pPr>
            <w:r>
              <w:t xml:space="preserve">Any</w:t>
            </w:r>
          </w:p>
        </w:tc>
        <w:tc>
          <w:tcPr/>
          <w:p>
            <w:pPr>
              <w:pStyle w:val="Compact"/>
            </w:pPr>
            <w:r>
              <w:t xml:space="preserve">Merge Offer</w:t>
            </w:r>
          </w:p>
        </w:tc>
        <w:tc>
          <w:tcPr/>
          <w:p>
            <w:pPr>
              <w:pStyle w:val="Compact"/>
            </w:pPr>
            <w:r>
              <w:t xml:space="preserve">Pending</w:t>
            </w:r>
          </w:p>
        </w:tc>
        <w:tc>
          <w:tcPr/>
          <w:p>
            <w:pPr>
              <w:pStyle w:val="Compact"/>
            </w:pPr>
            <w:r>
              <w:t xml:space="preserve">Portfolio Council at next cycle</w:t>
            </w:r>
          </w:p>
        </w:tc>
      </w:tr>
    </w:tbl>
    <w:bookmarkEnd w:id="56"/>
    <w:bookmarkEnd w:id="57"/>
    <w:bookmarkStart w:id="61" w:name="X02c23377de6fb68794c1b992e118dccf0816e76"/>
    <w:p>
      <w:pPr>
        <w:pStyle w:val="Heading2"/>
      </w:pPr>
      <w:r>
        <w:t xml:space="preserve">10. Phase 3: Product Management Review and Portfolio Governance</w:t>
      </w:r>
    </w:p>
    <w:p>
      <w:pPr>
        <w:pStyle w:val="BlockText"/>
      </w:pPr>
      <w:r>
        <w:rPr>
          <w:b/>
          <w:bCs/>
        </w:rPr>
        <w:t xml:space="preserve">P3 Product Management Review and Portfolio Governance</w:t>
      </w:r>
    </w:p>
    <w:p>
      <w:pPr>
        <w:pStyle w:val="BlockText"/>
      </w:pPr>
      <w:r>
        <w:rPr>
          <w:i/>
          <w:iCs/>
        </w:rPr>
        <w:t xml:space="preserve">Product Owner validates completeness, enriches the request, and</w:t>
      </w:r>
      <w:r>
        <w:rPr>
          <w:i/>
          <w:iCs/>
        </w:rPr>
        <w:t xml:space="preserve"> </w:t>
      </w:r>
      <w:r>
        <w:rPr>
          <w:i/>
          <w:iCs/>
        </w:rPr>
        <w:t xml:space="preserve">executes deduplication logic. Compliance validated via deterministic</w:t>
      </w:r>
      <w:r>
        <w:rPr>
          <w:i/>
          <w:iCs/>
        </w:rPr>
        <w:t xml:space="preserve"> </w:t>
      </w:r>
      <w:r>
        <w:rPr>
          <w:i/>
          <w:iCs/>
        </w:rPr>
        <w:t xml:space="preserve">knowledge bases.</w:t>
      </w:r>
    </w:p>
    <w:bookmarkStart w:id="58" w:name="product-owner-activities"/>
    <w:p>
      <w:pPr>
        <w:pStyle w:val="Heading3"/>
      </w:pPr>
      <w:r>
        <w:t xml:space="preserve">9.1 Product Owner Activities</w:t>
      </w:r>
    </w:p>
    <w:p>
      <w:pPr>
        <w:pStyle w:val="FirstParagraph"/>
      </w:pPr>
      <w:r>
        <w:t xml:space="preserve">Task type:</w:t>
      </w:r>
      <w:r>
        <w:t xml:space="preserve"> </w:t>
      </w:r>
      <w:r>
        <w:rPr>
          <w:b/>
          <w:bCs/>
        </w:rPr>
        <w:t xml:space="preserve">Human-in-the-Loop (H)</w:t>
      </w:r>
      <w:r>
        <w:t xml:space="preserve"> </w:t>
      </w:r>
      <w:r>
        <w:t xml:space="preserve">with</w:t>
      </w:r>
      <w:r>
        <w:t xml:space="preserve"> </w:t>
      </w:r>
      <w:r>
        <w:rPr>
          <w:b/>
          <w:bCs/>
        </w:rPr>
        <w:t xml:space="preserve">Deterministic Agent-Enabled</w:t>
      </w:r>
      <w:r>
        <w:rPr>
          <w:b/>
          <w:bCs/>
        </w:rPr>
        <w:t xml:space="preserve"> </w:t>
      </w:r>
      <w:r>
        <w:rPr>
          <w:b/>
          <w:bCs/>
        </w:rPr>
        <w:t xml:space="preserve">(DA)</w:t>
      </w:r>
      <w:r>
        <w:t xml:space="preserve"> </w:t>
      </w:r>
      <w:r>
        <w:t xml:space="preserve">support.</w:t>
      </w:r>
    </w:p>
    <w:p>
      <w:pPr>
        <w:numPr>
          <w:ilvl w:val="0"/>
          <w:numId w:val="1016"/>
        </w:numPr>
      </w:pPr>
      <w:r>
        <w:t xml:space="preserve">Review AI-generated PRD for accuracy and completeness; validate</w:t>
      </w:r>
      <w:r>
        <w:t xml:space="preserve"> </w:t>
      </w:r>
      <w:r>
        <w:t xml:space="preserve">business context, functional requirements, and acceptance criteria.</w:t>
      </w:r>
    </w:p>
    <w:p>
      <w:pPr>
        <w:numPr>
          <w:ilvl w:val="0"/>
          <w:numId w:val="1016"/>
        </w:numPr>
      </w:pPr>
      <w:r>
        <w:t xml:space="preserve">Enrich the request with downstream process data: internal business</w:t>
      </w:r>
      <w:r>
        <w:t xml:space="preserve"> </w:t>
      </w:r>
      <w:r>
        <w:t xml:space="preserve">owner confirmation, application tag, integration domain, analytics</w:t>
      </w:r>
      <w:r>
        <w:t xml:space="preserve"> </w:t>
      </w:r>
      <w:r>
        <w:t xml:space="preserve">requirements.</w:t>
      </w:r>
    </w:p>
    <w:p>
      <w:pPr>
        <w:numPr>
          <w:ilvl w:val="0"/>
          <w:numId w:val="1016"/>
        </w:numPr>
      </w:pPr>
      <w:r>
        <w:t xml:space="preserve">Execute registry and backlog deduplication via DMN-03.</w:t>
      </w:r>
    </w:p>
    <w:p>
      <w:pPr>
        <w:numPr>
          <w:ilvl w:val="0"/>
          <w:numId w:val="1016"/>
        </w:numPr>
      </w:pPr>
      <w:r>
        <w:t xml:space="preserve">Loop back to requestor via the conversational bot for any identified</w:t>
      </w:r>
      <w:r>
        <w:t xml:space="preserve"> </w:t>
      </w:r>
      <w:r>
        <w:t xml:space="preserve">gaps (DMN-02 governs this gate). No email—structured retrieval from</w:t>
      </w:r>
      <w:r>
        <w:t xml:space="preserve"> </w:t>
      </w:r>
      <w:r>
        <w:t xml:space="preserve">the workflow system.</w:t>
      </w:r>
    </w:p>
    <w:p>
      <w:pPr>
        <w:numPr>
          <w:ilvl w:val="0"/>
          <w:numId w:val="1016"/>
        </w:numPr>
      </w:pPr>
      <w:r>
        <w:t xml:space="preserve">Confirm the preliminary pathway assignment from Phase 2 or escalate</w:t>
      </w:r>
      <w:r>
        <w:t xml:space="preserve"> </w:t>
      </w:r>
      <w:r>
        <w:t xml:space="preserve">for re-routing with documented rationale.</w:t>
      </w:r>
    </w:p>
    <w:bookmarkEnd w:id="58"/>
    <w:bookmarkStart w:id="59" w:name="dmn-02-information-completeness-gate"/>
    <w:p>
      <w:pPr>
        <w:pStyle w:val="Heading3"/>
      </w:pPr>
      <w:r>
        <w:t xml:space="preserve">9.2 DMN-02: Information Completeness Gate</w:t>
      </w:r>
    </w:p>
    <w:p>
      <w:pPr>
        <w:pStyle w:val="FirstParagraph"/>
      </w:pPr>
      <w:r>
        <w:t xml:space="preserve">Hit policy: ANY (A). All conditions must be satisfied for Proceed to</w:t>
      </w:r>
      <w:r>
        <w:t xml:space="preserve"> </w:t>
      </w:r>
      <w:r>
        <w:t xml:space="preserve">fire. SLA clock pauses while awaiting requestor response. Task type:</w:t>
      </w:r>
      <w:r>
        <w:t xml:space="preserve"> </w:t>
      </w:r>
      <w:r>
        <w:rPr>
          <w:b/>
          <w:bCs/>
        </w:rPr>
        <w:t xml:space="preserve">Automated (A)</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Value Quantified?</w:t>
            </w:r>
          </w:p>
        </w:tc>
        <w:tc>
          <w:tcPr/>
          <w:p>
            <w:pPr>
              <w:pStyle w:val="Compact"/>
            </w:pPr>
            <w:r>
              <w:t xml:space="preserve">Data Class.?</w:t>
            </w:r>
          </w:p>
        </w:tc>
        <w:tc>
          <w:tcPr/>
          <w:p>
            <w:pPr>
              <w:pStyle w:val="Compact"/>
            </w:pPr>
            <w:r>
              <w:t xml:space="preserve">Integration List?</w:t>
            </w:r>
          </w:p>
        </w:tc>
        <w:tc>
          <w:tcPr/>
          <w:p>
            <w:pPr>
              <w:pStyle w:val="Compact"/>
            </w:pPr>
            <w:r>
              <w:t xml:space="preserve">Reg. Flags?</w:t>
            </w:r>
          </w:p>
        </w:tc>
        <w:tc>
          <w:tcPr/>
          <w:p>
            <w:pPr>
              <w:pStyle w:val="Compact"/>
            </w:pPr>
            <w:r>
              <w:t xml:space="preserve">PRD Approved?</w:t>
            </w:r>
          </w:p>
        </w:tc>
        <w:tc>
          <w:tcPr/>
          <w:p>
            <w:pPr>
              <w:pStyle w:val="Compact"/>
            </w:pPr>
            <w:r>
              <w:t xml:space="preserve">Decision</w:t>
            </w:r>
          </w:p>
        </w:tc>
        <w:tc>
          <w:tcPr/>
          <w:p>
            <w:pPr>
              <w:pStyle w:val="Compact"/>
            </w:pPr>
            <w:r>
              <w:t xml:space="preserve">Action</w:t>
            </w:r>
          </w:p>
        </w:tc>
      </w:tr>
      <w:tr>
        <w:tc>
          <w:tcPr/>
          <w:p>
            <w:pPr>
              <w:pStyle w:val="Compact"/>
            </w:pPr>
            <w:r>
              <w:t xml:space="preserve">1</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PROCEED</w:t>
            </w:r>
          </w:p>
        </w:tc>
        <w:tc>
          <w:tcPr/>
          <w:p>
            <w:pPr>
              <w:pStyle w:val="Compact"/>
            </w:pPr>
            <w:r>
              <w:t xml:space="preserve">Route to portfolio; Epic created</w:t>
            </w:r>
          </w:p>
        </w:tc>
      </w:tr>
      <w:tr>
        <w:tc>
          <w:tcPr/>
          <w:p>
            <w:pPr>
              <w:pStyle w:val="Compact"/>
            </w:pPr>
            <w:r>
              <w:t xml:space="preserve">2</w:t>
            </w:r>
          </w:p>
        </w:tc>
        <w:tc>
          <w:tcPr/>
          <w:p>
            <w:pPr>
              <w:pStyle w:val="Compact"/>
            </w:pPr>
            <w:r>
              <w:t xml:space="preserve">NO (any)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RETURN</w:t>
            </w:r>
          </w:p>
        </w:tc>
        <w:tc>
          <w:tcPr/>
          <w:p>
            <w:pPr>
              <w:pStyle w:val="Compact"/>
            </w:pPr>
            <w:r>
              <w:t xml:space="preserve">Bot sends targeted follow-up; SLA paused; gap logged</w:t>
            </w:r>
          </w:p>
        </w:tc>
      </w:tr>
      <w:tr>
        <w:tc>
          <w:tcPr/>
          <w:p>
            <w:pPr>
              <w:pStyle w:val="Compact"/>
            </w:pPr>
            <w:r>
              <w:t xml:space="preserve">3</w:t>
            </w:r>
          </w:p>
        </w:tc>
        <w:tc>
          <w:tcPr/>
          <w:p>
            <w:pPr>
              <w:pStyle w:val="Compact"/>
            </w:pPr>
            <w:r>
              <w:t xml:space="preserve">YES</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RETURN—Escalate</w:t>
            </w:r>
          </w:p>
        </w:tc>
        <w:tc>
          <w:tcPr/>
          <w:p>
            <w:pPr>
              <w:pStyle w:val="Compact"/>
            </w:pPr>
            <w:r>
              <w:t xml:space="preserve">Compliance Governance notified; classification workshop within 3 days</w:t>
            </w:r>
          </w:p>
        </w:tc>
      </w:tr>
      <w:tr>
        <w:tc>
          <w:tcPr/>
          <w:p>
            <w:pPr>
              <w:pStyle w:val="Compact"/>
            </w:pPr>
            <w:r>
              <w:t xml:space="preserve">4</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RETURN—Arch Review</w:t>
            </w:r>
          </w:p>
        </w:tc>
        <w:tc>
          <w:tcPr/>
          <w:p>
            <w:pPr>
              <w:pStyle w:val="Compact"/>
            </w:pPr>
            <w:r>
              <w:t xml:space="preserve">Enterprise Architect consulted on integration scope before re-submission</w:t>
            </w:r>
          </w:p>
        </w:tc>
      </w:tr>
    </w:tbl>
    <w:bookmarkEnd w:id="59"/>
    <w:bookmarkStart w:id="60" w:name="Xbb55bb2e22cefd2f3bb1ec3766441482774d738"/>
    <w:p>
      <w:pPr>
        <w:pStyle w:val="Heading3"/>
      </w:pPr>
      <w:r>
        <w:t xml:space="preserve">9.3 DMN-03: Duplicate, Merge, and Reuse Decision</w:t>
      </w:r>
    </w:p>
    <w:p>
      <w:pPr>
        <w:pStyle w:val="FirstParagraph"/>
      </w:pPr>
      <w:r>
        <w:t xml:space="preserve">Hit policy: UNIQUE (U). Fires after automated Software Registry and</w:t>
      </w:r>
      <w:r>
        <w:t xml:space="preserve"> </w:t>
      </w:r>
      <w:r>
        <w:t xml:space="preserve">backlog scan. Task type:</w:t>
      </w:r>
      <w:r>
        <w:t xml:space="preserve"> </w:t>
      </w:r>
      <w:r>
        <w:rPr>
          <w:b/>
          <w:bCs/>
        </w:rPr>
        <w:t xml:space="preserve">Automated (A)</w:t>
      </w:r>
      <w:r>
        <w:t xml:space="preserve"> </w:t>
      </w:r>
      <w:r>
        <w:t xml:space="preserve">for scoring;</w:t>
      </w:r>
      <w:r>
        <w:t xml:space="preserve"> </w:t>
      </w:r>
      <w:r>
        <w:rPr>
          <w:b/>
          <w:bCs/>
        </w:rPr>
        <w:t xml:space="preserve">Human-in-the-Loop (H)</w:t>
      </w:r>
      <w:r>
        <w:t xml:space="preserve"> </w:t>
      </w:r>
      <w:r>
        <w:t xml:space="preserve">for reuse assessment meetings.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Registry Match</w:t>
            </w:r>
          </w:p>
        </w:tc>
        <w:tc>
          <w:tcPr/>
          <w:p>
            <w:pPr>
              <w:pStyle w:val="Compact"/>
            </w:pPr>
            <w:r>
              <w:t xml:space="preserve">Backlog Match</w:t>
            </w:r>
          </w:p>
        </w:tc>
        <w:tc>
          <w:tcPr/>
          <w:p>
            <w:pPr>
              <w:pStyle w:val="Compact"/>
            </w:pPr>
            <w:r>
              <w:t xml:space="preserve">Match Type</w:t>
            </w:r>
          </w:p>
        </w:tc>
        <w:tc>
          <w:tcPr/>
          <w:p>
            <w:pPr>
              <w:pStyle w:val="Compact"/>
            </w:pPr>
            <w:r>
              <w:t xml:space="preserve">Decision</w:t>
            </w:r>
          </w:p>
        </w:tc>
        <w:tc>
          <w:tcPr/>
          <w:p>
            <w:pPr>
              <w:pStyle w:val="Compact"/>
            </w:pPr>
            <w:r>
              <w:t xml:space="preserve">Task Type</w:t>
            </w:r>
          </w:p>
        </w:tc>
        <w:tc>
          <w:tcPr/>
          <w:p>
            <w:pPr>
              <w:pStyle w:val="Compact"/>
            </w:pPr>
            <w:r>
              <w:t xml:space="preserve">Action</w:t>
            </w:r>
          </w:p>
        </w:tc>
      </w:tr>
      <w:tr>
        <w:tc>
          <w:tcPr/>
          <w:p>
            <w:pPr>
              <w:pStyle w:val="Compact"/>
            </w:pPr>
            <w:r>
              <w:t xml:space="preserve">1</w:t>
            </w:r>
          </w:p>
        </w:tc>
        <w:tc>
          <w:tcPr/>
          <w:p>
            <w:pPr>
              <w:pStyle w:val="Compact"/>
            </w:pPr>
            <w:r>
              <w:t xml:space="preserve">&gt;90%</w:t>
            </w:r>
          </w:p>
        </w:tc>
        <w:tc>
          <w:tcPr/>
          <w:p>
            <w:pPr>
              <w:pStyle w:val="Compact"/>
            </w:pPr>
            <w:r>
              <w:t xml:space="preserve">—</w:t>
            </w:r>
          </w:p>
        </w:tc>
        <w:tc>
          <w:tcPr/>
          <w:p>
            <w:pPr>
              <w:pStyle w:val="Compact"/>
            </w:pPr>
            <w:r>
              <w:t xml:space="preserve">Exact capability</w:t>
            </w:r>
          </w:p>
        </w:tc>
        <w:tc>
          <w:tcPr/>
          <w:p>
            <w:pPr>
              <w:pStyle w:val="Compact"/>
            </w:pPr>
            <w:r>
              <w:t xml:space="preserve">CLOSE</w:t>
            </w:r>
          </w:p>
        </w:tc>
        <w:tc>
          <w:tcPr/>
          <w:p>
            <w:pPr>
              <w:pStyle w:val="Compact"/>
            </w:pPr>
            <w:r>
              <w:t xml:space="preserve">A</w:t>
            </w:r>
          </w:p>
        </w:tc>
        <w:tc>
          <w:tcPr/>
          <w:p>
            <w:pPr>
              <w:pStyle w:val="Compact"/>
            </w:pPr>
            <w:r>
              <w:t xml:space="preserve">Redirect to ITSM; close intake record</w:t>
            </w:r>
          </w:p>
        </w:tc>
      </w:tr>
      <w:tr>
        <w:tc>
          <w:tcPr/>
          <w:p>
            <w:pPr>
              <w:pStyle w:val="Compact"/>
            </w:pPr>
            <w:r>
              <w:t xml:space="preserve">2</w:t>
            </w:r>
          </w:p>
        </w:tc>
        <w:tc>
          <w:tcPr/>
          <w:p>
            <w:pPr>
              <w:pStyle w:val="Compact"/>
            </w:pPr>
            <w:r>
              <w:t xml:space="preserve">70–90%</w:t>
            </w:r>
          </w:p>
        </w:tc>
        <w:tc>
          <w:tcPr/>
          <w:p>
            <w:pPr>
              <w:pStyle w:val="Compact"/>
            </w:pPr>
            <w:r>
              <w:t xml:space="preserve">—</w:t>
            </w:r>
          </w:p>
        </w:tc>
        <w:tc>
          <w:tcPr/>
          <w:p>
            <w:pPr>
              <w:pStyle w:val="Compact"/>
            </w:pPr>
            <w:r>
              <w:t xml:space="preserve">Partial capability</w:t>
            </w:r>
          </w:p>
        </w:tc>
        <w:tc>
          <w:tcPr/>
          <w:p>
            <w:pPr>
              <w:pStyle w:val="Compact"/>
            </w:pPr>
            <w:r>
              <w:t xml:space="preserve">REUSE ASSESSMENT</w:t>
            </w:r>
          </w:p>
        </w:tc>
        <w:tc>
          <w:tcPr/>
          <w:p>
            <w:pPr>
              <w:pStyle w:val="Compact"/>
            </w:pPr>
            <w:r>
              <w:t xml:space="preserve">H</w:t>
            </w:r>
          </w:p>
        </w:tc>
        <w:tc>
          <w:tcPr/>
          <w:p>
            <w:pPr>
              <w:pStyle w:val="Compact"/>
            </w:pPr>
            <w:r>
              <w:t xml:space="preserve">Product Owner + requestor meeting within 5 days; gap-fill evaluated</w:t>
            </w:r>
          </w:p>
        </w:tc>
      </w:tr>
      <w:tr>
        <w:tc>
          <w:tcPr/>
          <w:p>
            <w:pPr>
              <w:pStyle w:val="Compact"/>
            </w:pPr>
            <w:r>
              <w:t xml:space="preserve">3</w:t>
            </w:r>
          </w:p>
        </w:tc>
        <w:tc>
          <w:tcPr/>
          <w:p>
            <w:pPr>
              <w:pStyle w:val="Compact"/>
            </w:pPr>
            <w:r>
              <w:t xml:space="preserve">—</w:t>
            </w:r>
          </w:p>
        </w:tc>
        <w:tc>
          <w:tcPr/>
          <w:p>
            <w:pPr>
              <w:pStyle w:val="Compact"/>
            </w:pPr>
            <w:r>
              <w:t xml:space="preserve">&gt;85%</w:t>
            </w:r>
          </w:p>
        </w:tc>
        <w:tc>
          <w:tcPr/>
          <w:p>
            <w:pPr>
              <w:pStyle w:val="Compact"/>
            </w:pPr>
            <w:r>
              <w:t xml:space="preserve">In-flight match</w:t>
            </w:r>
          </w:p>
        </w:tc>
        <w:tc>
          <w:tcPr/>
          <w:p>
            <w:pPr>
              <w:pStyle w:val="Compact"/>
            </w:pPr>
            <w:r>
              <w:t xml:space="preserve">MERGE OFFER</w:t>
            </w:r>
          </w:p>
        </w:tc>
        <w:tc>
          <w:tcPr/>
          <w:p>
            <w:pPr>
              <w:pStyle w:val="Compact"/>
            </w:pPr>
            <w:r>
              <w:t xml:space="preserve">H</w:t>
            </w:r>
          </w:p>
        </w:tc>
        <w:tc>
          <w:tcPr/>
          <w:p>
            <w:pPr>
              <w:pStyle w:val="Compact"/>
            </w:pPr>
            <w:r>
              <w:t xml:space="preserve">If declined, proceed as separate with rationale logged</w:t>
            </w:r>
          </w:p>
        </w:tc>
      </w:tr>
      <w:tr>
        <w:tc>
          <w:tcPr/>
          <w:p>
            <w:pPr>
              <w:pStyle w:val="Compact"/>
            </w:pPr>
            <w:r>
              <w:t xml:space="preserve">4</w:t>
            </w:r>
          </w:p>
        </w:tc>
        <w:tc>
          <w:tcPr/>
          <w:p>
            <w:pPr>
              <w:pStyle w:val="Compact"/>
            </w:pPr>
            <w:r>
              <w:t xml:space="preserve">—</w:t>
            </w:r>
          </w:p>
        </w:tc>
        <w:tc>
          <w:tcPr/>
          <w:p>
            <w:pPr>
              <w:pStyle w:val="Compact"/>
            </w:pPr>
            <w:r>
              <w:t xml:space="preserve">50–85%</w:t>
            </w:r>
          </w:p>
        </w:tc>
        <w:tc>
          <w:tcPr/>
          <w:p>
            <w:pPr>
              <w:pStyle w:val="Compact"/>
            </w:pPr>
            <w:r>
              <w:t xml:space="preserve">Similar in-flight</w:t>
            </w:r>
          </w:p>
        </w:tc>
        <w:tc>
          <w:tcPr/>
          <w:p>
            <w:pPr>
              <w:pStyle w:val="Compact"/>
            </w:pPr>
            <w:r>
              <w:t xml:space="preserve">STRATEGIC REVIEW</w:t>
            </w:r>
          </w:p>
        </w:tc>
        <w:tc>
          <w:tcPr/>
          <w:p>
            <w:pPr>
              <w:pStyle w:val="Compact"/>
            </w:pPr>
            <w:r>
              <w:t xml:space="preserve">H</w:t>
            </w:r>
          </w:p>
        </w:tc>
        <w:tc>
          <w:tcPr/>
          <w:p>
            <w:pPr>
              <w:pStyle w:val="Compact"/>
            </w:pPr>
            <w:r>
              <w:t xml:space="preserve">Portfolio Council reviews together at next cycle</w:t>
            </w:r>
          </w:p>
        </w:tc>
      </w:tr>
      <w:tr>
        <w:tc>
          <w:tcPr/>
          <w:p>
            <w:pPr>
              <w:pStyle w:val="Compact"/>
            </w:pPr>
            <w:r>
              <w:t xml:space="preserve">5</w:t>
            </w:r>
          </w:p>
        </w:tc>
        <w:tc>
          <w:tcPr/>
          <w:p>
            <w:pPr>
              <w:pStyle w:val="Compact"/>
            </w:pPr>
            <w:r>
              <w:t xml:space="preserve">&lt;70%</w:t>
            </w:r>
          </w:p>
        </w:tc>
        <w:tc>
          <w:tcPr/>
          <w:p>
            <w:pPr>
              <w:pStyle w:val="Compact"/>
            </w:pPr>
            <w:r>
              <w:t xml:space="preserve">&lt;50%</w:t>
            </w:r>
          </w:p>
        </w:tc>
        <w:tc>
          <w:tcPr/>
          <w:p>
            <w:pPr>
              <w:pStyle w:val="Compact"/>
            </w:pPr>
            <w:r>
              <w:t xml:space="preserve">No significant match</w:t>
            </w:r>
          </w:p>
        </w:tc>
        <w:tc>
          <w:tcPr/>
          <w:p>
            <w:pPr>
              <w:pStyle w:val="Compact"/>
            </w:pPr>
            <w:r>
              <w:t xml:space="preserve">PROCEED</w:t>
            </w:r>
          </w:p>
        </w:tc>
        <w:tc>
          <w:tcPr/>
          <w:p>
            <w:pPr>
              <w:pStyle w:val="Compact"/>
            </w:pPr>
            <w:r>
              <w:t xml:space="preserve">A</w:t>
            </w:r>
          </w:p>
        </w:tc>
        <w:tc>
          <w:tcPr/>
          <w:p>
            <w:pPr>
              <w:pStyle w:val="Compact"/>
            </w:pPr>
            <w:r>
              <w:t xml:space="preserve">Continue to portfolio prioritization as new request</w:t>
            </w:r>
          </w:p>
        </w:tc>
      </w:tr>
    </w:tbl>
    <w:bookmarkEnd w:id="60"/>
    <w:bookmarkEnd w:id="61"/>
    <w:bookmarkStart w:id="65" w:name="X07c3eb070cc9a0b0e1f5c53e06378ec415dad21"/>
    <w:p>
      <w:pPr>
        <w:pStyle w:val="Heading2"/>
      </w:pPr>
      <w:r>
        <w:t xml:space="preserve">11. Phase 4: Portfolio Prioritization, Go/No-Go, and Strategic Alignment</w:t>
      </w:r>
    </w:p>
    <w:p>
      <w:pPr>
        <w:pStyle w:val="BlockText"/>
      </w:pPr>
      <w:r>
        <w:rPr>
          <w:b/>
          <w:bCs/>
        </w:rPr>
        <w:t xml:space="preserve">P4 Portfolio Prioritization and Go/No-Go</w:t>
      </w:r>
    </w:p>
    <w:p>
      <w:pPr>
        <w:pStyle w:val="BlockText"/>
      </w:pPr>
      <w:r>
        <w:rPr>
          <w:i/>
          <w:iCs/>
        </w:rPr>
        <w:t xml:space="preserve">Cross-functional Council. DMN-04 (Go/No-Go) and DMN-05 (Buy vs.</w:t>
      </w:r>
      <w:r>
        <w:rPr>
          <w:i/>
          <w:iCs/>
        </w:rPr>
        <w:t xml:space="preserve"> </w:t>
      </w:r>
      <w:r>
        <w:rPr>
          <w:i/>
          <w:iCs/>
        </w:rPr>
        <w:t xml:space="preserve">Build). Backlog entry or rejection with documented rationale. Task</w:t>
      </w:r>
      <w:r>
        <w:rPr>
          <w:i/>
          <w:iCs/>
        </w:rPr>
        <w:t xml:space="preserve"> </w:t>
      </w:r>
      <w:r>
        <w:rPr>
          <w:i/>
          <w:iCs/>
        </w:rPr>
        <w:t xml:space="preserve">type: Human-in-the-Loop (H).</w:t>
      </w:r>
    </w:p>
    <w:bookmarkStart w:id="62" w:name="portfolio-governance-council"/>
    <w:p>
      <w:pPr>
        <w:pStyle w:val="Heading3"/>
      </w:pPr>
      <w:r>
        <w:t xml:space="preserve">10.1 Portfolio Governance Council</w:t>
      </w:r>
    </w:p>
    <w:p>
      <w:pPr>
        <w:pStyle w:val="FirstParagraph"/>
      </w:pPr>
      <w:r>
        <w:t xml:space="preserve">The Portfolio Governance Council is a standing, cross-functional</w:t>
      </w:r>
      <w:r>
        <w:t xml:space="preserve"> </w:t>
      </w:r>
      <w:r>
        <w:t xml:space="preserve">governance body (recommended cadence: bi-weekly for standard requests;</w:t>
      </w:r>
      <w:r>
        <w:t xml:space="preserve"> </w:t>
      </w:r>
      <w:r>
        <w:t xml:space="preserve">ad hoc for urgent or high-score requests). It comprises representatives</w:t>
      </w:r>
      <w:r>
        <w:t xml:space="preserve"> </w:t>
      </w:r>
      <w:r>
        <w:t xml:space="preserve">from Technology, Product, Procurement, Risk, Finance, and Compliance</w:t>
      </w:r>
      <w:r>
        <w:t xml:space="preserve"> </w:t>
      </w:r>
      <w:r>
        <w:t xml:space="preserve">functions. The Council reviews DMN outputs as structured inputs—it</w:t>
      </w:r>
      <w:r>
        <w:t xml:space="preserve"> </w:t>
      </w:r>
      <w:r>
        <w:t xml:space="preserve">retains full human override authority, which is logged with rationale</w:t>
      </w:r>
      <w:r>
        <w:t xml:space="preserve"> </w:t>
      </w:r>
      <w:r>
        <w:t xml:space="preserve">and reviewer role.</w:t>
      </w:r>
    </w:p>
    <w:bookmarkEnd w:id="62"/>
    <w:bookmarkStart w:id="63" w:name="dmn-04-gono-go-viability"/>
    <w:p>
      <w:pPr>
        <w:pStyle w:val="Heading3"/>
      </w:pPr>
      <w:r>
        <w:t xml:space="preserve">10.2 DMN-04: Go/No-Go Viability</w:t>
      </w:r>
    </w:p>
    <w:p>
      <w:pPr>
        <w:pStyle w:val="FirstParagraph"/>
      </w:pPr>
      <w:r>
        <w:t xml:space="preserve">Hit policy: PRIORITY (P). A single veto condition overrides all positive</w:t>
      </w:r>
      <w:r>
        <w:t xml:space="preserve"> </w:t>
      </w:r>
      <w:r>
        <w:t xml:space="preserve">signals. All overrides logged with reviewer role and rationale.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Score</w:t>
            </w:r>
          </w:p>
        </w:tc>
        <w:tc>
          <w:tcPr/>
          <w:p>
            <w:pPr>
              <w:pStyle w:val="Compact"/>
            </w:pPr>
            <w:r>
              <w:t xml:space="preserve">Strategic</w:t>
            </w:r>
          </w:p>
        </w:tc>
        <w:tc>
          <w:tcPr/>
          <w:p>
            <w:pPr>
              <w:pStyle w:val="Compact"/>
            </w:pPr>
            <w:r>
              <w:t xml:space="preserve">Reg. Risk</w:t>
            </w:r>
          </w:p>
        </w:tc>
        <w:tc>
          <w:tcPr/>
          <w:p>
            <w:pPr>
              <w:pStyle w:val="Compact"/>
            </w:pPr>
            <w:r>
              <w:t xml:space="preserve">Budget?</w:t>
            </w:r>
          </w:p>
        </w:tc>
        <w:tc>
          <w:tcPr/>
          <w:p>
            <w:pPr>
              <w:pStyle w:val="Compact"/>
            </w:pPr>
            <w:r>
              <w:t xml:space="preserve">Resources?</w:t>
            </w:r>
          </w:p>
        </w:tc>
        <w:tc>
          <w:tcPr/>
          <w:p>
            <w:pPr>
              <w:pStyle w:val="Compact"/>
            </w:pPr>
            <w:r>
              <w:t xml:space="preserve">Decision</w:t>
            </w:r>
          </w:p>
        </w:tc>
        <w:tc>
          <w:tcPr/>
          <w:p>
            <w:pPr>
              <w:pStyle w:val="Compact"/>
            </w:pPr>
            <w:r>
              <w:t xml:space="preserve">Action</w:t>
            </w:r>
          </w:p>
        </w:tc>
      </w:tr>
      <w:tr>
        <w:tc>
          <w:tcPr/>
          <w:p>
            <w:pPr>
              <w:pStyle w:val="Compact"/>
            </w:pPr>
            <w:r>
              <w:t xml:space="preserve">1</w:t>
            </w:r>
          </w:p>
        </w:tc>
        <w:tc>
          <w:tcPr/>
          <w:p>
            <w:pPr>
              <w:pStyle w:val="Compact"/>
            </w:pPr>
            <w:r>
              <w:t xml:space="preserve">≥80</w:t>
            </w:r>
          </w:p>
        </w:tc>
        <w:tc>
          <w:tcPr/>
          <w:p>
            <w:pPr>
              <w:pStyle w:val="Compact"/>
            </w:pPr>
            <w:r>
              <w:t xml:space="preserve">High</w:t>
            </w:r>
          </w:p>
        </w:tc>
        <w:tc>
          <w:tcPr/>
          <w:p>
            <w:pPr>
              <w:pStyle w:val="Compact"/>
            </w:pPr>
            <w:r>
              <w:t xml:space="preserve">Compliant</w:t>
            </w:r>
          </w:p>
        </w:tc>
        <w:tc>
          <w:tcPr/>
          <w:p>
            <w:pPr>
              <w:pStyle w:val="Compact"/>
            </w:pPr>
            <w:r>
              <w:t xml:space="preserve">YES</w:t>
            </w:r>
          </w:p>
        </w:tc>
        <w:tc>
          <w:tcPr/>
          <w:p>
            <w:pPr>
              <w:pStyle w:val="Compact"/>
            </w:pPr>
            <w:r>
              <w:t xml:space="preserve">YES</w:t>
            </w:r>
          </w:p>
        </w:tc>
        <w:tc>
          <w:tcPr/>
          <w:p>
            <w:pPr>
              <w:pStyle w:val="Compact"/>
            </w:pPr>
            <w:r>
              <w:t xml:space="preserve">GO—Priority</w:t>
            </w:r>
          </w:p>
        </w:tc>
        <w:tc>
          <w:tcPr/>
          <w:p>
            <w:pPr>
              <w:pStyle w:val="Compact"/>
            </w:pPr>
            <w:r>
              <w:t xml:space="preserve">Fast-lane into backlog; accelerated sprint planning; PMO notified</w:t>
            </w:r>
          </w:p>
        </w:tc>
      </w:tr>
      <w:tr>
        <w:tc>
          <w:tcPr/>
          <w:p>
            <w:pPr>
              <w:pStyle w:val="Compact"/>
            </w:pPr>
            <w:r>
              <w:t xml:space="preserve">2</w:t>
            </w:r>
          </w:p>
        </w:tc>
        <w:tc>
          <w:tcPr/>
          <w:p>
            <w:pPr>
              <w:pStyle w:val="Compact"/>
            </w:pPr>
            <w:r>
              <w:t xml:space="preserve">60–79</w:t>
            </w:r>
          </w:p>
        </w:tc>
        <w:tc>
          <w:tcPr/>
          <w:p>
            <w:pPr>
              <w:pStyle w:val="Compact"/>
            </w:pPr>
            <w:r>
              <w:t xml:space="preserve">Medium+</w:t>
            </w:r>
          </w:p>
        </w:tc>
        <w:tc>
          <w:tcPr/>
          <w:p>
            <w:pPr>
              <w:pStyle w:val="Compact"/>
            </w:pPr>
            <w:r>
              <w:t xml:space="preserve">Compliant</w:t>
            </w:r>
          </w:p>
        </w:tc>
        <w:tc>
          <w:tcPr/>
          <w:p>
            <w:pPr>
              <w:pStyle w:val="Compact"/>
            </w:pPr>
            <w:r>
              <w:t xml:space="preserve">YES</w:t>
            </w:r>
          </w:p>
        </w:tc>
        <w:tc>
          <w:tcPr/>
          <w:p>
            <w:pPr>
              <w:pStyle w:val="Compact"/>
            </w:pPr>
            <w:r>
              <w:t xml:space="preserve">YES</w:t>
            </w:r>
          </w:p>
        </w:tc>
        <w:tc>
          <w:tcPr/>
          <w:p>
            <w:pPr>
              <w:pStyle w:val="Compact"/>
            </w:pPr>
            <w:r>
              <w:t xml:space="preserve">GO—Standard</w:t>
            </w:r>
          </w:p>
        </w:tc>
        <w:tc>
          <w:tcPr/>
          <w:p>
            <w:pPr>
              <w:pStyle w:val="Compact"/>
            </w:pPr>
            <w:r>
              <w:t xml:space="preserve">Enter backlog at standard priority; next available sprint</w:t>
            </w:r>
          </w:p>
        </w:tc>
      </w:tr>
      <w:tr>
        <w:tc>
          <w:tcPr/>
          <w:p>
            <w:pPr>
              <w:pStyle w:val="Compact"/>
            </w:pPr>
            <w:r>
              <w:t xml:space="preserve">3</w:t>
            </w:r>
          </w:p>
        </w:tc>
        <w:tc>
          <w:tcPr/>
          <w:p>
            <w:pPr>
              <w:pStyle w:val="Compact"/>
            </w:pPr>
            <w:r>
              <w:t xml:space="preserve">60–79</w:t>
            </w:r>
          </w:p>
        </w:tc>
        <w:tc>
          <w:tcPr/>
          <w:p>
            <w:pPr>
              <w:pStyle w:val="Compact"/>
            </w:pPr>
            <w:r>
              <w:t xml:space="preserve">Any</w:t>
            </w:r>
          </w:p>
        </w:tc>
        <w:tc>
          <w:tcPr/>
          <w:p>
            <w:pPr>
              <w:pStyle w:val="Compact"/>
            </w:pPr>
            <w:r>
              <w:t xml:space="preserve">Compliant</w:t>
            </w:r>
          </w:p>
        </w:tc>
        <w:tc>
          <w:tcPr/>
          <w:p>
            <w:pPr>
              <w:pStyle w:val="Compact"/>
            </w:pPr>
            <w:r>
              <w:t xml:space="preserve">YES</w:t>
            </w:r>
          </w:p>
        </w:tc>
        <w:tc>
          <w:tcPr/>
          <w:p>
            <w:pPr>
              <w:pStyle w:val="Compact"/>
            </w:pPr>
            <w:r>
              <w:t xml:space="preserve">NO</w:t>
            </w:r>
          </w:p>
        </w:tc>
        <w:tc>
          <w:tcPr/>
          <w:p>
            <w:pPr>
              <w:pStyle w:val="Compact"/>
            </w:pPr>
            <w:r>
              <w:t xml:space="preserve">GO—Conditional</w:t>
            </w:r>
          </w:p>
        </w:tc>
        <w:tc>
          <w:tcPr/>
          <w:p>
            <w:pPr>
              <w:pStyle w:val="Compact"/>
            </w:pPr>
            <w:r>
              <w:t xml:space="preserve">Enter backlog; resource dependency logged; capacity forecast updated</w:t>
            </w:r>
          </w:p>
        </w:tc>
      </w:tr>
      <w:tr>
        <w:tc>
          <w:tcPr/>
          <w:p>
            <w:pPr>
              <w:pStyle w:val="Compact"/>
            </w:pPr>
            <w:r>
              <w:t xml:space="preserve">4</w:t>
            </w:r>
          </w:p>
        </w:tc>
        <w:tc>
          <w:tcPr/>
          <w:p>
            <w:pPr>
              <w:pStyle w:val="Compact"/>
            </w:pPr>
            <w:r>
              <w:t xml:space="preserve">40–59</w:t>
            </w:r>
          </w:p>
        </w:tc>
        <w:tc>
          <w:tcPr/>
          <w:p>
            <w:pPr>
              <w:pStyle w:val="Compact"/>
            </w:pPr>
            <w:r>
              <w:t xml:space="preserve">Any</w:t>
            </w:r>
          </w:p>
        </w:tc>
        <w:tc>
          <w:tcPr/>
          <w:p>
            <w:pPr>
              <w:pStyle w:val="Compact"/>
            </w:pPr>
            <w:r>
              <w:t xml:space="preserve">Compliant</w:t>
            </w:r>
          </w:p>
        </w:tc>
        <w:tc>
          <w:tcPr/>
          <w:p>
            <w:pPr>
              <w:pStyle w:val="Compact"/>
            </w:pPr>
            <w:r>
              <w:t xml:space="preserve">—</w:t>
            </w:r>
          </w:p>
        </w:tc>
        <w:tc>
          <w:tcPr/>
          <w:p>
            <w:pPr>
              <w:pStyle w:val="Compact"/>
            </w:pPr>
            <w:r>
              <w:t xml:space="preserve">—</w:t>
            </w:r>
          </w:p>
        </w:tc>
        <w:tc>
          <w:tcPr/>
          <w:p>
            <w:pPr>
              <w:pStyle w:val="Compact"/>
            </w:pPr>
            <w:r>
              <w:t xml:space="preserve">DEFER</w:t>
            </w:r>
          </w:p>
        </w:tc>
        <w:tc>
          <w:tcPr/>
          <w:p>
            <w:pPr>
              <w:pStyle w:val="Compact"/>
            </w:pPr>
            <w:r>
              <w:t xml:space="preserve">Park 90 days; auto re-evaluate at next planning cycle</w:t>
            </w:r>
          </w:p>
        </w:tc>
      </w:tr>
      <w:tr>
        <w:tc>
          <w:tcPr/>
          <w:p>
            <w:pPr>
              <w:pStyle w:val="Compact"/>
            </w:pPr>
            <w:r>
              <w:t xml:space="preserve">5</w:t>
            </w:r>
          </w:p>
        </w:tc>
        <w:tc>
          <w:tcPr/>
          <w:p>
            <w:pPr>
              <w:pStyle w:val="Compact"/>
            </w:pPr>
            <w:r>
              <w:t xml:space="preserve">Any</w:t>
            </w:r>
          </w:p>
        </w:tc>
        <w:tc>
          <w:tcPr/>
          <w:p>
            <w:pPr>
              <w:pStyle w:val="Compact"/>
            </w:pPr>
            <w:r>
              <w:t xml:space="preserve">Any</w:t>
            </w:r>
          </w:p>
        </w:tc>
        <w:tc>
          <w:tcPr/>
          <w:p>
            <w:pPr>
              <w:pStyle w:val="Compact"/>
            </w:pPr>
            <w:r>
              <w:t xml:space="preserve">Non-compliant</w:t>
            </w:r>
          </w:p>
        </w:tc>
        <w:tc>
          <w:tcPr/>
          <w:p>
            <w:pPr>
              <w:pStyle w:val="Compact"/>
            </w:pPr>
            <w:r>
              <w:t xml:space="preserve">—</w:t>
            </w:r>
          </w:p>
        </w:tc>
        <w:tc>
          <w:tcPr/>
          <w:p>
            <w:pPr>
              <w:pStyle w:val="Compact"/>
            </w:pPr>
            <w:r>
              <w:t xml:space="preserve">—</w:t>
            </w:r>
          </w:p>
        </w:tc>
        <w:tc>
          <w:tcPr/>
          <w:p>
            <w:pPr>
              <w:pStyle w:val="Compact"/>
            </w:pPr>
            <w:r>
              <w:t xml:space="preserve">NO-GO—Reg Hold</w:t>
            </w:r>
          </w:p>
        </w:tc>
        <w:tc>
          <w:tcPr/>
          <w:p>
            <w:pPr>
              <w:pStyle w:val="Compact"/>
            </w:pPr>
            <w:r>
              <w:t xml:space="preserve">Risk and Compliance notified; held pending resolution within 30 days</w:t>
            </w:r>
          </w:p>
        </w:tc>
      </w:tr>
      <w:tr>
        <w:tc>
          <w:tcPr/>
          <w:p>
            <w:pPr>
              <w:pStyle w:val="Compact"/>
            </w:pPr>
            <w:r>
              <w:t xml:space="preserve">6</w:t>
            </w:r>
          </w:p>
        </w:tc>
        <w:tc>
          <w:tcPr/>
          <w:p>
            <w:pPr>
              <w:pStyle w:val="Compact"/>
            </w:pPr>
            <w:r>
              <w:t xml:space="preserve">&lt;40</w:t>
            </w:r>
          </w:p>
        </w:tc>
        <w:tc>
          <w:tcPr/>
          <w:p>
            <w:pPr>
              <w:pStyle w:val="Compact"/>
            </w:pPr>
            <w:r>
              <w:t xml:space="preserve">Low</w:t>
            </w:r>
          </w:p>
        </w:tc>
        <w:tc>
          <w:tcPr/>
          <w:p>
            <w:pPr>
              <w:pStyle w:val="Compact"/>
            </w:pPr>
            <w:r>
              <w:t xml:space="preserve">Compliant</w:t>
            </w:r>
          </w:p>
        </w:tc>
        <w:tc>
          <w:tcPr/>
          <w:p>
            <w:pPr>
              <w:pStyle w:val="Compact"/>
            </w:pPr>
            <w:r>
              <w:t xml:space="preserve">—</w:t>
            </w:r>
          </w:p>
        </w:tc>
        <w:tc>
          <w:tcPr/>
          <w:p>
            <w:pPr>
              <w:pStyle w:val="Compact"/>
            </w:pPr>
            <w:r>
              <w:t xml:space="preserve">—</w:t>
            </w:r>
          </w:p>
        </w:tc>
        <w:tc>
          <w:tcPr/>
          <w:p>
            <w:pPr>
              <w:pStyle w:val="Compact"/>
            </w:pPr>
            <w:r>
              <w:t xml:space="preserve">NO-GO—Reject</w:t>
            </w:r>
          </w:p>
        </w:tc>
        <w:tc>
          <w:tcPr/>
          <w:p>
            <w:pPr>
              <w:pStyle w:val="Compact"/>
            </w:pPr>
            <w:r>
              <w:t xml:space="preserve">Close with documented rationale; requestor notified</w:t>
            </w:r>
          </w:p>
        </w:tc>
      </w:tr>
      <w:tr>
        <w:tc>
          <w:tcPr/>
          <w:p>
            <w:pPr>
              <w:pStyle w:val="Compact"/>
            </w:pPr>
            <w:r>
              <w:t xml:space="preserve">7</w:t>
            </w:r>
          </w:p>
        </w:tc>
        <w:tc>
          <w:tcPr/>
          <w:p>
            <w:pPr>
              <w:pStyle w:val="Compact"/>
            </w:pPr>
            <w:r>
              <w:t xml:space="preserve">Any</w:t>
            </w:r>
          </w:p>
        </w:tc>
        <w:tc>
          <w:tcPr/>
          <w:p>
            <w:pPr>
              <w:pStyle w:val="Compact"/>
            </w:pPr>
            <w:r>
              <w:t xml:space="preserve">Any</w:t>
            </w:r>
          </w:p>
        </w:tc>
        <w:tc>
          <w:tcPr/>
          <w:p>
            <w:pPr>
              <w:pStyle w:val="Compact"/>
            </w:pPr>
            <w:r>
              <w:t xml:space="preserve">Compliant</w:t>
            </w:r>
          </w:p>
        </w:tc>
        <w:tc>
          <w:tcPr/>
          <w:p>
            <w:pPr>
              <w:pStyle w:val="Compact"/>
            </w:pPr>
            <w:r>
              <w:t xml:space="preserve">NO</w:t>
            </w:r>
          </w:p>
        </w:tc>
        <w:tc>
          <w:tcPr/>
          <w:p>
            <w:pPr>
              <w:pStyle w:val="Compact"/>
            </w:pPr>
            <w:r>
              <w:t xml:space="preserve">—</w:t>
            </w:r>
          </w:p>
        </w:tc>
        <w:tc>
          <w:tcPr/>
          <w:p>
            <w:pPr>
              <w:pStyle w:val="Compact"/>
            </w:pPr>
            <w:r>
              <w:t xml:space="preserve">NO-GO—Budget</w:t>
            </w:r>
          </w:p>
        </w:tc>
        <w:tc>
          <w:tcPr/>
          <w:p>
            <w:pPr>
              <w:pStyle w:val="Compact"/>
            </w:pPr>
            <w:r>
              <w:t xml:space="preserve">Re-evaluated in next budget planning cycle</w:t>
            </w:r>
          </w:p>
        </w:tc>
      </w:tr>
    </w:tbl>
    <w:bookmarkEnd w:id="63"/>
    <w:bookmarkStart w:id="64" w:name="dmn-05-buy-vs.-build-analysis"/>
    <w:p>
      <w:pPr>
        <w:pStyle w:val="Heading3"/>
      </w:pPr>
      <w:r>
        <w:t xml:space="preserve">10.3 DMN-05: Buy vs. Build Analysis</w:t>
      </w:r>
    </w:p>
    <w:p>
      <w:pPr>
        <w:pStyle w:val="FirstParagraph"/>
      </w:pPr>
      <w:r>
        <w:t xml:space="preserve">Hit policy: UNIQUE (U). Evaluated across five dimensions.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Market Soln?</w:t>
            </w:r>
          </w:p>
        </w:tc>
        <w:tc>
          <w:tcPr/>
          <w:p>
            <w:pPr>
              <w:pStyle w:val="Compact"/>
            </w:pPr>
            <w:r>
              <w:t xml:space="preserve">5yr TCO</w:t>
            </w:r>
          </w:p>
        </w:tc>
        <w:tc>
          <w:tcPr/>
          <w:p>
            <w:pPr>
              <w:pStyle w:val="Compact"/>
            </w:pPr>
            <w:r>
              <w:t xml:space="preserve">IP Diff.?</w:t>
            </w:r>
          </w:p>
        </w:tc>
        <w:tc>
          <w:tcPr/>
          <w:p>
            <w:pPr>
              <w:pStyle w:val="Compact"/>
            </w:pPr>
            <w:r>
              <w:t xml:space="preserve">Complexity</w:t>
            </w:r>
          </w:p>
        </w:tc>
        <w:tc>
          <w:tcPr/>
          <w:p>
            <w:pPr>
              <w:pStyle w:val="Compact"/>
            </w:pPr>
            <w:r>
              <w:t xml:space="preserve">Strategic Fit</w:t>
            </w:r>
          </w:p>
        </w:tc>
        <w:tc>
          <w:tcPr/>
          <w:p>
            <w:pPr>
              <w:pStyle w:val="Compact"/>
            </w:pPr>
            <w:r>
              <w:t xml:space="preserve">Decision</w:t>
            </w:r>
          </w:p>
        </w:tc>
        <w:tc>
          <w:tcPr/>
          <w:p>
            <w:pPr>
              <w:pStyle w:val="Compact"/>
            </w:pPr>
            <w:r>
              <w:t xml:space="preserve">Rationale</w:t>
            </w:r>
          </w:p>
        </w:tc>
      </w:tr>
      <w:tr>
        <w:tc>
          <w:tcPr/>
          <w:p>
            <w:pPr>
              <w:pStyle w:val="Compact"/>
            </w:pPr>
            <w:r>
              <w:t xml:space="preserve">1</w:t>
            </w:r>
          </w:p>
        </w:tc>
        <w:tc>
          <w:tcPr/>
          <w:p>
            <w:pPr>
              <w:pStyle w:val="Compact"/>
            </w:pPr>
            <w:r>
              <w:t xml:space="preserve">YES</w:t>
            </w:r>
          </w:p>
        </w:tc>
        <w:tc>
          <w:tcPr/>
          <w:p>
            <w:pPr>
              <w:pStyle w:val="Compact"/>
            </w:pPr>
            <w:r>
              <w:t xml:space="preserve">Buy &lt; Build &gt;20%</w:t>
            </w:r>
          </w:p>
        </w:tc>
        <w:tc>
          <w:tcPr/>
          <w:p>
            <w:pPr>
              <w:pStyle w:val="Compact"/>
            </w:pPr>
            <w:r>
              <w:t xml:space="preserve">NO</w:t>
            </w:r>
          </w:p>
        </w:tc>
        <w:tc>
          <w:tcPr/>
          <w:p>
            <w:pPr>
              <w:pStyle w:val="Compact"/>
            </w:pPr>
            <w:r>
              <w:t xml:space="preserve">Any</w:t>
            </w:r>
          </w:p>
        </w:tc>
        <w:tc>
          <w:tcPr/>
          <w:p>
            <w:pPr>
              <w:pStyle w:val="Compact"/>
            </w:pPr>
            <w:r>
              <w:t xml:space="preserve">Standard</w:t>
            </w:r>
          </w:p>
        </w:tc>
        <w:tc>
          <w:tcPr/>
          <w:p>
            <w:pPr>
              <w:pStyle w:val="Compact"/>
            </w:pPr>
            <w:r>
              <w:t xml:space="preserve">BUY</w:t>
            </w:r>
          </w:p>
        </w:tc>
        <w:tc>
          <w:tcPr/>
          <w:p>
            <w:pPr>
              <w:pStyle w:val="Compact"/>
            </w:pPr>
            <w:r>
              <w:t xml:space="preserve">Market solution viable; lower TCO; no differentiation value</w:t>
            </w:r>
          </w:p>
        </w:tc>
      </w:tr>
      <w:tr>
        <w:tc>
          <w:tcPr/>
          <w:p>
            <w:pPr>
              <w:pStyle w:val="Compact"/>
            </w:pPr>
            <w:r>
              <w:t xml:space="preserve">2</w:t>
            </w:r>
          </w:p>
        </w:tc>
        <w:tc>
          <w:tcPr/>
          <w:p>
            <w:pPr>
              <w:pStyle w:val="Compact"/>
            </w:pPr>
            <w:r>
              <w:t xml:space="preserve">YES</w:t>
            </w:r>
          </w:p>
        </w:tc>
        <w:tc>
          <w:tcPr/>
          <w:p>
            <w:pPr>
              <w:pStyle w:val="Compact"/>
            </w:pPr>
            <w:r>
              <w:t xml:space="preserve">Build &lt; Buy &gt;20%</w:t>
            </w:r>
          </w:p>
        </w:tc>
        <w:tc>
          <w:tcPr/>
          <w:p>
            <w:pPr>
              <w:pStyle w:val="Compact"/>
            </w:pPr>
            <w:r>
              <w:t xml:space="preserve">YES</w:t>
            </w:r>
          </w:p>
        </w:tc>
        <w:tc>
          <w:tcPr/>
          <w:p>
            <w:pPr>
              <w:pStyle w:val="Compact"/>
            </w:pPr>
            <w:r>
              <w:t xml:space="preserve">Low–Med</w:t>
            </w:r>
          </w:p>
        </w:tc>
        <w:tc>
          <w:tcPr/>
          <w:p>
            <w:pPr>
              <w:pStyle w:val="Compact"/>
            </w:pPr>
            <w:r>
              <w:t xml:space="preserve">High</w:t>
            </w:r>
          </w:p>
        </w:tc>
        <w:tc>
          <w:tcPr/>
          <w:p>
            <w:pPr>
              <w:pStyle w:val="Compact"/>
            </w:pPr>
            <w:r>
              <w:t xml:space="preserve">BUILD</w:t>
            </w:r>
          </w:p>
        </w:tc>
        <w:tc>
          <w:tcPr/>
          <w:p>
            <w:pPr>
              <w:pStyle w:val="Compact"/>
            </w:pPr>
            <w:r>
              <w:t xml:space="preserve">IP differentiation; manageable complexity</w:t>
            </w:r>
          </w:p>
        </w:tc>
      </w:tr>
      <w:tr>
        <w:tc>
          <w:tcPr/>
          <w:p>
            <w:pPr>
              <w:pStyle w:val="Compact"/>
            </w:pPr>
            <w:r>
              <w:t xml:space="preserve">3</w:t>
            </w:r>
          </w:p>
        </w:tc>
        <w:tc>
          <w:tcPr/>
          <w:p>
            <w:pPr>
              <w:pStyle w:val="Compact"/>
            </w:pPr>
            <w:r>
              <w:t xml:space="preserve">YES</w:t>
            </w:r>
          </w:p>
        </w:tc>
        <w:tc>
          <w:tcPr/>
          <w:p>
            <w:pPr>
              <w:pStyle w:val="Compact"/>
            </w:pPr>
            <w:r>
              <w:t xml:space="preserve">Within 20%</w:t>
            </w:r>
          </w:p>
        </w:tc>
        <w:tc>
          <w:tcPr/>
          <w:p>
            <w:pPr>
              <w:pStyle w:val="Compact"/>
            </w:pPr>
            <w:r>
              <w:t xml:space="preserve">Partial</w:t>
            </w:r>
          </w:p>
        </w:tc>
        <w:tc>
          <w:tcPr/>
          <w:p>
            <w:pPr>
              <w:pStyle w:val="Compact"/>
            </w:pPr>
            <w:r>
              <w:t xml:space="preserve">Medium</w:t>
            </w:r>
          </w:p>
        </w:tc>
        <w:tc>
          <w:tcPr/>
          <w:p>
            <w:pPr>
              <w:pStyle w:val="Compact"/>
            </w:pPr>
            <w:r>
              <w:t xml:space="preserve">High</w:t>
            </w:r>
          </w:p>
        </w:tc>
        <w:tc>
          <w:tcPr/>
          <w:p>
            <w:pPr>
              <w:pStyle w:val="Compact"/>
            </w:pPr>
            <w:r>
              <w:t xml:space="preserve">HYBRID</w:t>
            </w:r>
          </w:p>
        </w:tc>
        <w:tc>
          <w:tcPr/>
          <w:p>
            <w:pPr>
              <w:pStyle w:val="Compact"/>
            </w:pPr>
            <w:r>
              <w:t xml:space="preserve">Buy core; build proprietary extension</w:t>
            </w:r>
          </w:p>
        </w:tc>
      </w:tr>
      <w:tr>
        <w:tc>
          <w:tcPr/>
          <w:p>
            <w:pPr>
              <w:pStyle w:val="Compact"/>
            </w:pPr>
            <w:r>
              <w:t xml:space="preserve">4</w:t>
            </w:r>
          </w:p>
        </w:tc>
        <w:tc>
          <w:tcPr/>
          <w:p>
            <w:pPr>
              <w:pStyle w:val="Compact"/>
            </w:pPr>
            <w:r>
              <w:t xml:space="preserve">NO</w:t>
            </w:r>
          </w:p>
        </w:tc>
        <w:tc>
          <w:tcPr/>
          <w:p>
            <w:pPr>
              <w:pStyle w:val="Compact"/>
            </w:pPr>
            <w:r>
              <w:t xml:space="preserve">N/A</w:t>
            </w:r>
          </w:p>
        </w:tc>
        <w:tc>
          <w:tcPr/>
          <w:p>
            <w:pPr>
              <w:pStyle w:val="Compact"/>
            </w:pPr>
            <w:r>
              <w:t xml:space="preserve">YES</w:t>
            </w:r>
          </w:p>
        </w:tc>
        <w:tc>
          <w:tcPr/>
          <w:p>
            <w:pPr>
              <w:pStyle w:val="Compact"/>
            </w:pPr>
            <w:r>
              <w:t xml:space="preserve">Any</w:t>
            </w:r>
          </w:p>
        </w:tc>
        <w:tc>
          <w:tcPr/>
          <w:p>
            <w:pPr>
              <w:pStyle w:val="Compact"/>
            </w:pPr>
            <w:r>
              <w:t xml:space="preserve">High</w:t>
            </w:r>
          </w:p>
        </w:tc>
        <w:tc>
          <w:tcPr/>
          <w:p>
            <w:pPr>
              <w:pStyle w:val="Compact"/>
            </w:pPr>
            <w:r>
              <w:t xml:space="preserve">BUILD</w:t>
            </w:r>
          </w:p>
        </w:tc>
        <w:tc>
          <w:tcPr/>
          <w:p>
            <w:pPr>
              <w:pStyle w:val="Compact"/>
            </w:pPr>
            <w:r>
              <w:t xml:space="preserve">No market solution; differentiation required</w:t>
            </w:r>
          </w:p>
        </w:tc>
      </w:tr>
      <w:tr>
        <w:tc>
          <w:tcPr/>
          <w:p>
            <w:pPr>
              <w:pStyle w:val="Compact"/>
            </w:pPr>
            <w:r>
              <w:t xml:space="preserve">5</w:t>
            </w:r>
          </w:p>
        </w:tc>
        <w:tc>
          <w:tcPr/>
          <w:p>
            <w:pPr>
              <w:pStyle w:val="Compact"/>
            </w:pPr>
            <w:r>
              <w:t xml:space="preserve">NO</w:t>
            </w:r>
          </w:p>
        </w:tc>
        <w:tc>
          <w:tcPr/>
          <w:p>
            <w:pPr>
              <w:pStyle w:val="Compact"/>
            </w:pPr>
            <w:r>
              <w:t xml:space="preserve">N/A</w:t>
            </w:r>
          </w:p>
        </w:tc>
        <w:tc>
          <w:tcPr/>
          <w:p>
            <w:pPr>
              <w:pStyle w:val="Compact"/>
            </w:pPr>
            <w:r>
              <w:t xml:space="preserve">NO</w:t>
            </w:r>
          </w:p>
        </w:tc>
        <w:tc>
          <w:tcPr/>
          <w:p>
            <w:pPr>
              <w:pStyle w:val="Compact"/>
            </w:pPr>
            <w:r>
              <w:t xml:space="preserve">High</w:t>
            </w:r>
          </w:p>
        </w:tc>
        <w:tc>
          <w:tcPr/>
          <w:p>
            <w:pPr>
              <w:pStyle w:val="Compact"/>
            </w:pPr>
            <w:r>
              <w:t xml:space="preserve">Any</w:t>
            </w:r>
          </w:p>
        </w:tc>
        <w:tc>
          <w:tcPr/>
          <w:p>
            <w:pPr>
              <w:pStyle w:val="Compact"/>
            </w:pPr>
            <w:r>
              <w:t xml:space="preserve">DEFER</w:t>
            </w:r>
          </w:p>
        </w:tc>
        <w:tc>
          <w:tcPr/>
          <w:p>
            <w:pPr>
              <w:pStyle w:val="Compact"/>
            </w:pPr>
            <w:r>
              <w:t xml:space="preserve">No market solution; high complexity; re-evaluate in 6 months</w:t>
            </w:r>
          </w:p>
        </w:tc>
      </w:tr>
      <w:tr>
        <w:tc>
          <w:tcPr/>
          <w:p>
            <w:pPr>
              <w:pStyle w:val="Compact"/>
            </w:pPr>
            <w:r>
              <w:t xml:space="preserve">6</w:t>
            </w:r>
          </w:p>
        </w:tc>
        <w:tc>
          <w:tcPr/>
          <w:p>
            <w:pPr>
              <w:pStyle w:val="Compact"/>
            </w:pPr>
            <w:r>
              <w:t xml:space="preserve">YES</w:t>
            </w:r>
          </w:p>
        </w:tc>
        <w:tc>
          <w:tcPr/>
          <w:p>
            <w:pPr>
              <w:pStyle w:val="Compact"/>
            </w:pPr>
            <w:r>
              <w:t xml:space="preserve">Buy &lt; Build</w:t>
            </w:r>
          </w:p>
        </w:tc>
        <w:tc>
          <w:tcPr/>
          <w:p>
            <w:pPr>
              <w:pStyle w:val="Compact"/>
            </w:pPr>
            <w:r>
              <w:t xml:space="preserve">NO</w:t>
            </w:r>
          </w:p>
        </w:tc>
        <w:tc>
          <w:tcPr/>
          <w:p>
            <w:pPr>
              <w:pStyle w:val="Compact"/>
            </w:pPr>
            <w:r>
              <w:t xml:space="preserve">Low</w:t>
            </w:r>
          </w:p>
        </w:tc>
        <w:tc>
          <w:tcPr/>
          <w:p>
            <w:pPr>
              <w:pStyle w:val="Compact"/>
            </w:pPr>
            <w:r>
              <w:t xml:space="preserve">Low</w:t>
            </w:r>
          </w:p>
        </w:tc>
        <w:tc>
          <w:tcPr/>
          <w:p>
            <w:pPr>
              <w:pStyle w:val="Compact"/>
            </w:pPr>
            <w:r>
              <w:t xml:space="preserve">BUY—Fast</w:t>
            </w:r>
          </w:p>
        </w:tc>
        <w:tc>
          <w:tcPr/>
          <w:p>
            <w:pPr>
              <w:pStyle w:val="Compact"/>
            </w:pPr>
            <w:r>
              <w:t xml:space="preserve">Standard commercial procurement; abbreviated process</w:t>
            </w:r>
          </w:p>
        </w:tc>
      </w:tr>
    </w:tbl>
    <w:bookmarkEnd w:id="64"/>
    <w:bookmarkEnd w:id="65"/>
    <w:bookmarkStart w:id="69" w:name="Xc8ddfa73cb0c84dc65023bfd819c32d5d16f6a3"/>
    <w:p>
      <w:pPr>
        <w:pStyle w:val="Heading2"/>
      </w:pPr>
      <w:r>
        <w:t xml:space="preserve">12. Phase 5A: Product Development Life Cycle (Build Pathway)</w:t>
      </w:r>
    </w:p>
    <w:p>
      <w:pPr>
        <w:pStyle w:val="BlockText"/>
      </w:pPr>
      <w:r>
        <w:rPr>
          <w:b/>
          <w:bCs/>
        </w:rPr>
        <w:t xml:space="preserve">P5A Product Development Life Cycle (Build)</w:t>
      </w:r>
    </w:p>
    <w:p>
      <w:pPr>
        <w:pStyle w:val="BlockText"/>
      </w:pPr>
      <w:r>
        <w:rPr>
          <w:i/>
          <w:iCs/>
        </w:rPr>
        <w:t xml:space="preserve">Engineering-led. Risk-gated. Observability designed in from Day 1.</w:t>
      </w:r>
      <w:r>
        <w:rPr>
          <w:i/>
          <w:iCs/>
        </w:rPr>
        <w:t xml:space="preserve"> </w:t>
      </w:r>
      <w:r>
        <w:rPr>
          <w:i/>
          <w:iCs/>
        </w:rPr>
        <w:t xml:space="preserve">Each step classified by task type.</w:t>
      </w:r>
    </w:p>
    <w:bookmarkStart w:id="66" w:name="build-pathway-sub-process-sequence"/>
    <w:p>
      <w:pPr>
        <w:pStyle w:val="Heading3"/>
      </w:pPr>
      <w:r>
        <w:t xml:space="preserve">11.1 Build Pathway Sub-Process Sequence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Activity</w:t>
            </w:r>
          </w:p>
        </w:tc>
        <w:tc>
          <w:tcPr/>
          <w:p>
            <w:pPr>
              <w:pStyle w:val="Compact"/>
            </w:pPr>
            <w:r>
              <w:t xml:space="preserve">Task Type</w:t>
            </w:r>
          </w:p>
        </w:tc>
        <w:tc>
          <w:tcPr/>
          <w:p>
            <w:pPr>
              <w:pStyle w:val="Compact"/>
            </w:pPr>
            <w:r>
              <w:t xml:space="preserve">Responsible Role</w:t>
            </w:r>
          </w:p>
        </w:tc>
        <w:tc>
          <w:tcPr/>
          <w:p>
            <w:pPr>
              <w:pStyle w:val="Compact"/>
            </w:pPr>
            <w:r>
              <w:t xml:space="preserve">BPMN Element</w:t>
            </w:r>
          </w:p>
        </w:tc>
      </w:tr>
      <w:tr>
        <w:tc>
          <w:tcPr/>
          <w:p>
            <w:pPr>
              <w:pStyle w:val="Compact"/>
            </w:pPr>
            <w:r>
              <w:t xml:space="preserve">1</w:t>
            </w:r>
          </w:p>
        </w:tc>
        <w:tc>
          <w:tcPr/>
          <w:p>
            <w:pPr>
              <w:pStyle w:val="Compact"/>
            </w:pPr>
            <w:r>
              <w:t xml:space="preserve">Technology Plan Integration: Integrate build into roadmap; assign to sprint; create Git branch from Epic ID; link stories with Git commits</w:t>
            </w:r>
          </w:p>
        </w:tc>
        <w:tc>
          <w:tcPr/>
          <w:p>
            <w:pPr>
              <w:pStyle w:val="Compact"/>
            </w:pPr>
            <w:r>
              <w:t xml:space="preserve">A / H</w:t>
            </w:r>
          </w:p>
        </w:tc>
        <w:tc>
          <w:tcPr/>
          <w:p>
            <w:pPr>
              <w:pStyle w:val="Compact"/>
            </w:pPr>
            <w:r>
              <w:t xml:space="preserve">Program Management</w:t>
            </w:r>
          </w:p>
        </w:tc>
        <w:tc>
          <w:tcPr/>
          <w:p>
            <w:pPr>
              <w:pStyle w:val="Compact"/>
            </w:pPr>
            <w:r>
              <w:t xml:space="preserve">Service Task + User Task</w:t>
            </w:r>
          </w:p>
        </w:tc>
      </w:tr>
      <w:tr>
        <w:tc>
          <w:tcPr/>
          <w:p>
            <w:pPr>
              <w:pStyle w:val="Compact"/>
            </w:pPr>
            <w:r>
              <w:t xml:space="preserve">2</w:t>
            </w:r>
          </w:p>
        </w:tc>
        <w:tc>
          <w:tcPr/>
          <w:p>
            <w:pPr>
              <w:pStyle w:val="Compact"/>
            </w:pPr>
            <w:r>
              <w:t xml:space="preserve">Initial Risk Evaluation: High-level review with risk partners; integration dependencies mapped in CMDB; InfoSec preliminary assessment; data flow diagram drafted</w:t>
            </w:r>
          </w:p>
        </w:tc>
        <w:tc>
          <w:tcPr/>
          <w:p>
            <w:pPr>
              <w:pStyle w:val="Compact"/>
            </w:pPr>
            <w:r>
              <w:t xml:space="preserve">H / DA</w:t>
            </w:r>
          </w:p>
        </w:tc>
        <w:tc>
          <w:tcPr/>
          <w:p>
            <w:pPr>
              <w:pStyle w:val="Compact"/>
            </w:pPr>
            <w:r>
              <w:t xml:space="preserve">Enterprise Architect, AI/Model Risk Governance</w:t>
            </w:r>
          </w:p>
        </w:tc>
        <w:tc>
          <w:tcPr/>
          <w:p>
            <w:pPr>
              <w:pStyle w:val="Compact"/>
            </w:pPr>
            <w:r>
              <w:t xml:space="preserve">User Task</w:t>
            </w:r>
          </w:p>
        </w:tc>
      </w:tr>
      <w:tr>
        <w:tc>
          <w:tcPr/>
          <w:p>
            <w:pPr>
              <w:pStyle w:val="Compact"/>
            </w:pPr>
            <w:r>
              <w:t xml:space="preserve">3</w:t>
            </w:r>
          </w:p>
        </w:tc>
        <w:tc>
          <w:tcPr/>
          <w:p>
            <w:pPr>
              <w:pStyle w:val="Compact"/>
            </w:pPr>
            <w:r>
              <w:t xml:space="preserve">Initial Requirements Definition and Estimates: Refine PRD; convert sizing to story points; identify technical dependencies; document Definition of Done</w:t>
            </w:r>
          </w:p>
        </w:tc>
        <w:tc>
          <w:tcPr/>
          <w:p>
            <w:pPr>
              <w:pStyle w:val="Compact"/>
            </w:pPr>
            <w:r>
              <w:t xml:space="preserve">H</w:t>
            </w:r>
          </w:p>
        </w:tc>
        <w:tc>
          <w:tcPr/>
          <w:p>
            <w:pPr>
              <w:pStyle w:val="Compact"/>
            </w:pPr>
            <w:r>
              <w:t xml:space="preserve">Product Owner, Engineering</w:t>
            </w:r>
          </w:p>
        </w:tc>
        <w:tc>
          <w:tcPr/>
          <w:p>
            <w:pPr>
              <w:pStyle w:val="Compact"/>
            </w:pPr>
            <w:r>
              <w:t xml:space="preserve">User Task</w:t>
            </w:r>
          </w:p>
        </w:tc>
      </w:tr>
      <w:tr>
        <w:tc>
          <w:tcPr/>
          <w:p>
            <w:pPr>
              <w:pStyle w:val="Compact"/>
            </w:pPr>
            <w:r>
              <w:t xml:space="preserve">4</w:t>
            </w:r>
          </w:p>
        </w:tc>
        <w:tc>
          <w:tcPr/>
          <w:p>
            <w:pPr>
              <w:pStyle w:val="Compact"/>
            </w:pPr>
            <w:r>
              <w:t xml:space="preserve">High Level Design Document (HLDD): System context diagram; data flow with classification overlays; API contracts; security controls; auth design; observability design</w:t>
            </w:r>
          </w:p>
        </w:tc>
        <w:tc>
          <w:tcPr/>
          <w:p>
            <w:pPr>
              <w:pStyle w:val="Compact"/>
            </w:pPr>
            <w:r>
              <w:t xml:space="preserve">H</w:t>
            </w:r>
          </w:p>
        </w:tc>
        <w:tc>
          <w:tcPr/>
          <w:p>
            <w:pPr>
              <w:pStyle w:val="Compact"/>
            </w:pPr>
            <w:r>
              <w:t xml:space="preserve">Enterprise Architect</w:t>
            </w:r>
          </w:p>
        </w:tc>
        <w:tc>
          <w:tcPr/>
          <w:p>
            <w:pPr>
              <w:pStyle w:val="Compact"/>
            </w:pPr>
            <w:r>
              <w:t xml:space="preserve">User Task</w:t>
            </w:r>
          </w:p>
        </w:tc>
      </w:tr>
      <w:tr>
        <w:tc>
          <w:tcPr/>
          <w:p>
            <w:pPr>
              <w:pStyle w:val="Compact"/>
            </w:pPr>
            <w:r>
              <w:t xml:space="preserve">5</w:t>
            </w:r>
          </w:p>
        </w:tc>
        <w:tc>
          <w:tcPr/>
          <w:p>
            <w:pPr>
              <w:pStyle w:val="Compact"/>
            </w:pPr>
            <w:r>
              <w:t xml:space="preserve">Observability and Audit Telemetry Design: Define structured event logging schema; specify audit trail fields; define drift monitoring metrics; specify data retention periods</w:t>
            </w:r>
          </w:p>
        </w:tc>
        <w:tc>
          <w:tcPr/>
          <w:p>
            <w:pPr>
              <w:pStyle w:val="Compact"/>
            </w:pPr>
            <w:r>
              <w:t xml:space="preserve">H / DA</w:t>
            </w:r>
          </w:p>
        </w:tc>
        <w:tc>
          <w:tcPr/>
          <w:p>
            <w:pPr>
              <w:pStyle w:val="Compact"/>
            </w:pPr>
            <w:r>
              <w:t xml:space="preserve">Enterprise Architect, AI/Model Risk Governance</w:t>
            </w:r>
          </w:p>
        </w:tc>
        <w:tc>
          <w:tcPr/>
          <w:p>
            <w:pPr>
              <w:pStyle w:val="Compact"/>
            </w:pPr>
            <w:r>
              <w:t xml:space="preserve">User Task</w:t>
            </w:r>
          </w:p>
        </w:tc>
      </w:tr>
      <w:tr>
        <w:tc>
          <w:tcPr/>
          <w:p>
            <w:pPr>
              <w:pStyle w:val="Compact"/>
            </w:pPr>
            <w:r>
              <w:t xml:space="preserve">6</w:t>
            </w:r>
          </w:p>
        </w:tc>
        <w:tc>
          <w:tcPr/>
          <w:p>
            <w:pPr>
              <w:pStyle w:val="Compact"/>
            </w:pPr>
            <w:r>
              <w:t xml:space="preserve">Proof of Concept (PoC): Standardized evaluation rubric; Architecture sign-off; CyberSec sign-off if data-sensitive. DMN-10 gate.</w:t>
            </w:r>
          </w:p>
        </w:tc>
        <w:tc>
          <w:tcPr/>
          <w:p>
            <w:pPr>
              <w:pStyle w:val="Compact"/>
            </w:pPr>
            <w:r>
              <w:t xml:space="preserve">H</w:t>
            </w:r>
          </w:p>
        </w:tc>
        <w:tc>
          <w:tcPr/>
          <w:p>
            <w:pPr>
              <w:pStyle w:val="Compact"/>
            </w:pPr>
            <w:r>
              <w:t xml:space="preserve">Enterprise Architect, Cybersecurity Lead</w:t>
            </w:r>
          </w:p>
        </w:tc>
        <w:tc>
          <w:tcPr/>
          <w:p>
            <w:pPr>
              <w:pStyle w:val="Compact"/>
            </w:pPr>
            <w:r>
              <w:t xml:space="preserve">User Task + Gateway</w:t>
            </w:r>
          </w:p>
        </w:tc>
      </w:tr>
      <w:tr>
        <w:tc>
          <w:tcPr/>
          <w:p>
            <w:pPr>
              <w:pStyle w:val="Compact"/>
            </w:pPr>
            <w:r>
              <w:t xml:space="preserve">7</w:t>
            </w:r>
          </w:p>
        </w:tc>
        <w:tc>
          <w:tcPr/>
          <w:p>
            <w:pPr>
              <w:pStyle w:val="Compact"/>
            </w:pPr>
            <w:r>
              <w:t xml:space="preserve">Requirement Refinement: Update PRD and stories with PoC learnings; refine acceptance criteria; log new risks to register</w:t>
            </w:r>
          </w:p>
        </w:tc>
        <w:tc>
          <w:tcPr/>
          <w:p>
            <w:pPr>
              <w:pStyle w:val="Compact"/>
            </w:pPr>
            <w:r>
              <w:t xml:space="preserve">H</w:t>
            </w:r>
          </w:p>
        </w:tc>
        <w:tc>
          <w:tcPr/>
          <w:p>
            <w:pPr>
              <w:pStyle w:val="Compact"/>
            </w:pPr>
            <w:r>
              <w:t xml:space="preserve">Product Owner</w:t>
            </w:r>
          </w:p>
        </w:tc>
        <w:tc>
          <w:tcPr/>
          <w:p>
            <w:pPr>
              <w:pStyle w:val="Compact"/>
            </w:pPr>
            <w:r>
              <w:t xml:space="preserve">User Task</w:t>
            </w:r>
          </w:p>
        </w:tc>
      </w:tr>
      <w:tr>
        <w:tc>
          <w:tcPr/>
          <w:p>
            <w:pPr>
              <w:pStyle w:val="Compact"/>
            </w:pPr>
            <w:r>
              <w:t xml:space="preserve">8</w:t>
            </w:r>
          </w:p>
        </w:tc>
        <w:tc>
          <w:tcPr/>
          <w:p>
            <w:pPr>
              <w:pStyle w:val="Compact"/>
            </w:pPr>
            <w:r>
              <w:t xml:space="preserve">Technology and Risk Evaluation Gate (DMN-11): Multi-domain evaluation. AI Governance Checklist required for AI-enabled builds. Agent analysis supports but human decides.</w:t>
            </w:r>
          </w:p>
        </w:tc>
        <w:tc>
          <w:tcPr/>
          <w:p>
            <w:pPr>
              <w:pStyle w:val="Compact"/>
            </w:pPr>
            <w:r>
              <w:t xml:space="preserve">H / DA</w:t>
            </w:r>
          </w:p>
        </w:tc>
        <w:tc>
          <w:tcPr/>
          <w:p>
            <w:pPr>
              <w:pStyle w:val="Compact"/>
            </w:pPr>
            <w:r>
              <w:t xml:space="preserve">Enterprise Architect, AI/Model Risk Governance, Compliance</w:t>
            </w:r>
          </w:p>
        </w:tc>
        <w:tc>
          <w:tcPr/>
          <w:p>
            <w:pPr>
              <w:pStyle w:val="Compact"/>
            </w:pPr>
            <w:r>
              <w:t xml:space="preserve">Business Rules Task + User Task</w:t>
            </w:r>
          </w:p>
        </w:tc>
      </w:tr>
      <w:tr>
        <w:tc>
          <w:tcPr/>
          <w:p>
            <w:pPr>
              <w:pStyle w:val="Compact"/>
            </w:pPr>
            <w:r>
              <w:t xml:space="preserve">9</w:t>
            </w:r>
          </w:p>
        </w:tc>
        <w:tc>
          <w:tcPr/>
          <w:p>
            <w:pPr>
              <w:pStyle w:val="Compact"/>
            </w:pPr>
            <w:r>
              <w:t xml:space="preserve">User Acceptance Testing (UAT) / Pilot (DMN-12): Structured UAT with representative users; metrics against acceptance criteria; edge case testing documented</w:t>
            </w:r>
          </w:p>
        </w:tc>
        <w:tc>
          <w:tcPr/>
          <w:p>
            <w:pPr>
              <w:pStyle w:val="Compact"/>
            </w:pPr>
            <w:r>
              <w:t xml:space="preserve">H</w:t>
            </w:r>
          </w:p>
        </w:tc>
        <w:tc>
          <w:tcPr/>
          <w:p>
            <w:pPr>
              <w:pStyle w:val="Compact"/>
            </w:pPr>
            <w:r>
              <w:t xml:space="preserve">Business Requestor, Product Owner</w:t>
            </w:r>
          </w:p>
        </w:tc>
        <w:tc>
          <w:tcPr/>
          <w:p>
            <w:pPr>
              <w:pStyle w:val="Compact"/>
            </w:pPr>
            <w:r>
              <w:t xml:space="preserve">User Task + Gateway</w:t>
            </w:r>
          </w:p>
        </w:tc>
      </w:tr>
      <w:tr>
        <w:tc>
          <w:tcPr/>
          <w:p>
            <w:pPr>
              <w:pStyle w:val="Compact"/>
            </w:pPr>
            <w:r>
              <w:t xml:space="preserve">10</w:t>
            </w:r>
          </w:p>
        </w:tc>
        <w:tc>
          <w:tcPr/>
          <w:p>
            <w:pPr>
              <w:pStyle w:val="Compact"/>
            </w:pPr>
            <w:r>
              <w:t xml:space="preserve">Go-to-Market: Release plan; operations runbook; observability dashboard activated; on-call escalation established; incident response plan linked</w:t>
            </w:r>
          </w:p>
        </w:tc>
        <w:tc>
          <w:tcPr/>
          <w:p>
            <w:pPr>
              <w:pStyle w:val="Compact"/>
            </w:pPr>
            <w:r>
              <w:t xml:space="preserve">H / A</w:t>
            </w:r>
          </w:p>
        </w:tc>
        <w:tc>
          <w:tcPr/>
          <w:p>
            <w:pPr>
              <w:pStyle w:val="Compact"/>
            </w:pPr>
            <w:r>
              <w:t xml:space="preserve">Product Owner, Program Management</w:t>
            </w:r>
          </w:p>
        </w:tc>
        <w:tc>
          <w:tcPr/>
          <w:p>
            <w:pPr>
              <w:pStyle w:val="Compact"/>
            </w:pPr>
            <w:r>
              <w:t xml:space="preserve">User Task + Service Task</w:t>
            </w:r>
          </w:p>
        </w:tc>
      </w:tr>
    </w:tbl>
    <w:bookmarkEnd w:id="66"/>
    <w:bookmarkStart w:id="67" w:name="Xefa5158d4fa9d1fd0230ffcefefa9157d859260"/>
    <w:p>
      <w:pPr>
        <w:pStyle w:val="Heading3"/>
      </w:pPr>
      <w:r>
        <w:t xml:space="preserve">11.2 AI Governance Checklist (SR 11-7 / NIST AI RMF)</w:t>
      </w:r>
    </w:p>
    <w:p>
      <w:pPr>
        <w:pStyle w:val="FirstParagraph"/>
      </w:pPr>
      <w:r>
        <w:t xml:space="preserve">Required for all Tier 1 and Tier 2 AI models prior to production</w:t>
      </w:r>
      <w:r>
        <w:t xml:space="preserve"> </w:t>
      </w:r>
      <w:r>
        <w:t xml:space="preserve">deployment. All items are traceable to the AI Governance Knowledge Base.</w:t>
      </w:r>
      <w:r>
        <w:t xml:space="preserve"> </w:t>
      </w:r>
      <w:r>
        <w:t xml:space="preserve">Task type:</w:t>
      </w:r>
      <w:r>
        <w:t xml:space="preserve"> </w:t>
      </w:r>
      <w:r>
        <w:rPr>
          <w:b/>
          <w:bCs/>
        </w:rPr>
        <w:t xml:space="preserve">Human-in-the-Loop (H)</w:t>
      </w:r>
      <w:r>
        <w:t xml:space="preserve"> </w:t>
      </w:r>
      <w:r>
        <w:t xml:space="preserve">with</w:t>
      </w:r>
      <w:r>
        <w:t xml:space="preserve"> </w:t>
      </w:r>
      <w:r>
        <w:rPr>
          <w:b/>
          <w:bCs/>
        </w:rPr>
        <w:t xml:space="preserve">Deterministic Agent-Enabled</w:t>
      </w:r>
      <w:r>
        <w:rPr>
          <w:b/>
          <w:bCs/>
        </w:rPr>
        <w:t xml:space="preserve"> </w:t>
      </w:r>
      <w:r>
        <w:rPr>
          <w:b/>
          <w:bCs/>
        </w:rPr>
        <w:t xml:space="preserve">(DA)</w:t>
      </w:r>
      <w:r>
        <w:t xml:space="preserve"> </w:t>
      </w:r>
      <w:r>
        <w:t xml:space="preserve">pre-population from knowledge bases.</w:t>
      </w:r>
    </w:p>
    <w:p>
      <w:pPr>
        <w:numPr>
          <w:ilvl w:val="0"/>
          <w:numId w:val="1017"/>
        </w:numPr>
      </w:pPr>
      <w:r>
        <w:rPr>
          <w:b/>
          <w:bCs/>
        </w:rPr>
        <w:t xml:space="preserve">Model Card Completion:</w:t>
      </w:r>
      <w:r>
        <w:t xml:space="preserve"> </w:t>
      </w:r>
      <w:r>
        <w:t xml:space="preserve">Purpose; intended use cases; out-of-scope</w:t>
      </w:r>
      <w:r>
        <w:t xml:space="preserve"> </w:t>
      </w:r>
      <w:r>
        <w:t xml:space="preserve">uses (explicitly documented); training data provenance; evaluation</w:t>
      </w:r>
      <w:r>
        <w:t xml:space="preserve"> </w:t>
      </w:r>
      <w:r>
        <w:t xml:space="preserve">metrics; known limitations; bias assessment; recommended human</w:t>
      </w:r>
      <w:r>
        <w:t xml:space="preserve"> </w:t>
      </w:r>
      <w:r>
        <w:t xml:space="preserve">oversight level.</w:t>
      </w:r>
    </w:p>
    <w:p>
      <w:pPr>
        <w:numPr>
          <w:ilvl w:val="0"/>
          <w:numId w:val="1017"/>
        </w:numPr>
      </w:pPr>
      <w:r>
        <w:rPr>
          <w:b/>
          <w:bCs/>
        </w:rPr>
        <w:t xml:space="preserve">Independent Validation (Tier 1 required; Tier 2 recommended):</w:t>
      </w:r>
      <w:r>
        <w:t xml:space="preserve"> </w:t>
      </w:r>
      <w:r>
        <w:t xml:space="preserve">Validation team independent from development; conceptual soundness</w:t>
      </w:r>
      <w:r>
        <w:t xml:space="preserve"> </w:t>
      </w:r>
      <w:r>
        <w:t xml:space="preserve">evaluation; data quality assessment; benchmarking; sensitivity</w:t>
      </w:r>
      <w:r>
        <w:t xml:space="preserve"> </w:t>
      </w:r>
      <w:r>
        <w:t xml:space="preserve">analysis; back-testing.</w:t>
      </w:r>
    </w:p>
    <w:p>
      <w:pPr>
        <w:numPr>
          <w:ilvl w:val="0"/>
          <w:numId w:val="1017"/>
        </w:numPr>
      </w:pPr>
      <w:r>
        <w:rPr>
          <w:b/>
          <w:bCs/>
        </w:rPr>
        <w:t xml:space="preserve">Explainability Provisions:</w:t>
      </w:r>
      <w:r>
        <w:t xml:space="preserve"> </w:t>
      </w:r>
      <w:r>
        <w:t xml:space="preserve">SHAP or LIME feature attribution for</w:t>
      </w:r>
      <w:r>
        <w:t xml:space="preserve"> </w:t>
      </w:r>
      <w:r>
        <w:t xml:space="preserve">Tier 1 decisions with regulatory or consumer-facing implications;</w:t>
      </w:r>
      <w:r>
        <w:t xml:space="preserve"> </w:t>
      </w:r>
      <w:r>
        <w:t xml:space="preserve">human-readable reason codes for FCRA/Regulation B decisions.</w:t>
      </w:r>
    </w:p>
    <w:p>
      <w:pPr>
        <w:numPr>
          <w:ilvl w:val="0"/>
          <w:numId w:val="1017"/>
        </w:numPr>
      </w:pPr>
      <w:r>
        <w:rPr>
          <w:b/>
          <w:bCs/>
        </w:rPr>
        <w:t xml:space="preserve">Bias and Fairness Testing:</w:t>
      </w:r>
      <w:r>
        <w:t xml:space="preserve"> </w:t>
      </w:r>
      <w:r>
        <w:t xml:space="preserve">Disparate impact analysis across</w:t>
      </w:r>
      <w:r>
        <w:t xml:space="preserve"> </w:t>
      </w:r>
      <w:r>
        <w:t xml:space="preserve">protected-class-correlated cohorts; 80% rule applied; multiple</w:t>
      </w:r>
      <w:r>
        <w:t xml:space="preserve"> </w:t>
      </w:r>
      <w:r>
        <w:t xml:space="preserve">fairness metrics; ongoing monitoring schedule.</w:t>
      </w:r>
    </w:p>
    <w:p>
      <w:pPr>
        <w:numPr>
          <w:ilvl w:val="0"/>
          <w:numId w:val="1017"/>
        </w:numPr>
      </w:pPr>
      <w:r>
        <w:rPr>
          <w:b/>
          <w:bCs/>
        </w:rPr>
        <w:t xml:space="preserve">Drift Monitoring Design:</w:t>
      </w:r>
      <w:r>
        <w:t xml:space="preserve"> </w:t>
      </w:r>
      <w:r>
        <w:t xml:space="preserve">Input distribution monitoring (KS, PSI);</w:t>
      </w:r>
      <w:r>
        <w:t xml:space="preserve"> </w:t>
      </w:r>
      <w:r>
        <w:t xml:space="preserve">output distribution monitoring; concept drift detection; automated</w:t>
      </w:r>
      <w:r>
        <w:t xml:space="preserve"> </w:t>
      </w:r>
      <w:r>
        <w:t xml:space="preserve">retraining triggers; manual review escalation.</w:t>
      </w:r>
    </w:p>
    <w:p>
      <w:pPr>
        <w:numPr>
          <w:ilvl w:val="0"/>
          <w:numId w:val="1017"/>
        </w:numPr>
      </w:pPr>
      <w:r>
        <w:rPr>
          <w:b/>
          <w:bCs/>
        </w:rPr>
        <w:t xml:space="preserve">Human-in-the-Loop Provisions:</w:t>
      </w:r>
      <w:r>
        <w:t xml:space="preserve"> </w:t>
      </w:r>
      <w:r>
        <w:t xml:space="preserve">Tier 1: all material decisions</w:t>
      </w:r>
      <w:r>
        <w:t xml:space="preserve"> </w:t>
      </w:r>
      <w:r>
        <w:t xml:space="preserve">reviewed by qualified human before execution or within same business</w:t>
      </w:r>
      <w:r>
        <w:t xml:space="preserve"> </w:t>
      </w:r>
      <w:r>
        <w:t xml:space="preserve">day. Tier 2: exception-based with defined escalation triggers.</w:t>
      </w:r>
    </w:p>
    <w:p>
      <w:pPr>
        <w:numPr>
          <w:ilvl w:val="0"/>
          <w:numId w:val="1017"/>
        </w:numPr>
      </w:pPr>
      <w:r>
        <w:rPr>
          <w:b/>
          <w:bCs/>
        </w:rPr>
        <w:t xml:space="preserve">Model Risk Inventory Entry:</w:t>
      </w:r>
      <w:r>
        <w:t xml:space="preserve"> </w:t>
      </w:r>
      <w:r>
        <w:t xml:space="preserve">All Tier 1 and Tier 2 models entered</w:t>
      </w:r>
      <w:r>
        <w:t xml:space="preserve"> </w:t>
      </w:r>
      <w:r>
        <w:t xml:space="preserve">with owner role, validation date, next review date, regulatory</w:t>
      </w:r>
      <w:r>
        <w:t xml:space="preserve"> </w:t>
      </w:r>
      <w:r>
        <w:t xml:space="preserve">classification, deployment date, and observability dashboard link.</w:t>
      </w:r>
    </w:p>
    <w:p>
      <w:pPr>
        <w:numPr>
          <w:ilvl w:val="0"/>
          <w:numId w:val="1017"/>
        </w:numPr>
      </w:pPr>
      <w:r>
        <w:rPr>
          <w:b/>
          <w:bCs/>
        </w:rPr>
        <w:t xml:space="preserve">Executive Sponsor Sign-off (Tier 1 required):</w:t>
      </w:r>
      <w:r>
        <w:t xml:space="preserve"> </w:t>
      </w:r>
      <w:r>
        <w:t xml:space="preserve">Senior executive</w:t>
      </w:r>
      <w:r>
        <w:t xml:space="preserve"> </w:t>
      </w:r>
      <w:r>
        <w:t xml:space="preserve">sponsor sign-off logged in audit trail.</w:t>
      </w:r>
    </w:p>
    <w:p>
      <w:pPr>
        <w:numPr>
          <w:ilvl w:val="0"/>
          <w:numId w:val="1017"/>
        </w:numPr>
      </w:pPr>
      <w:r>
        <w:rPr>
          <w:b/>
          <w:bCs/>
        </w:rPr>
        <w:t xml:space="preserve">Third-Party AI Model Obligations (Buy pathway):</w:t>
      </w:r>
      <w:r>
        <w:t xml:space="preserve"> </w:t>
      </w:r>
      <w:r>
        <w:t xml:space="preserve">Vendor must</w:t>
      </w:r>
      <w:r>
        <w:t xml:space="preserve"> </w:t>
      </w:r>
      <w:r>
        <w:t xml:space="preserve">provide equivalent Model Card; SR 11-7 compliance attestation;</w:t>
      </w:r>
      <w:r>
        <w:t xml:space="preserve"> </w:t>
      </w:r>
      <w:r>
        <w:t xml:space="preserve">validation evidence; bias testing results; 30-day advance notice for</w:t>
      </w:r>
      <w:r>
        <w:t xml:space="preserve"> </w:t>
      </w:r>
      <w:r>
        <w:t xml:space="preserve">material model changes.</w:t>
      </w:r>
    </w:p>
    <w:bookmarkEnd w:id="67"/>
    <w:bookmarkStart w:id="68" w:name="X87201639ff4c9688ba9893e34023673e5a365c7"/>
    <w:p>
      <w:pPr>
        <w:pStyle w:val="Heading3"/>
      </w:pPr>
      <w:r>
        <w:t xml:space="preserve">11.3 DMN-11: Technology and Risk Evaluation Gate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Completeness</w:t>
            </w:r>
          </w:p>
        </w:tc>
        <w:tc>
          <w:tcPr/>
          <w:p>
            <w:pPr>
              <w:pStyle w:val="Compact"/>
            </w:pPr>
            <w:r>
              <w:t xml:space="preserve">AI Gov?</w:t>
            </w:r>
          </w:p>
        </w:tc>
        <w:tc>
          <w:tcPr/>
          <w:p>
            <w:pPr>
              <w:pStyle w:val="Compact"/>
            </w:pPr>
            <w:r>
              <w:t xml:space="preserve">Arch Sign-off?</w:t>
            </w:r>
          </w:p>
        </w:tc>
        <w:tc>
          <w:tcPr/>
          <w:p>
            <w:pPr>
              <w:pStyle w:val="Compact"/>
            </w:pPr>
            <w:r>
              <w:t xml:space="preserve">CyberSec?</w:t>
            </w:r>
          </w:p>
        </w:tc>
        <w:tc>
          <w:tcPr/>
          <w:p>
            <w:pPr>
              <w:pStyle w:val="Compact"/>
            </w:pPr>
            <w:r>
              <w:t xml:space="preserve">Compliance?</w:t>
            </w:r>
          </w:p>
        </w:tc>
        <w:tc>
          <w:tcPr/>
          <w:p>
            <w:pPr>
              <w:pStyle w:val="Compact"/>
            </w:pPr>
            <w:r>
              <w:t xml:space="preserve">Decision</w:t>
            </w:r>
          </w:p>
        </w:tc>
        <w:tc>
          <w:tcPr/>
          <w:p>
            <w:pPr>
              <w:pStyle w:val="Compact"/>
            </w:pPr>
            <w:r>
              <w:t xml:space="preserve">Action</w:t>
            </w:r>
          </w:p>
        </w:tc>
      </w:tr>
      <w:tr>
        <w:tc>
          <w:tcPr/>
          <w:p>
            <w:pPr>
              <w:pStyle w:val="Compact"/>
            </w:pPr>
            <w:r>
              <w:t xml:space="preserve">1</w:t>
            </w:r>
          </w:p>
        </w:tc>
        <w:tc>
          <w:tcPr/>
          <w:p>
            <w:pPr>
              <w:pStyle w:val="Compact"/>
            </w:pPr>
            <w:r>
              <w:t xml:space="preserve">PASS</w:t>
            </w:r>
          </w:p>
        </w:tc>
        <w:tc>
          <w:tcPr/>
          <w:p>
            <w:pPr>
              <w:pStyle w:val="Compact"/>
            </w:pPr>
            <w:r>
              <w:t xml:space="preserve">YES / N/A</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PROCEED—UAT</w:t>
            </w:r>
          </w:p>
        </w:tc>
        <w:tc>
          <w:tcPr/>
          <w:p>
            <w:pPr>
              <w:pStyle w:val="Compact"/>
            </w:pPr>
            <w:r>
              <w:t xml:space="preserve">UAT plan activated; stakeholder invitations issued</w:t>
            </w:r>
          </w:p>
        </w:tc>
      </w:tr>
      <w:tr>
        <w:tc>
          <w:tcPr/>
          <w:p>
            <w:pPr>
              <w:pStyle w:val="Compact"/>
            </w:pPr>
            <w:r>
              <w:t xml:space="preserve">2</w:t>
            </w:r>
          </w:p>
        </w:tc>
        <w:tc>
          <w:tcPr/>
          <w:p>
            <w:pPr>
              <w:pStyle w:val="Compact"/>
            </w:pPr>
            <w:r>
              <w:t xml:space="preserve">PASS</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HOLD—AI Gov</w:t>
            </w:r>
          </w:p>
        </w:tc>
        <w:tc>
          <w:tcPr/>
          <w:p>
            <w:pPr>
              <w:pStyle w:val="Compact"/>
            </w:pPr>
            <w:r>
              <w:t xml:space="preserve">Checklist items identified; remediation within 10 days</w:t>
            </w:r>
          </w:p>
        </w:tc>
      </w:tr>
      <w:tr>
        <w:tc>
          <w:tcPr/>
          <w:p>
            <w:pPr>
              <w:pStyle w:val="Compact"/>
            </w:pPr>
            <w:r>
              <w:t xml:space="preserve">3</w:t>
            </w:r>
          </w:p>
        </w:tc>
        <w:tc>
          <w:tcPr/>
          <w:p>
            <w:pPr>
              <w:pStyle w:val="Compact"/>
            </w:pPr>
            <w:r>
              <w:t xml:space="preserve">PASS</w:t>
            </w:r>
          </w:p>
        </w:tc>
        <w:tc>
          <w:tcPr/>
          <w:p>
            <w:pPr>
              <w:pStyle w:val="Compact"/>
            </w:pPr>
            <w:r>
              <w:t xml:space="preserve">YES / N/A</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HOLD—Security</w:t>
            </w:r>
          </w:p>
        </w:tc>
        <w:tc>
          <w:tcPr/>
          <w:p>
            <w:pPr>
              <w:pStyle w:val="Compact"/>
            </w:pPr>
            <w:r>
              <w:t xml:space="preserve">CyberSec findings remediated; re-assessment scheduled</w:t>
            </w:r>
          </w:p>
        </w:tc>
      </w:tr>
      <w:tr>
        <w:tc>
          <w:tcPr/>
          <w:p>
            <w:pPr>
              <w:pStyle w:val="Compact"/>
            </w:pPr>
            <w:r>
              <w:t xml:space="preserve">4</w:t>
            </w:r>
          </w:p>
        </w:tc>
        <w:tc>
          <w:tcPr/>
          <w:p>
            <w:pPr>
              <w:pStyle w:val="Compact"/>
            </w:pPr>
            <w:r>
              <w:t xml:space="preserve">PASS</w:t>
            </w:r>
          </w:p>
        </w:tc>
        <w:tc>
          <w:tcPr/>
          <w:p>
            <w:pPr>
              <w:pStyle w:val="Compact"/>
            </w:pPr>
            <w:r>
              <w:t xml:space="preserve">YES / N/A</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HOLD—Compliance</w:t>
            </w:r>
          </w:p>
        </w:tc>
        <w:tc>
          <w:tcPr/>
          <w:p>
            <w:pPr>
              <w:pStyle w:val="Compact"/>
            </w:pPr>
            <w:r>
              <w:t xml:space="preserve">Compliance Governance engaged; resolution before UAT</w:t>
            </w:r>
          </w:p>
        </w:tc>
      </w:tr>
      <w:tr>
        <w:tc>
          <w:tcPr/>
          <w:p>
            <w:pPr>
              <w:pStyle w:val="Compact"/>
            </w:pPr>
            <w:r>
              <w:t xml:space="preserve">5</w:t>
            </w:r>
          </w:p>
        </w:tc>
        <w:tc>
          <w:tcPr/>
          <w:p>
            <w:pPr>
              <w:pStyle w:val="Compact"/>
            </w:pPr>
            <w:r>
              <w:t xml:space="preserve">FAIL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RETURN</w:t>
            </w:r>
          </w:p>
        </w:tc>
        <w:tc>
          <w:tcPr/>
          <w:p>
            <w:pPr>
              <w:pStyle w:val="Compact"/>
            </w:pPr>
            <w:r>
              <w:t xml:space="preserve">Gaps identified; Product Owner notified; return to refinement</w:t>
            </w:r>
          </w:p>
        </w:tc>
      </w:tr>
    </w:tbl>
    <w:bookmarkEnd w:id="68"/>
    <w:bookmarkEnd w:id="69"/>
    <w:bookmarkStart w:id="78" w:name="X56b4271eb650a60f72d52ab16523bc9c3f1ca32"/>
    <w:p>
      <w:pPr>
        <w:pStyle w:val="Heading2"/>
      </w:pPr>
      <w:r>
        <w:t xml:space="preserve">13. Phase 5B: Full TPRM-Integrated Procurement (Buy Pathway)</w:t>
      </w:r>
    </w:p>
    <w:p>
      <w:pPr>
        <w:pStyle w:val="BlockText"/>
      </w:pPr>
      <w:r>
        <w:rPr>
          <w:b/>
          <w:bCs/>
        </w:rPr>
        <w:t xml:space="preserve">P5B TPRM-Integrated Procurement</w:t>
      </w:r>
    </w:p>
    <w:p>
      <w:pPr>
        <w:pStyle w:val="BlockText"/>
      </w:pPr>
      <w:r>
        <w:rPr>
          <w:i/>
          <w:iCs/>
        </w:rPr>
        <w:t xml:space="preserve">Six-stage TPRM lifecycle per OCC 2023-17. Proportionate to vendor</w:t>
      </w:r>
      <w:r>
        <w:rPr>
          <w:i/>
          <w:iCs/>
        </w:rPr>
        <w:t xml:space="preserve"> </w:t>
      </w:r>
      <w:r>
        <w:rPr>
          <w:i/>
          <w:iCs/>
        </w:rPr>
        <w:t xml:space="preserve">risk tier. Legal KG-driven contracts. Each step classified by task</w:t>
      </w:r>
      <w:r>
        <w:rPr>
          <w:i/>
          <w:iCs/>
        </w:rPr>
        <w:t xml:space="preserve"> </w:t>
      </w:r>
      <w:r>
        <w:rPr>
          <w:i/>
          <w:iCs/>
        </w:rPr>
        <w:t xml:space="preserve">type.</w:t>
      </w:r>
    </w:p>
    <w:bookmarkStart w:id="70" w:name="stage-1-vendor-risk-tiering-dmn-06"/>
    <w:p>
      <w:pPr>
        <w:pStyle w:val="Heading3"/>
      </w:pPr>
      <w:r>
        <w:t xml:space="preserve">12.1 Stage 1: Vendor Risk Tiering (DMN-06)</w:t>
      </w:r>
    </w:p>
    <w:p>
      <w:pPr>
        <w:pStyle w:val="FirstParagraph"/>
      </w:pPr>
      <w:r>
        <w:t xml:space="preserve">Task type:</w:t>
      </w:r>
      <w:r>
        <w:t xml:space="preserve"> </w:t>
      </w:r>
      <w:r>
        <w:rPr>
          <w:b/>
          <w:bCs/>
        </w:rPr>
        <w:t xml:space="preserve">Automated (A)</w:t>
      </w:r>
      <w:r>
        <w:t xml:space="preserve"> </w:t>
      </w:r>
      <w:r>
        <w:t xml:space="preserve">for initial tiering;</w:t>
      </w:r>
      <w:r>
        <w:t xml:space="preserve"> </w:t>
      </w:r>
      <w:r>
        <w:rPr>
          <w:b/>
          <w:bCs/>
        </w:rPr>
        <w:t xml:space="preserve">Human-in-the-Loop</w:t>
      </w:r>
      <w:r>
        <w:rPr>
          <w:b/>
          <w:bCs/>
        </w:rPr>
        <w:t xml:space="preserve"> </w:t>
      </w:r>
      <w:r>
        <w:rPr>
          <w:b/>
          <w:bCs/>
        </w:rPr>
        <w:t xml:space="preserve">(H)</w:t>
      </w:r>
      <w:r>
        <w:t xml:space="preserve"> </w:t>
      </w:r>
      <w:r>
        <w:t xml:space="preserve">for override. Hit policy: PRIORITY (P).</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Critical Activity?</w:t>
            </w:r>
          </w:p>
        </w:tc>
        <w:tc>
          <w:tcPr/>
          <w:p>
            <w:pPr>
              <w:pStyle w:val="Compact"/>
            </w:pPr>
            <w:r>
              <w:t xml:space="preserve">Data Sensitivity</w:t>
            </w:r>
          </w:p>
        </w:tc>
        <w:tc>
          <w:tcPr/>
          <w:p>
            <w:pPr>
              <w:pStyle w:val="Compact"/>
            </w:pPr>
            <w:r>
              <w:t xml:space="preserve">Concentration</w:t>
            </w:r>
          </w:p>
        </w:tc>
        <w:tc>
          <w:tcPr/>
          <w:p>
            <w:pPr>
              <w:pStyle w:val="Compact"/>
            </w:pPr>
            <w:r>
              <w:t xml:space="preserve">Financial</w:t>
            </w:r>
          </w:p>
        </w:tc>
        <w:tc>
          <w:tcPr/>
          <w:p>
            <w:pPr>
              <w:pStyle w:val="Compact"/>
            </w:pPr>
            <w:r>
              <w:t xml:space="preserve">Reg. Exposure</w:t>
            </w:r>
          </w:p>
        </w:tc>
        <w:tc>
          <w:tcPr/>
          <w:p>
            <w:pPr>
              <w:pStyle w:val="Compact"/>
            </w:pPr>
            <w:r>
              <w:t xml:space="preserve">Tier</w:t>
            </w:r>
          </w:p>
        </w:tc>
        <w:tc>
          <w:tcPr/>
          <w:p>
            <w:pPr>
              <w:pStyle w:val="Compact"/>
            </w:pPr>
            <w:r>
              <w:t xml:space="preserve">TPRM Intensity</w:t>
            </w:r>
          </w:p>
        </w:tc>
      </w:tr>
      <w:tr>
        <w:tc>
          <w:tcPr/>
          <w:p>
            <w:pPr>
              <w:pStyle w:val="Compact"/>
            </w:pPr>
            <w:r>
              <w:t xml:space="preserve">1</w:t>
            </w:r>
          </w:p>
        </w:tc>
        <w:tc>
          <w:tcPr/>
          <w:p>
            <w:pPr>
              <w:pStyle w:val="Compact"/>
            </w:pPr>
            <w:r>
              <w:t xml:space="preserve">YES</w:t>
            </w:r>
          </w:p>
        </w:tc>
        <w:tc>
          <w:tcPr/>
          <w:p>
            <w:pPr>
              <w:pStyle w:val="Compact"/>
            </w:pPr>
            <w:r>
              <w:t xml:space="preserve">High (PII/NPI)</w:t>
            </w:r>
          </w:p>
        </w:tc>
        <w:tc>
          <w:tcPr/>
          <w:p>
            <w:pPr>
              <w:pStyle w:val="Compact"/>
            </w:pPr>
            <w:r>
              <w:t xml:space="preserve">HIGH</w:t>
            </w:r>
          </w:p>
        </w:tc>
        <w:tc>
          <w:tcPr/>
          <w:p>
            <w:pPr>
              <w:pStyle w:val="Compact"/>
            </w:pPr>
            <w:r>
              <w:t xml:space="preserve">Any</w:t>
            </w:r>
          </w:p>
        </w:tc>
        <w:tc>
          <w:tcPr/>
          <w:p>
            <w:pPr>
              <w:pStyle w:val="Compact"/>
            </w:pPr>
            <w:r>
              <w:t xml:space="preserve">High</w:t>
            </w:r>
          </w:p>
        </w:tc>
        <w:tc>
          <w:tcPr/>
          <w:p>
            <w:pPr>
              <w:pStyle w:val="Compact"/>
            </w:pPr>
            <w:r>
              <w:t xml:space="preserve">Tier 1—Critical</w:t>
            </w:r>
          </w:p>
        </w:tc>
        <w:tc>
          <w:tcPr/>
          <w:p>
            <w:pPr>
              <w:pStyle w:val="Compact"/>
            </w:pPr>
            <w:r>
              <w:t xml:space="preserve">Full lifecycle; exec sponsor approval; quarterly monitoring; onsite audit</w:t>
            </w:r>
          </w:p>
        </w:tc>
      </w:tr>
      <w:tr>
        <w:tc>
          <w:tcPr/>
          <w:p>
            <w:pPr>
              <w:pStyle w:val="Compact"/>
            </w:pPr>
            <w:r>
              <w:t xml:space="preserve">2</w:t>
            </w:r>
          </w:p>
        </w:tc>
        <w:tc>
          <w:tcPr/>
          <w:p>
            <w:pPr>
              <w:pStyle w:val="Compact"/>
            </w:pPr>
            <w:r>
              <w:t xml:space="preserve">YES</w:t>
            </w:r>
          </w:p>
        </w:tc>
        <w:tc>
          <w:tcPr/>
          <w:p>
            <w:pPr>
              <w:pStyle w:val="Compact"/>
            </w:pPr>
            <w:r>
              <w:t xml:space="preserve">High</w:t>
            </w:r>
          </w:p>
        </w:tc>
        <w:tc>
          <w:tcPr/>
          <w:p>
            <w:pPr>
              <w:pStyle w:val="Compact"/>
            </w:pPr>
            <w:r>
              <w:t xml:space="preserve">Medium</w:t>
            </w:r>
          </w:p>
        </w:tc>
        <w:tc>
          <w:tcPr/>
          <w:p>
            <w:pPr>
              <w:pStyle w:val="Compact"/>
            </w:pPr>
            <w:r>
              <w:t xml:space="preserve">Stable</w:t>
            </w:r>
          </w:p>
        </w:tc>
        <w:tc>
          <w:tcPr/>
          <w:p>
            <w:pPr>
              <w:pStyle w:val="Compact"/>
            </w:pPr>
            <w:r>
              <w:t xml:space="preserve">Medium</w:t>
            </w:r>
          </w:p>
        </w:tc>
        <w:tc>
          <w:tcPr/>
          <w:p>
            <w:pPr>
              <w:pStyle w:val="Compact"/>
            </w:pPr>
            <w:r>
              <w:t xml:space="preserve">Tier 1—Critical</w:t>
            </w:r>
          </w:p>
        </w:tc>
        <w:tc>
          <w:tcPr/>
          <w:p>
            <w:pPr>
              <w:pStyle w:val="Compact"/>
            </w:pPr>
            <w:r>
              <w:t xml:space="preserve">Full lifecycle; exec sponsor approval; semi-annual monitoring</w:t>
            </w:r>
          </w:p>
        </w:tc>
      </w:tr>
      <w:tr>
        <w:tc>
          <w:tcPr/>
          <w:p>
            <w:pPr>
              <w:pStyle w:val="Compact"/>
            </w:pPr>
            <w:r>
              <w:t xml:space="preserve">3</w:t>
            </w:r>
          </w:p>
        </w:tc>
        <w:tc>
          <w:tcPr/>
          <w:p>
            <w:pPr>
              <w:pStyle w:val="Compact"/>
            </w:pPr>
            <w:r>
              <w:t xml:space="preserve">NO</w:t>
            </w:r>
          </w:p>
        </w:tc>
        <w:tc>
          <w:tcPr/>
          <w:p>
            <w:pPr>
              <w:pStyle w:val="Compact"/>
            </w:pPr>
            <w:r>
              <w:t xml:space="preserve">High (PII)</w:t>
            </w:r>
          </w:p>
        </w:tc>
        <w:tc>
          <w:tcPr/>
          <w:p>
            <w:pPr>
              <w:pStyle w:val="Compact"/>
            </w:pPr>
            <w:r>
              <w:t xml:space="preserve">Low</w:t>
            </w:r>
          </w:p>
        </w:tc>
        <w:tc>
          <w:tcPr/>
          <w:p>
            <w:pPr>
              <w:pStyle w:val="Compact"/>
            </w:pPr>
            <w:r>
              <w:t xml:space="preserve">Stable</w:t>
            </w:r>
          </w:p>
        </w:tc>
        <w:tc>
          <w:tcPr/>
          <w:p>
            <w:pPr>
              <w:pStyle w:val="Compact"/>
            </w:pPr>
            <w:r>
              <w:t xml:space="preserve">Medium</w:t>
            </w:r>
          </w:p>
        </w:tc>
        <w:tc>
          <w:tcPr/>
          <w:p>
            <w:pPr>
              <w:pStyle w:val="Compact"/>
            </w:pPr>
            <w:r>
              <w:t xml:space="preserve">Tier 2—Elevated</w:t>
            </w:r>
          </w:p>
        </w:tc>
        <w:tc>
          <w:tcPr/>
          <w:p>
            <w:pPr>
              <w:pStyle w:val="Compact"/>
            </w:pPr>
            <w:r>
              <w:t xml:space="preserve">Enhanced DD; annual monitoring; SOC 2 Type II required</w:t>
            </w:r>
          </w:p>
        </w:tc>
      </w:tr>
      <w:tr>
        <w:tc>
          <w:tcPr/>
          <w:p>
            <w:pPr>
              <w:pStyle w:val="Compact"/>
            </w:pPr>
            <w:r>
              <w:t xml:space="preserve">4</w:t>
            </w:r>
          </w:p>
        </w:tc>
        <w:tc>
          <w:tcPr/>
          <w:p>
            <w:pPr>
              <w:pStyle w:val="Compact"/>
            </w:pPr>
            <w:r>
              <w:t xml:space="preserve">NO</w:t>
            </w:r>
          </w:p>
        </w:tc>
        <w:tc>
          <w:tcPr/>
          <w:p>
            <w:pPr>
              <w:pStyle w:val="Compact"/>
            </w:pPr>
            <w:r>
              <w:t xml:space="preserve">Moderate</w:t>
            </w:r>
          </w:p>
        </w:tc>
        <w:tc>
          <w:tcPr/>
          <w:p>
            <w:pPr>
              <w:pStyle w:val="Compact"/>
            </w:pPr>
            <w:r>
              <w:t xml:space="preserve">Low</w:t>
            </w:r>
          </w:p>
        </w:tc>
        <w:tc>
          <w:tcPr/>
          <w:p>
            <w:pPr>
              <w:pStyle w:val="Compact"/>
            </w:pPr>
            <w:r>
              <w:t xml:space="preserve">Stable</w:t>
            </w:r>
          </w:p>
        </w:tc>
        <w:tc>
          <w:tcPr/>
          <w:p>
            <w:pPr>
              <w:pStyle w:val="Compact"/>
            </w:pPr>
            <w:r>
              <w:t xml:space="preserve">Low</w:t>
            </w:r>
          </w:p>
        </w:tc>
        <w:tc>
          <w:tcPr/>
          <w:p>
            <w:pPr>
              <w:pStyle w:val="Compact"/>
            </w:pPr>
            <w:r>
              <w:t xml:space="preserve">Tier 3—Standard</w:t>
            </w:r>
          </w:p>
        </w:tc>
        <w:tc>
          <w:tcPr/>
          <w:p>
            <w:pPr>
              <w:pStyle w:val="Compact"/>
            </w:pPr>
            <w:r>
              <w:t xml:space="preserve">Standard DD; annual review; SOC 2 Type II or equivalent</w:t>
            </w:r>
          </w:p>
        </w:tc>
      </w:tr>
      <w:tr>
        <w:tc>
          <w:tcPr/>
          <w:p>
            <w:pPr>
              <w:pStyle w:val="Compact"/>
            </w:pPr>
            <w:r>
              <w:t xml:space="preserve">5</w:t>
            </w:r>
          </w:p>
        </w:tc>
        <w:tc>
          <w:tcPr/>
          <w:p>
            <w:pPr>
              <w:pStyle w:val="Compact"/>
            </w:pPr>
            <w:r>
              <w:t xml:space="preserve">NO</w:t>
            </w:r>
          </w:p>
        </w:tc>
        <w:tc>
          <w:tcPr/>
          <w:p>
            <w:pPr>
              <w:pStyle w:val="Compact"/>
            </w:pPr>
            <w:r>
              <w:t xml:space="preserve">Low / Public</w:t>
            </w:r>
          </w:p>
        </w:tc>
        <w:tc>
          <w:tcPr/>
          <w:p>
            <w:pPr>
              <w:pStyle w:val="Compact"/>
            </w:pPr>
            <w:r>
              <w:t xml:space="preserve">None</w:t>
            </w:r>
          </w:p>
        </w:tc>
        <w:tc>
          <w:tcPr/>
          <w:p>
            <w:pPr>
              <w:pStyle w:val="Compact"/>
            </w:pPr>
            <w:r>
              <w:t xml:space="preserve">Stable</w:t>
            </w:r>
          </w:p>
        </w:tc>
        <w:tc>
          <w:tcPr/>
          <w:p>
            <w:pPr>
              <w:pStyle w:val="Compact"/>
            </w:pPr>
            <w:r>
              <w:t xml:space="preserve">None</w:t>
            </w:r>
          </w:p>
        </w:tc>
        <w:tc>
          <w:tcPr/>
          <w:p>
            <w:pPr>
              <w:pStyle w:val="Compact"/>
            </w:pPr>
            <w:r>
              <w:t xml:space="preserve">Tier 4—Low</w:t>
            </w:r>
          </w:p>
        </w:tc>
        <w:tc>
          <w:tcPr/>
          <w:p>
            <w:pPr>
              <w:pStyle w:val="Compact"/>
            </w:pPr>
            <w:r>
              <w:t xml:space="preserve">Abbreviated DD; biennial review; attestation-based</w:t>
            </w:r>
          </w:p>
        </w:tc>
      </w:tr>
    </w:tbl>
    <w:bookmarkEnd w:id="70"/>
    <w:bookmarkStart w:id="71" w:name="X7f3671822b8463b78a56fe837b97e06000e39bf"/>
    <w:p>
      <w:pPr>
        <w:pStyle w:val="Heading3"/>
      </w:pPr>
      <w:r>
        <w:t xml:space="preserve">12.2 Stage 2: Planning, Pre-Engagement, and Due Diligence</w:t>
      </w:r>
    </w:p>
    <w:p>
      <w:pPr>
        <w:pStyle w:val="FirstParagraph"/>
      </w:pPr>
      <w:r>
        <w:t xml:space="preserve">Task type:</w:t>
      </w:r>
      <w:r>
        <w:t xml:space="preserve"> </w:t>
      </w:r>
      <w:r>
        <w:rPr>
          <w:b/>
          <w:bCs/>
        </w:rPr>
        <w:t xml:space="preserve">Human-in-the-Loop (H)</w:t>
      </w:r>
      <w:r>
        <w:t xml:space="preserve"> </w:t>
      </w:r>
      <w:r>
        <w:t xml:space="preserve">with</w:t>
      </w:r>
      <w:r>
        <w:t xml:space="preserve"> </w:t>
      </w:r>
      <w:r>
        <w:rPr>
          <w:b/>
          <w:bCs/>
        </w:rPr>
        <w:t xml:space="preserve">Deterministic Agent-Enabled</w:t>
      </w:r>
      <w:r>
        <w:rPr>
          <w:b/>
          <w:bCs/>
        </w:rPr>
        <w:t xml:space="preserve"> </w:t>
      </w:r>
      <w:r>
        <w:rPr>
          <w:b/>
          <w:bCs/>
        </w:rPr>
        <w:t xml:space="preserve">(DA)</w:t>
      </w:r>
      <w:r>
        <w:t xml:space="preserve"> </w:t>
      </w:r>
      <w:r>
        <w:t xml:space="preserve">support for due diligence analysis.</w:t>
      </w:r>
    </w:p>
    <w:p>
      <w:pPr>
        <w:numPr>
          <w:ilvl w:val="0"/>
          <w:numId w:val="1018"/>
        </w:numPr>
      </w:pPr>
      <w:r>
        <w:rPr>
          <w:b/>
          <w:bCs/>
        </w:rPr>
        <w:t xml:space="preserve">Sourcing strategy determination:</w:t>
      </w:r>
      <w:r>
        <w:t xml:space="preserve"> </w:t>
      </w:r>
      <w:r>
        <w:t xml:space="preserve">Procurement Lead evaluates</w:t>
      </w:r>
      <w:r>
        <w:t xml:space="preserve"> </w:t>
      </w:r>
      <w:r>
        <w:t xml:space="preserve">sole-source, RFI, RFP, reverse auction, or direct negotiation based on</w:t>
      </w:r>
      <w:r>
        <w:t xml:space="preserve"> </w:t>
      </w:r>
      <w:r>
        <w:t xml:space="preserve">market landscape and vendor risk tier.</w:t>
      </w:r>
    </w:p>
    <w:p>
      <w:pPr>
        <w:numPr>
          <w:ilvl w:val="0"/>
          <w:numId w:val="1018"/>
        </w:numPr>
      </w:pPr>
      <w:r>
        <w:rPr>
          <w:b/>
          <w:bCs/>
        </w:rPr>
        <w:t xml:space="preserve">Discovery funding authorization:</w:t>
      </w:r>
      <w:r>
        <w:t xml:space="preserve"> </w:t>
      </w:r>
      <w:r>
        <w:t xml:space="preserve">Where significant pre-engagement</w:t>
      </w:r>
      <w:r>
        <w:t xml:space="preserve"> </w:t>
      </w:r>
      <w:r>
        <w:t xml:space="preserve">analysis is required, Finance Controller approves a discrete discovery</w:t>
      </w:r>
      <w:r>
        <w:t xml:space="preserve"> </w:t>
      </w:r>
      <w:r>
        <w:t xml:space="preserve">budget.</w:t>
      </w:r>
    </w:p>
    <w:p>
      <w:pPr>
        <w:numPr>
          <w:ilvl w:val="0"/>
          <w:numId w:val="1018"/>
        </w:numPr>
      </w:pPr>
      <w:r>
        <w:rPr>
          <w:b/>
          <w:bCs/>
        </w:rPr>
        <w:t xml:space="preserve">Conflict of interest screening:</w:t>
      </w:r>
      <w:r>
        <w:t xml:space="preserve"> </w:t>
      </w:r>
      <w:r>
        <w:t xml:space="preserve">All reviewers assessed for</w:t>
      </w:r>
      <w:r>
        <w:t xml:space="preserve"> </w:t>
      </w:r>
      <w:r>
        <w:t xml:space="preserve">conflicts before involvement.</w:t>
      </w:r>
      <w:r>
        <w:t xml:space="preserve"> </w:t>
      </w:r>
      <w:r>
        <w:rPr>
          <w:b/>
          <w:bCs/>
        </w:rPr>
        <w:t xml:space="preserve">(A)</w:t>
      </w:r>
    </w:p>
    <w:p>
      <w:pPr>
        <w:numPr>
          <w:ilvl w:val="0"/>
          <w:numId w:val="1018"/>
        </w:numPr>
      </w:pPr>
      <w:r>
        <w:rPr>
          <w:b/>
          <w:bCs/>
        </w:rPr>
        <w:t xml:space="preserve">NDA execution:</w:t>
      </w:r>
      <w:r>
        <w:t xml:space="preserve"> </w:t>
      </w:r>
      <w:r>
        <w:t xml:space="preserve">All prospective vendors onboarded and NDAs executed</w:t>
      </w:r>
      <w:r>
        <w:t xml:space="preserve"> </w:t>
      </w:r>
      <w:r>
        <w:t xml:space="preserve">before any non-public information is shared.</w:t>
      </w:r>
      <w:r>
        <w:t xml:space="preserve"> </w:t>
      </w:r>
      <w:r>
        <w:rPr>
          <w:b/>
          <w:bCs/>
        </w:rPr>
        <w:t xml:space="preserve">(H)</w:t>
      </w:r>
    </w:p>
    <w:p>
      <w:pPr>
        <w:numPr>
          <w:ilvl w:val="0"/>
          <w:numId w:val="1018"/>
        </w:numPr>
      </w:pPr>
      <w:r>
        <w:rPr>
          <w:b/>
          <w:bCs/>
        </w:rPr>
        <w:t xml:space="preserve">Due diligence execution:</w:t>
      </w:r>
      <w:r>
        <w:t xml:space="preserve"> </w:t>
      </w:r>
      <w:r>
        <w:t xml:space="preserve">Proportionate to risk tier—Tier 1</w:t>
      </w:r>
      <w:r>
        <w:t xml:space="preserve"> </w:t>
      </w:r>
      <w:r>
        <w:t xml:space="preserve">(Critical) receives full financial, operational, security, BCP,</w:t>
      </w:r>
      <w:r>
        <w:t xml:space="preserve"> </w:t>
      </w:r>
      <w:r>
        <w:t xml:space="preserve">regulatory, AI, fourth-party, and data privacy assessment. Tier 4</w:t>
      </w:r>
      <w:r>
        <w:t xml:space="preserve"> </w:t>
      </w:r>
      <w:r>
        <w:t xml:space="preserve">(Low) receives attestation-based assessment only.</w:t>
      </w:r>
    </w:p>
    <w:bookmarkEnd w:id="71"/>
    <w:bookmarkStart w:id="72" w:name="X337b58188b23ae1b8365e8b6a4d67dafb6d90fe"/>
    <w:p>
      <w:pPr>
        <w:pStyle w:val="Heading3"/>
      </w:pPr>
      <w:r>
        <w:t xml:space="preserve">12.3 Stage 3: RFP Construction via Legal Knowledge Graph</w:t>
      </w:r>
    </w:p>
    <w:p>
      <w:pPr>
        <w:pStyle w:val="FirstParagraph"/>
      </w:pPr>
      <w:r>
        <w:t xml:space="preserve">Task type:</w:t>
      </w:r>
      <w:r>
        <w:t xml:space="preserve"> </w:t>
      </w:r>
      <w:r>
        <w:rPr>
          <w:b/>
          <w:bCs/>
        </w:rPr>
        <w:t xml:space="preserve">Deterministic Agent-Enabled (DA)</w:t>
      </w:r>
      <w:r>
        <w:t xml:space="preserve"> </w:t>
      </w:r>
      <w:r>
        <w:t xml:space="preserve">for clause assembly;</w:t>
      </w:r>
      <w:r>
        <w:t xml:space="preserve"> </w:t>
      </w:r>
      <w:r>
        <w:rPr>
          <w:b/>
          <w:bCs/>
        </w:rPr>
        <w:t xml:space="preserve">Human-in-the-Loop (H)</w:t>
      </w:r>
      <w:r>
        <w:t xml:space="preserve"> </w:t>
      </w:r>
      <w:r>
        <w:t xml:space="preserve">for Legal Counsel review and approval.</w:t>
      </w:r>
    </w:p>
    <w:p>
      <w:pPr>
        <w:pStyle w:val="BlockText"/>
      </w:pPr>
      <w:r>
        <w:rPr>
          <w:i/>
          <w:iCs/>
        </w:rPr>
        <w:t xml:space="preserve">Deterministic Knowledge Integration: The Legal Knowledge Graph is a</w:t>
      </w:r>
      <w:r>
        <w:rPr>
          <w:i/>
          <w:iCs/>
        </w:rPr>
        <w:t xml:space="preserve"> </w:t>
      </w:r>
      <w:r>
        <w:rPr>
          <w:i/>
          <w:iCs/>
        </w:rPr>
        <w:t xml:space="preserve">deterministic knowledge base. All clause selection is governed by</w:t>
      </w:r>
      <w:r>
        <w:rPr>
          <w:i/>
          <w:iCs/>
        </w:rPr>
        <w:t xml:space="preserve"> </w:t>
      </w:r>
      <w:r>
        <w:rPr>
          <w:i/>
          <w:iCs/>
        </w:rPr>
        <w:t xml:space="preserve">explicit graph traversal rules based on vendor risk tier, acquisition</w:t>
      </w:r>
      <w:r>
        <w:rPr>
          <w:i/>
          <w:iCs/>
        </w:rPr>
        <w:t xml:space="preserve"> </w:t>
      </w:r>
      <w:r>
        <w:rPr>
          <w:i/>
          <w:iCs/>
        </w:rPr>
        <w:t xml:space="preserve">type, data sensitivity, regulatory flags, AI enablement, and</w:t>
      </w:r>
      <w:r>
        <w:rPr>
          <w:i/>
          <w:iCs/>
        </w:rPr>
        <w:t xml:space="preserve"> </w:t>
      </w:r>
      <w:r>
        <w:rPr>
          <w:i/>
          <w:iCs/>
        </w:rPr>
        <w:t xml:space="preserve">jurisdiction. No informal clause selection. No email-based legal</w:t>
      </w:r>
      <w:r>
        <w:rPr>
          <w:i/>
          <w:iCs/>
        </w:rPr>
        <w:t xml:space="preserve"> </w:t>
      </w:r>
      <w:r>
        <w:rPr>
          <w:i/>
          <w:iCs/>
        </w:rPr>
        <w:t xml:space="preserve">review loops. All auto-generated clauses reviewed and approved by</w:t>
      </w:r>
      <w:r>
        <w:rPr>
          <w:i/>
          <w:iCs/>
        </w:rPr>
        <w:t xml:space="preserve"> </w:t>
      </w:r>
      <w:r>
        <w:rPr>
          <w:i/>
          <w:iCs/>
        </w:rPr>
        <w:t xml:space="preserve">Legal Counsel before RFP issuance.</w:t>
      </w:r>
    </w:p>
    <w:p>
      <w:pPr>
        <w:numPr>
          <w:ilvl w:val="0"/>
          <w:numId w:val="1019"/>
        </w:numPr>
      </w:pPr>
      <w:r>
        <w:t xml:space="preserve">Graph nodes: Legal clauses (versioned); regulatory requirements</w:t>
      </w:r>
      <w:r>
        <w:t xml:space="preserve"> </w:t>
      </w:r>
      <w:r>
        <w:t xml:space="preserve">(cited); contract types; data domains; vendor risk scenarios;</w:t>
      </w:r>
      <w:r>
        <w:t xml:space="preserve"> </w:t>
      </w:r>
      <w:r>
        <w:t xml:space="preserve">precedent outcomes.</w:t>
      </w:r>
    </w:p>
    <w:p>
      <w:pPr>
        <w:numPr>
          <w:ilvl w:val="0"/>
          <w:numId w:val="1019"/>
        </w:numPr>
      </w:pPr>
      <w:r>
        <w:t xml:space="preserve">Graph edges: required_by (regulation); applicable_when (context);</w:t>
      </w:r>
      <w:r>
        <w:t xml:space="preserve"> </w:t>
      </w:r>
      <w:r>
        <w:t xml:space="preserve">supersedes (version); conflicts_with (mutual exclusivity);</w:t>
      </w:r>
      <w:r>
        <w:t xml:space="preserve"> </w:t>
      </w:r>
      <w:r>
        <w:t xml:space="preserve">recommended_for (best practice).</w:t>
      </w:r>
    </w:p>
    <w:p>
      <w:pPr>
        <w:numPr>
          <w:ilvl w:val="0"/>
          <w:numId w:val="1019"/>
        </w:numPr>
      </w:pPr>
      <w:r>
        <w:t xml:space="preserve">Context-driven clause selection: inputs from intake and risk</w:t>
      </w:r>
      <w:r>
        <w:t xml:space="preserve"> </w:t>
      </w:r>
      <w:r>
        <w:t xml:space="preserve">classification drive mandatory clause assembly. Conflicting clause</w:t>
      </w:r>
      <w:r>
        <w:t xml:space="preserve"> </w:t>
      </w:r>
      <w:r>
        <w:t xml:space="preserve">combinations flagged for Legal Counsel review.</w:t>
      </w:r>
    </w:p>
    <w:bookmarkEnd w:id="72"/>
    <w:bookmarkStart w:id="73" w:name="X0de72c8c3ecb818b4475b7bc7d5cd8dedb3f593"/>
    <w:p>
      <w:pPr>
        <w:pStyle w:val="Heading3"/>
      </w:pPr>
      <w:r>
        <w:t xml:space="preserve">12.4 Stage 4: Sourcing Event and Vendor Selection (DMN-07)</w:t>
      </w:r>
    </w:p>
    <w:p>
      <w:pPr>
        <w:pStyle w:val="FirstParagraph"/>
      </w:pPr>
      <w:r>
        <w:t xml:space="preserve">Task type:</w:t>
      </w:r>
      <w:r>
        <w:t xml:space="preserve"> </w:t>
      </w:r>
      <w:r>
        <w:rPr>
          <w:b/>
          <w:bCs/>
        </w:rPr>
        <w:t xml:space="preserve">Human-in-the-Loop (H)</w:t>
      </w:r>
      <w:r>
        <w:t xml:space="preserve"> </w:t>
      </w:r>
      <w:r>
        <w:t xml:space="preserve">for evaluation;</w:t>
      </w:r>
      <w:r>
        <w:t xml:space="preserve"> </w:t>
      </w:r>
      <w:r>
        <w:rPr>
          <w:b/>
          <w:bCs/>
        </w:rPr>
        <w:t xml:space="preserve">Automated (A)</w:t>
      </w:r>
      <w:r>
        <w:t xml:space="preserve"> </w:t>
      </w:r>
      <w:r>
        <w:t xml:space="preserve">for DMN gate.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Vendors Responded</w:t>
            </w:r>
          </w:p>
        </w:tc>
        <w:tc>
          <w:tcPr/>
          <w:p>
            <w:pPr>
              <w:pStyle w:val="Compact"/>
            </w:pPr>
            <w:r>
              <w:t xml:space="preserve">Pilot Outcome</w:t>
            </w:r>
          </w:p>
        </w:tc>
        <w:tc>
          <w:tcPr/>
          <w:p>
            <w:pPr>
              <w:pStyle w:val="Compact"/>
            </w:pPr>
            <w:r>
              <w:t xml:space="preserve">RAE Findings</w:t>
            </w:r>
          </w:p>
        </w:tc>
        <w:tc>
          <w:tcPr/>
          <w:p>
            <w:pPr>
              <w:pStyle w:val="Compact"/>
            </w:pPr>
            <w:r>
              <w:t xml:space="preserve">AI Gov?</w:t>
            </w:r>
          </w:p>
        </w:tc>
        <w:tc>
          <w:tcPr/>
          <w:p>
            <w:pPr>
              <w:pStyle w:val="Compact"/>
            </w:pPr>
            <w:r>
              <w:t xml:space="preserve">Decision</w:t>
            </w:r>
          </w:p>
        </w:tc>
        <w:tc>
          <w:tcPr/>
          <w:p>
            <w:pPr>
              <w:pStyle w:val="Compact"/>
            </w:pPr>
            <w:r>
              <w:t xml:space="preserve">Action</w:t>
            </w:r>
          </w:p>
        </w:tc>
      </w:tr>
      <w:tr>
        <w:tc>
          <w:tcPr/>
          <w:p>
            <w:pPr>
              <w:pStyle w:val="Compact"/>
            </w:pPr>
            <w:r>
              <w:t xml:space="preserve">1</w:t>
            </w:r>
          </w:p>
        </w:tc>
        <w:tc>
          <w:tcPr/>
          <w:p>
            <w:pPr>
              <w:pStyle w:val="Compact"/>
            </w:pPr>
            <w:r>
              <w:t xml:space="preserve">1+</w:t>
            </w:r>
          </w:p>
        </w:tc>
        <w:tc>
          <w:tcPr/>
          <w:p>
            <w:pPr>
              <w:pStyle w:val="Compact"/>
            </w:pPr>
            <w:r>
              <w:t xml:space="preserve">PASS</w:t>
            </w:r>
          </w:p>
        </w:tc>
        <w:tc>
          <w:tcPr/>
          <w:p>
            <w:pPr>
              <w:pStyle w:val="Compact"/>
            </w:pPr>
            <w:r>
              <w:t xml:space="preserve">None / Minor</w:t>
            </w:r>
          </w:p>
        </w:tc>
        <w:tc>
          <w:tcPr/>
          <w:p>
            <w:pPr>
              <w:pStyle w:val="Compact"/>
            </w:pPr>
            <w:r>
              <w:t xml:space="preserve">YES / N/A</w:t>
            </w:r>
          </w:p>
        </w:tc>
        <w:tc>
          <w:tcPr/>
          <w:p>
            <w:pPr>
              <w:pStyle w:val="Compact"/>
            </w:pPr>
            <w:r>
              <w:t xml:space="preserve">PROCEED</w:t>
            </w:r>
          </w:p>
        </w:tc>
        <w:tc>
          <w:tcPr/>
          <w:p>
            <w:pPr>
              <w:pStyle w:val="Compact"/>
            </w:pPr>
            <w:r>
              <w:t xml:space="preserve">Contract negotiation; TPRM onboarding initiated</w:t>
            </w:r>
          </w:p>
        </w:tc>
      </w:tr>
      <w:tr>
        <w:tc>
          <w:tcPr/>
          <w:p>
            <w:pPr>
              <w:pStyle w:val="Compact"/>
            </w:pPr>
            <w:r>
              <w:t xml:space="preserve">2</w:t>
            </w:r>
          </w:p>
        </w:tc>
        <w:tc>
          <w:tcPr/>
          <w:p>
            <w:pPr>
              <w:pStyle w:val="Compact"/>
            </w:pPr>
            <w:r>
              <w:t xml:space="preserve">1+</w:t>
            </w:r>
          </w:p>
        </w:tc>
        <w:tc>
          <w:tcPr/>
          <w:p>
            <w:pPr>
              <w:pStyle w:val="Compact"/>
            </w:pPr>
            <w:r>
              <w:t xml:space="preserve">PASS</w:t>
            </w:r>
          </w:p>
        </w:tc>
        <w:tc>
          <w:tcPr/>
          <w:p>
            <w:pPr>
              <w:pStyle w:val="Compact"/>
            </w:pPr>
            <w:r>
              <w:t xml:space="preserve">Moderate</w:t>
            </w:r>
          </w:p>
        </w:tc>
        <w:tc>
          <w:tcPr/>
          <w:p>
            <w:pPr>
              <w:pStyle w:val="Compact"/>
            </w:pPr>
            <w:r>
              <w:t xml:space="preserve">YES / N/A</w:t>
            </w:r>
          </w:p>
        </w:tc>
        <w:tc>
          <w:tcPr/>
          <w:p>
            <w:pPr>
              <w:pStyle w:val="Compact"/>
            </w:pPr>
            <w:r>
              <w:t xml:space="preserve">CONDITIONAL</w:t>
            </w:r>
          </w:p>
        </w:tc>
        <w:tc>
          <w:tcPr/>
          <w:p>
            <w:pPr>
              <w:pStyle w:val="Compact"/>
            </w:pPr>
            <w:r>
              <w:t xml:space="preserve">Findings as binding contract obligations; re-RAE post-signature</w:t>
            </w:r>
          </w:p>
        </w:tc>
      </w:tr>
      <w:tr>
        <w:tc>
          <w:tcPr/>
          <w:p>
            <w:pPr>
              <w:pStyle w:val="Compact"/>
            </w:pPr>
            <w:r>
              <w:t xml:space="preserve">3</w:t>
            </w:r>
          </w:p>
        </w:tc>
        <w:tc>
          <w:tcPr/>
          <w:p>
            <w:pPr>
              <w:pStyle w:val="Compact"/>
            </w:pPr>
            <w:r>
              <w:t xml:space="preserve">1+</w:t>
            </w:r>
          </w:p>
        </w:tc>
        <w:tc>
          <w:tcPr/>
          <w:p>
            <w:pPr>
              <w:pStyle w:val="Compact"/>
            </w:pPr>
            <w:r>
              <w:t xml:space="preserve">FAIL</w:t>
            </w:r>
          </w:p>
        </w:tc>
        <w:tc>
          <w:tcPr/>
          <w:p>
            <w:pPr>
              <w:pStyle w:val="Compact"/>
            </w:pPr>
            <w:r>
              <w:t xml:space="preserve">Any</w:t>
            </w:r>
          </w:p>
        </w:tc>
        <w:tc>
          <w:tcPr/>
          <w:p>
            <w:pPr>
              <w:pStyle w:val="Compact"/>
            </w:pPr>
            <w:r>
              <w:t xml:space="preserve">—</w:t>
            </w:r>
          </w:p>
        </w:tc>
        <w:tc>
          <w:tcPr/>
          <w:p>
            <w:pPr>
              <w:pStyle w:val="Compact"/>
            </w:pPr>
            <w:r>
              <w:t xml:space="preserve">RESTART</w:t>
            </w:r>
          </w:p>
        </w:tc>
        <w:tc>
          <w:tcPr/>
          <w:p>
            <w:pPr>
              <w:pStyle w:val="Compact"/>
            </w:pPr>
            <w:r>
              <w:t xml:space="preserve">Re-scope RFP or expand vendor pool; root cause documented</w:t>
            </w:r>
          </w:p>
        </w:tc>
      </w:tr>
      <w:tr>
        <w:tc>
          <w:tcPr/>
          <w:p>
            <w:pPr>
              <w:pStyle w:val="Compact"/>
            </w:pPr>
            <w:r>
              <w:t xml:space="preserve">4</w:t>
            </w:r>
          </w:p>
        </w:tc>
        <w:tc>
          <w:tcPr/>
          <w:p>
            <w:pPr>
              <w:pStyle w:val="Compact"/>
            </w:pPr>
            <w:r>
              <w:t xml:space="preserve">1+</w:t>
            </w:r>
          </w:p>
        </w:tc>
        <w:tc>
          <w:tcPr/>
          <w:p>
            <w:pPr>
              <w:pStyle w:val="Compact"/>
            </w:pPr>
            <w:r>
              <w:t xml:space="preserve">PASS</w:t>
            </w:r>
          </w:p>
        </w:tc>
        <w:tc>
          <w:tcPr/>
          <w:p>
            <w:pPr>
              <w:pStyle w:val="Compact"/>
            </w:pPr>
            <w:r>
              <w:t xml:space="preserve">Critical</w:t>
            </w:r>
          </w:p>
        </w:tc>
        <w:tc>
          <w:tcPr/>
          <w:p>
            <w:pPr>
              <w:pStyle w:val="Compact"/>
            </w:pPr>
            <w:r>
              <w:t xml:space="preserve">—</w:t>
            </w:r>
          </w:p>
        </w:tc>
        <w:tc>
          <w:tcPr/>
          <w:p>
            <w:pPr>
              <w:pStyle w:val="Compact"/>
            </w:pPr>
            <w:r>
              <w:t xml:space="preserve">NO-GO</w:t>
            </w:r>
          </w:p>
        </w:tc>
        <w:tc>
          <w:tcPr/>
          <w:p>
            <w:pPr>
              <w:pStyle w:val="Compact"/>
            </w:pPr>
            <w:r>
              <w:t xml:space="preserve">Close with rationale; explore Build pivot or alternative sourcing</w:t>
            </w:r>
          </w:p>
        </w:tc>
      </w:tr>
      <w:tr>
        <w:tc>
          <w:tcPr/>
          <w:p>
            <w:pPr>
              <w:pStyle w:val="Compact"/>
            </w:pPr>
            <w:r>
              <w:t xml:space="preserve">5</w:t>
            </w:r>
          </w:p>
        </w:tc>
        <w:tc>
          <w:tcPr/>
          <w:p>
            <w:pPr>
              <w:pStyle w:val="Compact"/>
            </w:pPr>
            <w:r>
              <w:t xml:space="preserve">0</w:t>
            </w:r>
          </w:p>
        </w:tc>
        <w:tc>
          <w:tcPr/>
          <w:p>
            <w:pPr>
              <w:pStyle w:val="Compact"/>
            </w:pPr>
            <w:r>
              <w:t xml:space="preserve">N/A</w:t>
            </w:r>
          </w:p>
        </w:tc>
        <w:tc>
          <w:tcPr/>
          <w:p>
            <w:pPr>
              <w:pStyle w:val="Compact"/>
            </w:pPr>
            <w:r>
              <w:t xml:space="preserve">N/A</w:t>
            </w:r>
          </w:p>
        </w:tc>
        <w:tc>
          <w:tcPr/>
          <w:p>
            <w:pPr>
              <w:pStyle w:val="Compact"/>
            </w:pPr>
            <w:r>
              <w:t xml:space="preserve">—</w:t>
            </w:r>
          </w:p>
        </w:tc>
        <w:tc>
          <w:tcPr/>
          <w:p>
            <w:pPr>
              <w:pStyle w:val="Compact"/>
            </w:pPr>
            <w:r>
              <w:t xml:space="preserve">RETHINK</w:t>
            </w:r>
          </w:p>
        </w:tc>
        <w:tc>
          <w:tcPr/>
          <w:p>
            <w:pPr>
              <w:pStyle w:val="Compact"/>
            </w:pPr>
            <w:r>
              <w:t xml:space="preserve">Sole-source or Build pivot to Portfolio Council</w:t>
            </w:r>
          </w:p>
        </w:tc>
      </w:tr>
    </w:tbl>
    <w:bookmarkEnd w:id="73"/>
    <w:bookmarkStart w:id="74" w:name="X50dd7682324bbf4aa1d98be740dd5e5e8f7c001"/>
    <w:p>
      <w:pPr>
        <w:pStyle w:val="Heading3"/>
      </w:pPr>
      <w:r>
        <w:t xml:space="preserve">12.5 Stage 4 Continued: Contracting and Funding (DMN-08)</w:t>
      </w:r>
    </w:p>
    <w:p>
      <w:pPr>
        <w:pStyle w:val="FirstParagraph"/>
      </w:pPr>
      <w:r>
        <w:t xml:space="preserve">Task type:</w:t>
      </w:r>
      <w:r>
        <w:t xml:space="preserve"> </w:t>
      </w:r>
      <w:r>
        <w:rPr>
          <w:b/>
          <w:bCs/>
        </w:rPr>
        <w:t xml:space="preserve">Human-in-the-Loop (H)</w:t>
      </w:r>
      <w:r>
        <w:t xml:space="preserve"> </w:t>
      </w:r>
      <w:r>
        <w:t xml:space="preserve">for negotiation;</w:t>
      </w:r>
      <w:r>
        <w:t xml:space="preserve"> </w:t>
      </w:r>
      <w:r>
        <w:rPr>
          <w:b/>
          <w:bCs/>
        </w:rPr>
        <w:t xml:space="preserve">Deterministic</w:t>
      </w:r>
      <w:r>
        <w:rPr>
          <w:b/>
          <w:bCs/>
        </w:rPr>
        <w:t xml:space="preserve"> </w:t>
      </w:r>
      <w:r>
        <w:rPr>
          <w:b/>
          <w:bCs/>
        </w:rPr>
        <w:t xml:space="preserve">Agent-Enabled (DA)</w:t>
      </w:r>
      <w:r>
        <w:t xml:space="preserve"> </w:t>
      </w:r>
      <w:r>
        <w:t xml:space="preserve">for contract redline review;</w:t>
      </w:r>
      <w:r>
        <w:t xml:space="preserve"> </w:t>
      </w:r>
      <w:r>
        <w:rPr>
          <w:b/>
          <w:bCs/>
        </w:rPr>
        <w:t xml:space="preserve">Automated (A)</w:t>
      </w:r>
      <w:r>
        <w:t xml:space="preserve"> </w:t>
      </w:r>
      <w:r>
        <w:t xml:space="preserve">for</w:t>
      </w:r>
      <w:r>
        <w:t xml:space="preserve"> </w:t>
      </w:r>
      <w:r>
        <w:t xml:space="preserve">funding gate.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Finance Engaged?</w:t>
            </w:r>
          </w:p>
        </w:tc>
        <w:tc>
          <w:tcPr/>
          <w:p>
            <w:pPr>
              <w:pStyle w:val="Compact"/>
            </w:pPr>
            <w:r>
              <w:t xml:space="preserve">Budget Avail.?</w:t>
            </w:r>
          </w:p>
        </w:tc>
        <w:tc>
          <w:tcPr/>
          <w:p>
            <w:pPr>
              <w:pStyle w:val="Compact"/>
            </w:pPr>
            <w:r>
              <w:t xml:space="preserve">FP&amp;A Complete?</w:t>
            </w:r>
          </w:p>
        </w:tc>
        <w:tc>
          <w:tcPr/>
          <w:p>
            <w:pPr>
              <w:pStyle w:val="Compact"/>
            </w:pPr>
            <w:r>
              <w:t xml:space="preserve">Budget Year</w:t>
            </w:r>
          </w:p>
        </w:tc>
        <w:tc>
          <w:tcPr/>
          <w:p>
            <w:pPr>
              <w:pStyle w:val="Compact"/>
            </w:pPr>
            <w:r>
              <w:t xml:space="preserve">Decision</w:t>
            </w:r>
          </w:p>
        </w:tc>
        <w:tc>
          <w:tcPr/>
          <w:p>
            <w:pPr>
              <w:pStyle w:val="Compact"/>
            </w:pPr>
            <w:r>
              <w:t xml:space="preserve">Action</w:t>
            </w:r>
          </w:p>
        </w:tc>
      </w:tr>
      <w:tr>
        <w:tc>
          <w:tcPr/>
          <w:p>
            <w:pPr>
              <w:pStyle w:val="Compact"/>
            </w:pPr>
            <w:r>
              <w:t xml:space="preserve">1</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Current FY</w:t>
            </w:r>
          </w:p>
        </w:tc>
        <w:tc>
          <w:tcPr/>
          <w:p>
            <w:pPr>
              <w:pStyle w:val="Compact"/>
            </w:pPr>
            <w:r>
              <w:t xml:space="preserve">FUNDED—Proceed</w:t>
            </w:r>
          </w:p>
        </w:tc>
        <w:tc>
          <w:tcPr/>
          <w:p>
            <w:pPr>
              <w:pStyle w:val="Compact"/>
            </w:pPr>
            <w:r>
              <w:t xml:space="preserve">Final contract execution; PO issuance; TPRM onboarding</w:t>
            </w:r>
          </w:p>
        </w:tc>
      </w:tr>
      <w:tr>
        <w:tc>
          <w:tcPr/>
          <w:p>
            <w:pPr>
              <w:pStyle w:val="Compact"/>
            </w:pPr>
            <w:r>
              <w:t xml:space="preserve">2</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Next FY</w:t>
            </w:r>
          </w:p>
        </w:tc>
        <w:tc>
          <w:tcPr/>
          <w:p>
            <w:pPr>
              <w:pStyle w:val="Compact"/>
            </w:pPr>
            <w:r>
              <w:t xml:space="preserve">FUNDED—Deferred</w:t>
            </w:r>
          </w:p>
        </w:tc>
        <w:tc>
          <w:tcPr/>
          <w:p>
            <w:pPr>
              <w:pStyle w:val="Compact"/>
            </w:pPr>
            <w:r>
              <w:t xml:space="preserve">Contract signed; commencement next FY; costs accrued</w:t>
            </w:r>
          </w:p>
        </w:tc>
      </w:tr>
      <w:tr>
        <w:tc>
          <w:tcPr/>
          <w:p>
            <w:pPr>
              <w:pStyle w:val="Compact"/>
            </w:pPr>
            <w:r>
              <w:t xml:space="preserve">3</w:t>
            </w:r>
          </w:p>
        </w:tc>
        <w:tc>
          <w:tcPr/>
          <w:p>
            <w:pPr>
              <w:pStyle w:val="Compact"/>
            </w:pPr>
            <w:r>
              <w:t xml:space="preserve">YES</w:t>
            </w:r>
          </w:p>
        </w:tc>
        <w:tc>
          <w:tcPr/>
          <w:p>
            <w:pPr>
              <w:pStyle w:val="Compact"/>
            </w:pPr>
            <w:r>
              <w:t xml:space="preserve">NO</w:t>
            </w:r>
          </w:p>
        </w:tc>
        <w:tc>
          <w:tcPr/>
          <w:p>
            <w:pPr>
              <w:pStyle w:val="Compact"/>
            </w:pPr>
            <w:r>
              <w:t xml:space="preserve">—</w:t>
            </w:r>
          </w:p>
        </w:tc>
        <w:tc>
          <w:tcPr/>
          <w:p>
            <w:pPr>
              <w:pStyle w:val="Compact"/>
            </w:pPr>
            <w:r>
              <w:t xml:space="preserve">Any</w:t>
            </w:r>
          </w:p>
        </w:tc>
        <w:tc>
          <w:tcPr/>
          <w:p>
            <w:pPr>
              <w:pStyle w:val="Compact"/>
            </w:pPr>
            <w:r>
              <w:t xml:space="preserve">NO FUNDING</w:t>
            </w:r>
          </w:p>
        </w:tc>
        <w:tc>
          <w:tcPr/>
          <w:p>
            <w:pPr>
              <w:pStyle w:val="Compact"/>
            </w:pPr>
            <w:r>
              <w:t xml:space="preserve">Re-evaluated in next planning cycle; requestor notified</w:t>
            </w:r>
          </w:p>
        </w:tc>
      </w:tr>
      <w:tr>
        <w:tc>
          <w:tcPr/>
          <w:p>
            <w:pPr>
              <w:pStyle w:val="Compact"/>
            </w:pPr>
            <w:r>
              <w:t xml:space="preserve">4</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Any</w:t>
            </w:r>
          </w:p>
        </w:tc>
        <w:tc>
          <w:tcPr/>
          <w:p>
            <w:pPr>
              <w:pStyle w:val="Compact"/>
            </w:pPr>
            <w:r>
              <w:t xml:space="preserve">ESCALATE</w:t>
            </w:r>
          </w:p>
        </w:tc>
        <w:tc>
          <w:tcPr/>
          <w:p>
            <w:pPr>
              <w:pStyle w:val="Compact"/>
            </w:pPr>
            <w:r>
              <w:t xml:space="preserve">Finance Controller engaged within 3 days; 10-day resolution target</w:t>
            </w:r>
          </w:p>
        </w:tc>
      </w:tr>
    </w:tbl>
    <w:bookmarkEnd w:id="74"/>
    <w:bookmarkStart w:id="75" w:name="stage-5-vendor-onboarding-and-enablement"/>
    <w:p>
      <w:pPr>
        <w:pStyle w:val="Heading3"/>
      </w:pPr>
      <w:r>
        <w:t xml:space="preserve">12.6 Stage 5: Vendor Onboarding and Enablement</w:t>
      </w:r>
    </w:p>
    <w:p>
      <w:pPr>
        <w:pStyle w:val="FirstParagraph"/>
      </w:pPr>
      <w:r>
        <w:t xml:space="preserve">Task type mix:</w:t>
      </w:r>
      <w:r>
        <w:t xml:space="preserve"> </w:t>
      </w:r>
      <w:r>
        <w:rPr>
          <w:b/>
          <w:bCs/>
        </w:rPr>
        <w:t xml:space="preserve">Automated (A)</w:t>
      </w:r>
      <w:r>
        <w:t xml:space="preserve"> </w:t>
      </w:r>
      <w:r>
        <w:t xml:space="preserve">for provisioning and registration;</w:t>
      </w:r>
      <w:r>
        <w:t xml:space="preserve"> </w:t>
      </w:r>
      <w:r>
        <w:rPr>
          <w:b/>
          <w:bCs/>
        </w:rPr>
        <w:t xml:space="preserve">Human-in-the-Loop (H)</w:t>
      </w:r>
      <w:r>
        <w:t xml:space="preserve"> </w:t>
      </w:r>
      <w:r>
        <w:t xml:space="preserve">for sign-offs.</w:t>
      </w:r>
    </w:p>
    <w:p>
      <w:pPr>
        <w:numPr>
          <w:ilvl w:val="0"/>
          <w:numId w:val="1020"/>
        </w:numPr>
      </w:pPr>
      <w:r>
        <w:rPr>
          <w:b/>
          <w:bCs/>
        </w:rPr>
        <w:t xml:space="preserve">Vendor Registration (A):</w:t>
      </w:r>
      <w:r>
        <w:t xml:space="preserve"> </w:t>
      </w:r>
      <w:r>
        <w:t xml:space="preserve">Vendor registered in procurement system,</w:t>
      </w:r>
      <w:r>
        <w:t xml:space="preserve"> </w:t>
      </w:r>
      <w:r>
        <w:t xml:space="preserve">CMDB, and TPRM Vendor Register with risk tier, relationship owner</w:t>
      </w:r>
      <w:r>
        <w:t xml:space="preserve"> </w:t>
      </w:r>
      <w:r>
        <w:t xml:space="preserve">role, monitoring cadence, and renewal date.</w:t>
      </w:r>
    </w:p>
    <w:p>
      <w:pPr>
        <w:numPr>
          <w:ilvl w:val="0"/>
          <w:numId w:val="1020"/>
        </w:numPr>
      </w:pPr>
      <w:r>
        <w:rPr>
          <w:b/>
          <w:bCs/>
        </w:rPr>
        <w:t xml:space="preserve">Access Provisioning (A):</w:t>
      </w:r>
      <w:r>
        <w:t xml:space="preserve"> </w:t>
      </w:r>
      <w:r>
        <w:t xml:space="preserve">Least-privilege access; vendor accounts</w:t>
      </w:r>
      <w:r>
        <w:t xml:space="preserve"> </w:t>
      </w:r>
      <w:r>
        <w:t xml:space="preserve">provisioned in IAM; Privileged Access Management for Tier 1 vendors.</w:t>
      </w:r>
    </w:p>
    <w:p>
      <w:pPr>
        <w:numPr>
          <w:ilvl w:val="0"/>
          <w:numId w:val="1020"/>
        </w:numPr>
      </w:pPr>
      <w:r>
        <w:rPr>
          <w:b/>
          <w:bCs/>
        </w:rPr>
        <w:t xml:space="preserve">Integration Testing (H):</w:t>
      </w:r>
      <w:r>
        <w:t xml:space="preserve"> </w:t>
      </w:r>
      <w:r>
        <w:t xml:space="preserve">Validated in non-production environment;</w:t>
      </w:r>
      <w:r>
        <w:t xml:space="preserve"> </w:t>
      </w:r>
      <w:r>
        <w:t xml:space="preserve">results documented and signed off by Enterprise Architect and</w:t>
      </w:r>
      <w:r>
        <w:t xml:space="preserve"> </w:t>
      </w:r>
      <w:r>
        <w:t xml:space="preserve">Cybersecurity Lead.</w:t>
      </w:r>
    </w:p>
    <w:p>
      <w:pPr>
        <w:numPr>
          <w:ilvl w:val="0"/>
          <w:numId w:val="1020"/>
        </w:numPr>
      </w:pPr>
      <w:r>
        <w:rPr>
          <w:b/>
          <w:bCs/>
        </w:rPr>
        <w:t xml:space="preserve">SBOM Collection (A):</w:t>
      </w:r>
      <w:r>
        <w:t xml:space="preserve"> </w:t>
      </w:r>
      <w:r>
        <w:t xml:space="preserve">Vendor delivers SBOM; stored in Software</w:t>
      </w:r>
      <w:r>
        <w:t xml:space="preserve"> </w:t>
      </w:r>
      <w:r>
        <w:t xml:space="preserve">Registry and linked to NVD scanning.</w:t>
      </w:r>
    </w:p>
    <w:p>
      <w:pPr>
        <w:numPr>
          <w:ilvl w:val="0"/>
          <w:numId w:val="1020"/>
        </w:numPr>
      </w:pPr>
      <w:r>
        <w:rPr>
          <w:b/>
          <w:bCs/>
        </w:rPr>
        <w:t xml:space="preserve">Onboarding Checklist Sign-off (H):</w:t>
      </w:r>
      <w:r>
        <w:t xml:space="preserve"> </w:t>
      </w:r>
      <w:r>
        <w:t xml:space="preserve">TPRM, CyberSec, Legal, and</w:t>
      </w:r>
      <w:r>
        <w:t xml:space="preserve"> </w:t>
      </w:r>
      <w:r>
        <w:t xml:space="preserve">Business Relationship Owner sign before production access.</w:t>
      </w:r>
    </w:p>
    <w:p>
      <w:pPr>
        <w:numPr>
          <w:ilvl w:val="0"/>
          <w:numId w:val="1020"/>
        </w:numPr>
      </w:pPr>
      <w:r>
        <w:rPr>
          <w:b/>
          <w:bCs/>
        </w:rPr>
        <w:t xml:space="preserve">SLA Baseline (A):</w:t>
      </w:r>
      <w:r>
        <w:t xml:space="preserve"> </w:t>
      </w:r>
      <w:r>
        <w:t xml:space="preserve">Performance metrics baselined in first 30 days;</w:t>
      </w:r>
      <w:r>
        <w:t xml:space="preserve"> </w:t>
      </w:r>
      <w:r>
        <w:t xml:space="preserve">monitoring dashboard activated.</w:t>
      </w:r>
    </w:p>
    <w:bookmarkEnd w:id="75"/>
    <w:bookmarkStart w:id="76" w:name="stage-6-ongoing-monitoring-dmn-14"/>
    <w:p>
      <w:pPr>
        <w:pStyle w:val="Heading3"/>
      </w:pPr>
      <w:r>
        <w:t xml:space="preserve">12.7 Stage 6: Ongoing Monitoring (DMN-14)</w:t>
      </w:r>
    </w:p>
    <w:p>
      <w:pPr>
        <w:pStyle w:val="FirstParagraph"/>
      </w:pPr>
      <w:r>
        <w:t xml:space="preserve">Task type:</w:t>
      </w:r>
      <w:r>
        <w:t xml:space="preserve"> </w:t>
      </w:r>
      <w:r>
        <w:rPr>
          <w:b/>
          <w:bCs/>
        </w:rPr>
        <w:t xml:space="preserve">Automated (A)</w:t>
      </w:r>
      <w:r>
        <w:t xml:space="preserve"> </w:t>
      </w:r>
      <w:r>
        <w:t xml:space="preserve">for triggers and scanning;</w:t>
      </w:r>
      <w:r>
        <w:t xml:space="preserve"> </w:t>
      </w:r>
      <w:r>
        <w:rPr>
          <w:b/>
          <w:bCs/>
        </w:rPr>
        <w:t xml:space="preserve">Human-in-the-Loop (H)</w:t>
      </w:r>
      <w:r>
        <w:t xml:space="preserve"> </w:t>
      </w:r>
      <w:r>
        <w:t xml:space="preserve">for reviews and assessments.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Activity</w:t>
            </w:r>
          </w:p>
        </w:tc>
        <w:tc>
          <w:tcPr/>
          <w:p>
            <w:pPr>
              <w:pStyle w:val="Compact"/>
            </w:pPr>
            <w:r>
              <w:t xml:space="preserve">Tier 1—Critical</w:t>
            </w:r>
          </w:p>
        </w:tc>
        <w:tc>
          <w:tcPr/>
          <w:p>
            <w:pPr>
              <w:pStyle w:val="Compact"/>
            </w:pPr>
            <w:r>
              <w:t xml:space="preserve">Tier 2—Elevated</w:t>
            </w:r>
          </w:p>
        </w:tc>
        <w:tc>
          <w:tcPr/>
          <w:p>
            <w:pPr>
              <w:pStyle w:val="Compact"/>
            </w:pPr>
            <w:r>
              <w:t xml:space="preserve">Tier 3—Standard</w:t>
            </w:r>
          </w:p>
        </w:tc>
        <w:tc>
          <w:tcPr/>
          <w:p>
            <w:pPr>
              <w:pStyle w:val="Compact"/>
            </w:pPr>
            <w:r>
              <w:t xml:space="preserve">Tier 4—Low</w:t>
            </w:r>
          </w:p>
        </w:tc>
      </w:tr>
      <w:tr>
        <w:tc>
          <w:tcPr/>
          <w:p>
            <w:pPr>
              <w:pStyle w:val="Compact"/>
            </w:pPr>
            <w:r>
              <w:t xml:space="preserve">SLA / Performance review</w:t>
            </w:r>
          </w:p>
        </w:tc>
        <w:tc>
          <w:tcPr/>
          <w:p>
            <w:pPr>
              <w:pStyle w:val="Compact"/>
            </w:pPr>
            <w:r>
              <w:t xml:space="preserve">Monthly; exec dashboard</w:t>
            </w:r>
          </w:p>
        </w:tc>
        <w:tc>
          <w:tcPr/>
          <w:p>
            <w:pPr>
              <w:pStyle w:val="Compact"/>
            </w:pPr>
            <w:r>
              <w:t xml:space="preserve">Quarterly</w:t>
            </w:r>
          </w:p>
        </w:tc>
        <w:tc>
          <w:tcPr/>
          <w:p>
            <w:pPr>
              <w:pStyle w:val="Compact"/>
            </w:pPr>
            <w:r>
              <w:t xml:space="preserve">Semi-annual</w:t>
            </w:r>
          </w:p>
        </w:tc>
        <w:tc>
          <w:tcPr/>
          <w:p>
            <w:pPr>
              <w:pStyle w:val="Compact"/>
            </w:pPr>
            <w:r>
              <w:t xml:space="preserve">Annual</w:t>
            </w:r>
          </w:p>
        </w:tc>
      </w:tr>
      <w:tr>
        <w:tc>
          <w:tcPr/>
          <w:p>
            <w:pPr>
              <w:pStyle w:val="Compact"/>
            </w:pPr>
            <w:r>
              <w:t xml:space="preserve">Security re-assessment</w:t>
            </w:r>
          </w:p>
        </w:tc>
        <w:tc>
          <w:tcPr/>
          <w:p>
            <w:pPr>
              <w:pStyle w:val="Compact"/>
            </w:pPr>
            <w:r>
              <w:t xml:space="preserve">Quarterly scan + annual detailed</w:t>
            </w:r>
          </w:p>
        </w:tc>
        <w:tc>
          <w:tcPr/>
          <w:p>
            <w:pPr>
              <w:pStyle w:val="Compact"/>
            </w:pPr>
            <w:r>
              <w:t xml:space="preserve">Semi-annual scan + annual Q</w:t>
            </w:r>
          </w:p>
        </w:tc>
        <w:tc>
          <w:tcPr/>
          <w:p>
            <w:pPr>
              <w:pStyle w:val="Compact"/>
            </w:pPr>
            <w:r>
              <w:t xml:space="preserve">Annual questionnaire</w:t>
            </w:r>
          </w:p>
        </w:tc>
        <w:tc>
          <w:tcPr/>
          <w:p>
            <w:pPr>
              <w:pStyle w:val="Compact"/>
            </w:pPr>
            <w:r>
              <w:t xml:space="preserve">Biennial attestation</w:t>
            </w:r>
          </w:p>
        </w:tc>
      </w:tr>
      <w:tr>
        <w:tc>
          <w:tcPr/>
          <w:p>
            <w:pPr>
              <w:pStyle w:val="Compact"/>
            </w:pPr>
            <w:r>
              <w:t xml:space="preserve">Financial stability</w:t>
            </w:r>
          </w:p>
        </w:tc>
        <w:tc>
          <w:tcPr/>
          <w:p>
            <w:pPr>
              <w:pStyle w:val="Compact"/>
            </w:pPr>
            <w:r>
              <w:t xml:space="preserve">Quarterly: credit watch + earnings</w:t>
            </w:r>
          </w:p>
        </w:tc>
        <w:tc>
          <w:tcPr/>
          <w:p>
            <w:pPr>
              <w:pStyle w:val="Compact"/>
            </w:pPr>
            <w:r>
              <w:t xml:space="preserve">Semi-annual review</w:t>
            </w:r>
          </w:p>
        </w:tc>
        <w:tc>
          <w:tcPr/>
          <w:p>
            <w:pPr>
              <w:pStyle w:val="Compact"/>
            </w:pPr>
            <w:r>
              <w:t xml:space="preserve">Annual review</w:t>
            </w:r>
          </w:p>
        </w:tc>
        <w:tc>
          <w:tcPr/>
          <w:p>
            <w:pPr>
              <w:pStyle w:val="Compact"/>
            </w:pPr>
            <w:r>
              <w:t xml:space="preserve">Trigger-based only</w:t>
            </w:r>
          </w:p>
        </w:tc>
      </w:tr>
      <w:tr>
        <w:tc>
          <w:tcPr/>
          <w:p>
            <w:pPr>
              <w:pStyle w:val="Compact"/>
            </w:pPr>
            <w:r>
              <w:t xml:space="preserve">BCP/DR test participation</w:t>
            </w:r>
          </w:p>
        </w:tc>
        <w:tc>
          <w:tcPr/>
          <w:p>
            <w:pPr>
              <w:pStyle w:val="Compact"/>
            </w:pPr>
            <w:r>
              <w:t xml:space="preserve">Annual: institution observes vendor DR</w:t>
            </w:r>
          </w:p>
        </w:tc>
        <w:tc>
          <w:tcPr/>
          <w:p>
            <w:pPr>
              <w:pStyle w:val="Compact"/>
            </w:pPr>
            <w:r>
              <w:t xml:space="preserve">Biennial: doc review</w:t>
            </w:r>
          </w:p>
        </w:tc>
        <w:tc>
          <w:tcPr/>
          <w:p>
            <w:pPr>
              <w:pStyle w:val="Compact"/>
            </w:pPr>
            <w:r>
              <w:t xml:space="preserve">Annual doc review</w:t>
            </w:r>
          </w:p>
        </w:tc>
        <w:tc>
          <w:tcPr/>
          <w:p>
            <w:pPr>
              <w:pStyle w:val="Compact"/>
            </w:pPr>
            <w:r>
              <w:t xml:space="preserve">N/A</w:t>
            </w:r>
          </w:p>
        </w:tc>
      </w:tr>
      <w:tr>
        <w:tc>
          <w:tcPr/>
          <w:p>
            <w:pPr>
              <w:pStyle w:val="Compact"/>
            </w:pPr>
            <w:r>
              <w:t xml:space="preserve">Regulatory compliance</w:t>
            </w:r>
          </w:p>
        </w:tc>
        <w:tc>
          <w:tcPr/>
          <w:p>
            <w:pPr>
              <w:pStyle w:val="Compact"/>
            </w:pPr>
            <w:r>
              <w:t xml:space="preserve">Quarterly attestation + annual audit</w:t>
            </w:r>
          </w:p>
        </w:tc>
        <w:tc>
          <w:tcPr/>
          <w:p>
            <w:pPr>
              <w:pStyle w:val="Compact"/>
            </w:pPr>
            <w:r>
              <w:t xml:space="preserve">Annual attestation</w:t>
            </w:r>
          </w:p>
        </w:tc>
        <w:tc>
          <w:tcPr/>
          <w:p>
            <w:pPr>
              <w:pStyle w:val="Compact"/>
            </w:pPr>
            <w:r>
              <w:t xml:space="preserve">Annual attestation</w:t>
            </w:r>
          </w:p>
        </w:tc>
        <w:tc>
          <w:tcPr/>
          <w:p>
            <w:pPr>
              <w:pStyle w:val="Compact"/>
            </w:pPr>
            <w:r>
              <w:t xml:space="preserve">Biennial attestation</w:t>
            </w:r>
          </w:p>
        </w:tc>
      </w:tr>
      <w:tr>
        <w:tc>
          <w:tcPr/>
          <w:p>
            <w:pPr>
              <w:pStyle w:val="Compact"/>
            </w:pPr>
            <w:r>
              <w:t xml:space="preserve">Incident/breach notification</w:t>
            </w:r>
          </w:p>
        </w:tc>
        <w:tc>
          <w:tcPr/>
          <w:p>
            <w:pPr>
              <w:pStyle w:val="Compact"/>
            </w:pPr>
            <w:r>
              <w:t xml:space="preserve">Real-time; ≤72 hours contractual</w:t>
            </w:r>
          </w:p>
        </w:tc>
        <w:tc>
          <w:tcPr/>
          <w:p>
            <w:pPr>
              <w:pStyle w:val="Compact"/>
            </w:pPr>
            <w:r>
              <w:t xml:space="preserve">Real-time; 72-hour obligation</w:t>
            </w:r>
          </w:p>
        </w:tc>
        <w:tc>
          <w:tcPr/>
          <w:p>
            <w:pPr>
              <w:pStyle w:val="Compact"/>
            </w:pPr>
            <w:r>
              <w:t xml:space="preserve">Real-time; 72-hour obligation</w:t>
            </w:r>
          </w:p>
        </w:tc>
        <w:tc>
          <w:tcPr/>
          <w:p>
            <w:pPr>
              <w:pStyle w:val="Compact"/>
            </w:pPr>
            <w:r>
              <w:t xml:space="preserve">Real-time; 72-hour obligation</w:t>
            </w:r>
          </w:p>
        </w:tc>
      </w:tr>
      <w:tr>
        <w:tc>
          <w:tcPr/>
          <w:p>
            <w:pPr>
              <w:pStyle w:val="Compact"/>
            </w:pPr>
            <w:r>
              <w:t xml:space="preserve">Sub-contractor change</w:t>
            </w:r>
          </w:p>
        </w:tc>
        <w:tc>
          <w:tcPr/>
          <w:p>
            <w:pPr>
              <w:pStyle w:val="Compact"/>
            </w:pPr>
            <w:r>
              <w:t xml:space="preserve">30-day advance notice; approval required</w:t>
            </w:r>
          </w:p>
        </w:tc>
        <w:tc>
          <w:tcPr/>
          <w:p>
            <w:pPr>
              <w:pStyle w:val="Compact"/>
            </w:pPr>
            <w:r>
              <w:t xml:space="preserve">60-day advance notice</w:t>
            </w:r>
          </w:p>
        </w:tc>
        <w:tc>
          <w:tcPr/>
          <w:p>
            <w:pPr>
              <w:pStyle w:val="Compact"/>
            </w:pPr>
            <w:r>
              <w:t xml:space="preserve">Annual disclosure</w:t>
            </w:r>
          </w:p>
        </w:tc>
        <w:tc>
          <w:tcPr/>
          <w:p>
            <w:pPr>
              <w:pStyle w:val="Compact"/>
            </w:pPr>
            <w:r>
              <w:t xml:space="preserve">N/A</w:t>
            </w:r>
          </w:p>
        </w:tc>
      </w:tr>
      <w:tr>
        <w:tc>
          <w:tcPr/>
          <w:p>
            <w:pPr>
              <w:pStyle w:val="Compact"/>
            </w:pPr>
            <w:r>
              <w:t xml:space="preserve">AI model change</w:t>
            </w:r>
          </w:p>
        </w:tc>
        <w:tc>
          <w:tcPr/>
          <w:p>
            <w:pPr>
              <w:pStyle w:val="Compact"/>
            </w:pPr>
            <w:r>
              <w:t xml:space="preserve">30-day notice; independent re-validation</w:t>
            </w:r>
          </w:p>
        </w:tc>
        <w:tc>
          <w:tcPr/>
          <w:p>
            <w:pPr>
              <w:pStyle w:val="Compact"/>
            </w:pPr>
            <w:r>
              <w:t xml:space="preserve">60-day notice; internal review</w:t>
            </w:r>
          </w:p>
        </w:tc>
        <w:tc>
          <w:tcPr/>
          <w:p>
            <w:pPr>
              <w:pStyle w:val="Compact"/>
            </w:pPr>
            <w:r>
              <w:t xml:space="preserve">Annual disclosure</w:t>
            </w:r>
          </w:p>
        </w:tc>
        <w:tc>
          <w:tcPr/>
          <w:p>
            <w:pPr>
              <w:pStyle w:val="Compact"/>
            </w:pPr>
            <w:r>
              <w:t xml:space="preserve">N/A</w:t>
            </w:r>
          </w:p>
        </w:tc>
      </w:tr>
      <w:tr>
        <w:tc>
          <w:tcPr/>
          <w:p>
            <w:pPr>
              <w:pStyle w:val="Compact"/>
            </w:pPr>
            <w:r>
              <w:t xml:space="preserve">Automated risk triggers</w:t>
            </w:r>
          </w:p>
        </w:tc>
        <w:tc>
          <w:tcPr/>
          <w:p>
            <w:pPr>
              <w:pStyle w:val="Compact"/>
            </w:pPr>
            <w:r>
              <w:t xml:space="preserve">Continuous: OFAC, adverse news, dark web, financial</w:t>
            </w:r>
          </w:p>
        </w:tc>
        <w:tc>
          <w:tcPr/>
          <w:p>
            <w:pPr>
              <w:pStyle w:val="Compact"/>
            </w:pPr>
            <w:r>
              <w:t xml:space="preserve">Continuous: sanctions + adverse news</w:t>
            </w:r>
          </w:p>
        </w:tc>
        <w:tc>
          <w:tcPr/>
          <w:p>
            <w:pPr>
              <w:pStyle w:val="Compact"/>
            </w:pPr>
            <w:r>
              <w:t xml:space="preserve">Quarterly sanctions + news</w:t>
            </w:r>
          </w:p>
        </w:tc>
        <w:tc>
          <w:tcPr/>
          <w:p>
            <w:pPr>
              <w:pStyle w:val="Compact"/>
            </w:pPr>
            <w:r>
              <w:t xml:space="preserve">Annual sanctions screening</w:t>
            </w:r>
          </w:p>
        </w:tc>
      </w:tr>
    </w:tbl>
    <w:bookmarkEnd w:id="76"/>
    <w:bookmarkStart w:id="77" w:name="stage-6-continued-termination-management"/>
    <w:p>
      <w:pPr>
        <w:pStyle w:val="Heading3"/>
      </w:pPr>
      <w:r>
        <w:t xml:space="preserve">12.8 Stage 6 Continued: Termination Management</w:t>
      </w:r>
    </w:p>
    <w:p>
      <w:pPr>
        <w:numPr>
          <w:ilvl w:val="0"/>
          <w:numId w:val="1021"/>
        </w:numPr>
      </w:pPr>
      <w:r>
        <w:rPr>
          <w:b/>
          <w:bCs/>
        </w:rPr>
        <w:t xml:space="preserve">Planned termination:</w:t>
      </w:r>
      <w:r>
        <w:t xml:space="preserve"> </w:t>
      </w:r>
      <w:r>
        <w:t xml:space="preserve">Transition plan initiated 180 days before</w:t>
      </w:r>
      <w:r>
        <w:t xml:space="preserve"> </w:t>
      </w:r>
      <w:r>
        <w:t xml:space="preserve">contract end; data return/deletion enforced per MSA; all vendor access</w:t>
      </w:r>
      <w:r>
        <w:t xml:space="preserve"> </w:t>
      </w:r>
      <w:r>
        <w:t xml:space="preserve">deprovisioned within 24 hours; CMDB and Registry updated.</w:t>
      </w:r>
    </w:p>
    <w:p>
      <w:pPr>
        <w:numPr>
          <w:ilvl w:val="0"/>
          <w:numId w:val="1021"/>
        </w:numPr>
      </w:pPr>
      <w:r>
        <w:rPr>
          <w:b/>
          <w:bCs/>
        </w:rPr>
        <w:t xml:space="preserve">Unplanned termination:</w:t>
      </w:r>
      <w:r>
        <w:t xml:space="preserve"> </w:t>
      </w:r>
      <w:r>
        <w:t xml:space="preserve">BCP activated; pre-qualified alternative</w:t>
      </w:r>
      <w:r>
        <w:t xml:space="preserve"> </w:t>
      </w:r>
      <w:r>
        <w:t xml:space="preserve">vendor list consulted; 90-day minimum transition assistance per MSA.</w:t>
      </w:r>
    </w:p>
    <w:p>
      <w:pPr>
        <w:numPr>
          <w:ilvl w:val="0"/>
          <w:numId w:val="1021"/>
        </w:numPr>
      </w:pPr>
      <w:r>
        <w:rPr>
          <w:b/>
          <w:bCs/>
        </w:rPr>
        <w:t xml:space="preserve">Post-termination verification:</w:t>
      </w:r>
      <w:r>
        <w:t xml:space="preserve"> </w:t>
      </w:r>
      <w:r>
        <w:t xml:space="preserve">Data deletion certificate obtained;</w:t>
      </w:r>
      <w:r>
        <w:t xml:space="preserve"> </w:t>
      </w:r>
      <w:r>
        <w:t xml:space="preserve">TPRM Register archived with lessons learned; Internal Audit notified</w:t>
      </w:r>
      <w:r>
        <w:t xml:space="preserve"> </w:t>
      </w:r>
      <w:r>
        <w:t xml:space="preserve">for Tier 1/2.</w:t>
      </w:r>
    </w:p>
    <w:p>
      <w:pPr>
        <w:numPr>
          <w:ilvl w:val="0"/>
          <w:numId w:val="1021"/>
        </w:numPr>
      </w:pPr>
      <w:r>
        <w:rPr>
          <w:b/>
          <w:bCs/>
        </w:rPr>
        <w:t xml:space="preserve">Concentration risk re-assessment:</w:t>
      </w:r>
      <w:r>
        <w:t xml:space="preserve"> </w:t>
      </w:r>
      <w:r>
        <w:t xml:space="preserve">Following Tier 1 termination,</w:t>
      </w:r>
      <w:r>
        <w:t xml:space="preserve"> </w:t>
      </w:r>
      <w:r>
        <w:t xml:space="preserve">institution updates concentration risk map. Knowledge Staging Agent</w:t>
      </w:r>
      <w:r>
        <w:t xml:space="preserve"> </w:t>
      </w:r>
      <w:r>
        <w:t xml:space="preserve">archives all termination rationale and lessons learned to</w:t>
      </w:r>
      <w:r>
        <w:t xml:space="preserve"> </w:t>
      </w:r>
      <w:r>
        <w:t xml:space="preserve">deterministic knowledge base.</w:t>
      </w:r>
    </w:p>
    <w:p>
      <w:r>
        <w:pict>
          <v:rect style="width:0;height:1.5pt" o:hralign="center" o:hrstd="t" o:hr="t"/>
        </w:pict>
      </w:r>
    </w:p>
    <w:bookmarkEnd w:id="77"/>
    <w:bookmarkEnd w:id="78"/>
    <w:bookmarkEnd w:id="79"/>
    <w:bookmarkStart w:id="95" w:name="X3f959d3474b117cbd1056ff3a51890ef3e57ab6"/>
    <w:p>
      <w:pPr>
        <w:pStyle w:val="Heading1"/>
      </w:pPr>
      <w:r>
        <w:t xml:space="preserve">Part IV: Third-Party Risk Management Deep-Dive</w:t>
      </w:r>
    </w:p>
    <w:bookmarkStart w:id="89" w:name="tprm-framework-authoritative-baseline"/>
    <w:p>
      <w:pPr>
        <w:pStyle w:val="Heading2"/>
      </w:pPr>
      <w:r>
        <w:t xml:space="preserve">14. TPRM Framework: Authoritative Baseline</w:t>
      </w:r>
    </w:p>
    <w:bookmarkStart w:id="80" w:name="X216729a9329a98c74d18c35584c8254ec4c8af6"/>
    <w:p>
      <w:pPr>
        <w:pStyle w:val="Heading3"/>
      </w:pPr>
      <w:r>
        <w:t xml:space="preserve">Evolutionary Resilience: A Comprehensive Framework for Third-Party Risk Management in Financial Ecosystems</w:t>
      </w:r>
    </w:p>
    <w:p>
      <w:pPr>
        <w:pStyle w:val="FirstParagraph"/>
      </w:pPr>
      <w:r>
        <w:t xml:space="preserve">The contemporary financial services landscape is no longer a collection</w:t>
      </w:r>
      <w:r>
        <w:t xml:space="preserve"> </w:t>
      </w:r>
      <w:r>
        <w:t xml:space="preserve">of discrete institutions but a hyper-connected mesh of banks,</w:t>
      </w:r>
      <w:r>
        <w:t xml:space="preserve"> </w:t>
      </w:r>
      <w:r>
        <w:t xml:space="preserve">brokerages, and specialized technology providers. As organizations</w:t>
      </w:r>
      <w:r>
        <w:t xml:space="preserve"> </w:t>
      </w:r>
      <w:r>
        <w:t xml:space="preserve">increasingly outsource core functions—ranging from cloud-native ledger</w:t>
      </w:r>
      <w:r>
        <w:t xml:space="preserve"> </w:t>
      </w:r>
      <w:r>
        <w:t xml:space="preserve">systems and high-frequency trading algorithms to customer-facing</w:t>
      </w:r>
      <w:r>
        <w:t xml:space="preserve"> </w:t>
      </w:r>
      <w:r>
        <w:t xml:space="preserve">artificial intelligence (AI) interfaces—the traditional perimeter of</w:t>
      </w:r>
      <w:r>
        <w:t xml:space="preserve"> </w:t>
      </w:r>
      <w:r>
        <w:t xml:space="preserve">the enterprise has dissolved. This paradigm shift has elevated</w:t>
      </w:r>
      <w:r>
        <w:t xml:space="preserve"> </w:t>
      </w:r>
      <w:r>
        <w:t xml:space="preserve">Third-Party Risk Management (TPRM) from a defensive compliance</w:t>
      </w:r>
      <w:r>
        <w:t xml:space="preserve"> </w:t>
      </w:r>
      <w:r>
        <w:t xml:space="preserve">obligation to a primary driver of strategic resilience and competitive</w:t>
      </w:r>
      <w:r>
        <w:t xml:space="preserve"> </w:t>
      </w:r>
      <w:r>
        <w:t xml:space="preserve">differentiation.</w:t>
      </w:r>
      <w:r>
        <w:rPr>
          <w:vertAlign w:val="superscript"/>
        </w:rPr>
        <w:t xml:space="preserve">1</w:t>
      </w:r>
      <w:r>
        <w:t xml:space="preserve"> </w:t>
      </w:r>
      <w:r>
        <w:t xml:space="preserve">Within the highly regulated corridors of banking and</w:t>
      </w:r>
      <w:r>
        <w:t xml:space="preserve"> </w:t>
      </w:r>
      <w:r>
        <w:t xml:space="preserve">finance, the ability to identify, assess, and mitigate risks across a</w:t>
      </w:r>
      <w:r>
        <w:t xml:space="preserve"> </w:t>
      </w:r>
      <w:r>
        <w:t xml:space="preserve">sprawling supply chain is not merely a matter of security but a</w:t>
      </w:r>
      <w:r>
        <w:t xml:space="preserve"> </w:t>
      </w:r>
      <w:r>
        <w:t xml:space="preserve">requirement for institutional survival.</w:t>
      </w:r>
      <w:r>
        <w:rPr>
          <w:vertAlign w:val="superscript"/>
        </w:rPr>
        <w:t xml:space="preserve">4</w:t>
      </w:r>
    </w:p>
    <w:bookmarkEnd w:id="80"/>
    <w:bookmarkStart w:id="86" w:name="X65a023a5cbe45837bd8e932a3a2fe7e6188983c"/>
    <w:p>
      <w:pPr>
        <w:pStyle w:val="Heading3"/>
      </w:pPr>
      <w:r>
        <w:t xml:space="preserve">The Governance Imperative and Organizational RACI Structure</w:t>
      </w:r>
    </w:p>
    <w:p>
      <w:pPr>
        <w:pStyle w:val="FirstParagraph"/>
      </w:pPr>
      <w:r>
        <w:t xml:space="preserve">At the heart of a robust TPRM program is a multi-disciplinary governance</w:t>
      </w:r>
      <w:r>
        <w:t xml:space="preserve"> </w:t>
      </w:r>
      <w:r>
        <w:t xml:space="preserve">structure that aligns risk management activities with the institution’s</w:t>
      </w:r>
      <w:r>
        <w:t xml:space="preserve"> </w:t>
      </w:r>
      <w:r>
        <w:t xml:space="preserve">broader risk appetite and strategic objectives.</w:t>
      </w:r>
      <w:r>
        <w:rPr>
          <w:vertAlign w:val="superscript"/>
        </w:rPr>
        <w:t xml:space="preserve">7</w:t>
      </w:r>
      <w:r>
        <w:t xml:space="preserve"> </w:t>
      </w:r>
      <w:r>
        <w:t xml:space="preserve">Financial</w:t>
      </w:r>
      <w:r>
        <w:t xml:space="preserve"> </w:t>
      </w:r>
      <w:r>
        <w:t xml:space="preserve">institutions typically adopt a "three lines of defense" model, where</w:t>
      </w:r>
      <w:r>
        <w:t xml:space="preserve"> </w:t>
      </w:r>
      <w:r>
        <w:t xml:space="preserve">accountability is distributed across the business, risk functions, and</w:t>
      </w:r>
      <w:r>
        <w:t xml:space="preserve"> </w:t>
      </w:r>
      <w:r>
        <w:t xml:space="preserve">internal audit to ensure no single point of failure in the oversight</w:t>
      </w:r>
      <w:r>
        <w:t xml:space="preserve"> </w:t>
      </w:r>
      <w:r>
        <w:t xml:space="preserve">process.</w:t>
      </w:r>
      <w:r>
        <w:rPr>
          <w:vertAlign w:val="superscript"/>
        </w:rPr>
        <w:t xml:space="preserve">7</w:t>
      </w:r>
    </w:p>
    <w:bookmarkStart w:id="81" w:name="Xa30f5936e6afae63a59d7f7801390e2e7bab64f"/>
    <w:p>
      <w:pPr>
        <w:pStyle w:val="Heading4"/>
      </w:pPr>
      <w:r>
        <w:t xml:space="preserve">The Role of Legal: Contractual Enforcement and Liability Management</w:t>
      </w:r>
    </w:p>
    <w:p>
      <w:pPr>
        <w:pStyle w:val="FirstParagraph"/>
      </w:pPr>
      <w:r>
        <w:t xml:space="preserve">The Legal department serves as the architectural foundation of the TPRM</w:t>
      </w:r>
      <w:r>
        <w:t xml:space="preserve"> </w:t>
      </w:r>
      <w:r>
        <w:t xml:space="preserve">lifecycle, ensuring that risk management expectations are codified into</w:t>
      </w:r>
      <w:r>
        <w:t xml:space="preserve"> </w:t>
      </w:r>
      <w:r>
        <w:t xml:space="preserve">enforceable agreements.</w:t>
      </w:r>
      <w:r>
        <w:rPr>
          <w:vertAlign w:val="superscript"/>
        </w:rPr>
        <w:t xml:space="preserve">10</w:t>
      </w:r>
      <w:r>
        <w:t xml:space="preserve"> </w:t>
      </w:r>
      <w:r>
        <w:t xml:space="preserve">Beyond traditional contract drafting, legal</w:t>
      </w:r>
      <w:r>
        <w:t xml:space="preserve"> </w:t>
      </w:r>
      <w:r>
        <w:t xml:space="preserve">experts in the financial sector focus on "Right to Audit" clauses,</w:t>
      </w:r>
      <w:r>
        <w:t xml:space="preserve"> </w:t>
      </w:r>
      <w:r>
        <w:t xml:space="preserve">which grant the institution the authority to conduct on-site inspections</w:t>
      </w:r>
      <w:r>
        <w:t xml:space="preserve"> </w:t>
      </w:r>
      <w:r>
        <w:t xml:space="preserve">or demand independent security assessments from the vendor.</w:t>
      </w:r>
      <w:r>
        <w:rPr>
          <w:vertAlign w:val="superscript"/>
        </w:rPr>
        <w:t xml:space="preserve">6</w:t>
      </w:r>
      <w:r>
        <w:t xml:space="preserve"> </w:t>
      </w:r>
      <w:r>
        <w:t xml:space="preserve">Legal</w:t>
      </w:r>
      <w:r>
        <w:t xml:space="preserve"> </w:t>
      </w:r>
      <w:r>
        <w:t xml:space="preserve">must also navigate the complex waters of cross-border data flows,</w:t>
      </w:r>
      <w:r>
        <w:t xml:space="preserve"> </w:t>
      </w:r>
      <w:r>
        <w:t xml:space="preserve">ensuring that Master Service Agreements (MSAs) include specific Data</w:t>
      </w:r>
      <w:r>
        <w:t xml:space="preserve"> </w:t>
      </w:r>
      <w:r>
        <w:t xml:space="preserve">Processing Addendums (DPAs) that satisfy global privacy mandates like</w:t>
      </w:r>
      <w:r>
        <w:t xml:space="preserve"> </w:t>
      </w:r>
      <w:r>
        <w:t xml:space="preserve">GDPR and CCPA.</w:t>
      </w:r>
      <w:r>
        <w:rPr>
          <w:vertAlign w:val="superscript"/>
        </w:rPr>
        <w:t xml:space="preserve">12</w:t>
      </w:r>
      <w:r>
        <w:t xml:space="preserve"> </w:t>
      </w:r>
      <w:r>
        <w:t xml:space="preserve">Furthermore, legal counsel is instrumental in</w:t>
      </w:r>
      <w:r>
        <w:t xml:space="preserve"> </w:t>
      </w:r>
      <w:r>
        <w:t xml:space="preserve">defining "Step-in Rights," which allow the bank to take temporary</w:t>
      </w:r>
      <w:r>
        <w:t xml:space="preserve"> </w:t>
      </w:r>
      <w:r>
        <w:t xml:space="preserve">control of a service or transition it to a backup provider if the vendor</w:t>
      </w:r>
      <w:r>
        <w:t xml:space="preserve"> </w:t>
      </w:r>
      <w:r>
        <w:t xml:space="preserve">faces significant operational failure.</w:t>
      </w:r>
      <w:r>
        <w:rPr>
          <w:vertAlign w:val="superscript"/>
        </w:rPr>
        <w:t xml:space="preserve">10</w:t>
      </w:r>
    </w:p>
    <w:bookmarkEnd w:id="81"/>
    <w:bookmarkStart w:id="82" w:name="X6f7b2a41abc0eaa23a1b0941e0410d6f137553e"/>
    <w:p>
      <w:pPr>
        <w:pStyle w:val="Heading4"/>
      </w:pPr>
      <w:r>
        <w:t xml:space="preserve">The Role of Cybersecurity: Technical Assurance and Nth-Party Visibility</w:t>
      </w:r>
    </w:p>
    <w:p>
      <w:pPr>
        <w:pStyle w:val="FirstParagraph"/>
      </w:pPr>
      <w:r>
        <w:t xml:space="preserve">The Cybersecurity function is responsible for the forensic evaluation of</w:t>
      </w:r>
      <w:r>
        <w:t xml:space="preserve"> </w:t>
      </w:r>
      <w:r>
        <w:t xml:space="preserve">a vendor’s digital defenses. In the reimagined TPRM model, this role has</w:t>
      </w:r>
      <w:r>
        <w:t xml:space="preserve"> </w:t>
      </w:r>
      <w:r>
        <w:t xml:space="preserve">shifted from reviewing static security questionnaires to analyzing</w:t>
      </w:r>
      <w:r>
        <w:t xml:space="preserve"> </w:t>
      </w:r>
      <w:r>
        <w:t xml:space="preserve">real-time telemetry and external attack surface data.</w:t>
      </w:r>
      <w:r>
        <w:rPr>
          <w:vertAlign w:val="superscript"/>
        </w:rPr>
        <w:t xml:space="preserve">3</w:t>
      </w:r>
      <w:r>
        <w:t xml:space="preserve"> </w:t>
      </w:r>
      <w:r>
        <w:t xml:space="preserve">Cyber teams</w:t>
      </w:r>
      <w:r>
        <w:t xml:space="preserve"> </w:t>
      </w:r>
      <w:r>
        <w:t xml:space="preserve">evaluate the efficacy of a vendor’s encryption protocols, identity and</w:t>
      </w:r>
      <w:r>
        <w:t xml:space="preserve"> </w:t>
      </w:r>
      <w:r>
        <w:t xml:space="preserve">access management (IAM) strategies, and incident response readiness.</w:t>
      </w:r>
      <w:r>
        <w:rPr>
          <w:vertAlign w:val="superscript"/>
        </w:rPr>
        <w:t xml:space="preserve">6</w:t>
      </w:r>
      <w:r>
        <w:t xml:space="preserve"> </w:t>
      </w:r>
      <w:r>
        <w:t xml:space="preserve">A critical and emerging focus for cyber teams is the "Nth-party"</w:t>
      </w:r>
      <w:r>
        <w:t xml:space="preserve"> </w:t>
      </w:r>
      <w:r>
        <w:t xml:space="preserve">problem, where they must identify and assess the risks introduced not</w:t>
      </w:r>
      <w:r>
        <w:t xml:space="preserve"> </w:t>
      </w:r>
      <w:r>
        <w:t xml:space="preserve">only by their direct vendors but by the vendors’ subcontractors (the</w:t>
      </w:r>
      <w:r>
        <w:t xml:space="preserve"> </w:t>
      </w:r>
      <w:r>
        <w:t xml:space="preserve">fourth and fifth parties) who may have access to the bank’s sensitive</w:t>
      </w:r>
      <w:r>
        <w:t xml:space="preserve"> </w:t>
      </w:r>
      <w:r>
        <w:t xml:space="preserve">data.</w:t>
      </w:r>
      <w:r>
        <w:rPr>
          <w:vertAlign w:val="superscript"/>
        </w:rPr>
        <w:t xml:space="preserve">6</w:t>
      </w:r>
    </w:p>
    <w:bookmarkEnd w:id="82"/>
    <w:bookmarkStart w:id="83" w:name="Xdecb5d2e5efd9a33078f9f9bb8dee687c660bc4"/>
    <w:p>
      <w:pPr>
        <w:pStyle w:val="Heading4"/>
      </w:pPr>
      <w:r>
        <w:t xml:space="preserve">The Role of AI Governance: Managing Algorithmic Risk</w:t>
      </w:r>
    </w:p>
    <w:p>
      <w:pPr>
        <w:pStyle w:val="FirstParagraph"/>
      </w:pPr>
      <w:r>
        <w:t xml:space="preserve">With the proliferation of generative AI and machine learning in</w:t>
      </w:r>
      <w:r>
        <w:t xml:space="preserve"> </w:t>
      </w:r>
      <w:r>
        <w:t xml:space="preserve">financial services, AI Governance has emerged as a distinct and critical</w:t>
      </w:r>
      <w:r>
        <w:t xml:space="preserve"> </w:t>
      </w:r>
      <w:r>
        <w:t xml:space="preserve">pillar of TPRM.</w:t>
      </w:r>
      <w:r>
        <w:rPr>
          <w:vertAlign w:val="superscript"/>
        </w:rPr>
        <w:t xml:space="preserve">20</w:t>
      </w:r>
      <w:r>
        <w:t xml:space="preserve"> </w:t>
      </w:r>
      <w:r>
        <w:t xml:space="preserve">This function ensures that AI-driven services</w:t>
      </w:r>
      <w:r>
        <w:t xml:space="preserve"> </w:t>
      </w:r>
      <w:r>
        <w:t xml:space="preserve">provided by third parties are transparent, explainable, and free from</w:t>
      </w:r>
      <w:r>
        <w:t xml:space="preserve"> </w:t>
      </w:r>
      <w:r>
        <w:t xml:space="preserve">prohibited biases that could lead to discriminatory lending or trading</w:t>
      </w:r>
      <w:r>
        <w:t xml:space="preserve"> </w:t>
      </w:r>
      <w:r>
        <w:t xml:space="preserve">practices.</w:t>
      </w:r>
      <w:r>
        <w:rPr>
          <w:vertAlign w:val="superscript"/>
        </w:rPr>
        <w:t xml:space="preserve">20</w:t>
      </w:r>
      <w:r>
        <w:t xml:space="preserve"> </w:t>
      </w:r>
      <w:r>
        <w:t xml:space="preserve">AI governance teams operationalize frameworks like the</w:t>
      </w:r>
      <w:r>
        <w:t xml:space="preserve"> </w:t>
      </w:r>
      <w:r>
        <w:t xml:space="preserve">Financial Services AI Risk Management Framework (FS AI RMF), which</w:t>
      </w:r>
      <w:r>
        <w:t xml:space="preserve"> </w:t>
      </w:r>
      <w:r>
        <w:t xml:space="preserve">includes 230 control objectives designed to ensure that AI models are</w:t>
      </w:r>
      <w:r>
        <w:t xml:space="preserve"> </w:t>
      </w:r>
      <w:r>
        <w:t xml:space="preserve">robust, reliable, and privacy-enhanced.</w:t>
      </w:r>
      <w:r>
        <w:rPr>
          <w:vertAlign w:val="superscript"/>
        </w:rPr>
        <w:t xml:space="preserve">21</w:t>
      </w:r>
    </w:p>
    <w:bookmarkEnd w:id="83"/>
    <w:bookmarkStart w:id="84" w:name="X2d09e4ce642061305a84eb2c141b43f3a9c6542"/>
    <w:p>
      <w:pPr>
        <w:pStyle w:val="Heading4"/>
      </w:pPr>
      <w:r>
        <w:t xml:space="preserve">The Role of Regulatory, Compliance, and Audit</w:t>
      </w:r>
    </w:p>
    <w:p>
      <w:pPr>
        <w:pStyle w:val="FirstParagraph"/>
      </w:pPr>
      <w:r>
        <w:t xml:space="preserve">Compliance and Regulatory teams act as the liaison between the</w:t>
      </w:r>
      <w:r>
        <w:t xml:space="preserve"> </w:t>
      </w:r>
      <w:r>
        <w:t xml:space="preserve">institution and its governing bodies, such as the Office of the</w:t>
      </w:r>
      <w:r>
        <w:t xml:space="preserve"> </w:t>
      </w:r>
      <w:r>
        <w:t xml:space="preserve">Comptroller of the Currency (OCC), the Federal Reserve, and the Federal</w:t>
      </w:r>
      <w:r>
        <w:t xml:space="preserve"> </w:t>
      </w:r>
      <w:r>
        <w:t xml:space="preserve">Deposit Insurance Corporation (FDIC).</w:t>
      </w:r>
      <w:r>
        <w:rPr>
          <w:vertAlign w:val="superscript"/>
        </w:rPr>
        <w:t xml:space="preserve">14</w:t>
      </w:r>
      <w:r>
        <w:t xml:space="preserve"> </w:t>
      </w:r>
      <w:r>
        <w:t xml:space="preserve">They ensure the TPRM program</w:t>
      </w:r>
      <w:r>
        <w:t xml:space="preserve"> </w:t>
      </w:r>
      <w:r>
        <w:t xml:space="preserve">aligns with the 2023 Interagency Guidance on Third-Party Relationships,</w:t>
      </w:r>
      <w:r>
        <w:t xml:space="preserve"> </w:t>
      </w:r>
      <w:r>
        <w:t xml:space="preserve">which emphasizes that a bank’s responsibility for safety and soundness</w:t>
      </w:r>
      <w:r>
        <w:t xml:space="preserve"> </w:t>
      </w:r>
      <w:r>
        <w:t xml:space="preserve">remains absolute, regardless of whether a service is outsourced.</w:t>
      </w:r>
      <w:r>
        <w:rPr>
          <w:vertAlign w:val="superscript"/>
        </w:rPr>
        <w:t xml:space="preserve">14</w:t>
      </w:r>
      <w:r>
        <w:t xml:space="preserve"> </w:t>
      </w:r>
      <w:r>
        <w:t xml:space="preserve">Internal Audit provides the final layer of oversight, conducting</w:t>
      </w:r>
      <w:r>
        <w:t xml:space="preserve"> </w:t>
      </w:r>
      <w:r>
        <w:t xml:space="preserve">periodic reviews to verify that the TPRM program is functioning as</w:t>
      </w:r>
      <w:r>
        <w:t xml:space="preserve"> </w:t>
      </w:r>
      <w:r>
        <w:t xml:space="preserve">designed and that a clear, auditable trail exists for every vendor</w:t>
      </w:r>
      <w:r>
        <w:t xml:space="preserve"> </w:t>
      </w:r>
      <w:r>
        <w:t xml:space="preserve">approval and risk acceptance decision.</w:t>
      </w:r>
      <w:r>
        <w:rPr>
          <w:vertAlign w:val="superscript"/>
        </w:rPr>
        <w:t xml:space="preserve">1</w:t>
      </w:r>
    </w:p>
    <w:tbl>
      <w:tblPr>
        <w:tblStyle w:val="Table"/>
        <w:tblW w:type="pct" w:w="4867"/>
        <w:tblLayout w:type="fixed"/>
        <w:tblLook w:firstRow="0" w:lastRow="0" w:firstColumn="0" w:lastColumn="0" w:noHBand="0" w:noVBand="0" w:val="0000"/>
      </w:tblPr>
      <w:tblGrid>
        <w:gridCol w:w="7708"/>
      </w:tblGrid>
      <w:tr>
        <w:tc>
          <w:tcPr/>
          <w:p>
            <w:pPr>
              <w:pStyle w:val="Compact"/>
              <w:jc w:val="left"/>
            </w:pPr>
            <w:r>
              <w:rPr>
                <w:b/>
                <w:bCs/>
              </w:rPr>
              <w:t xml:space="preserve">Function</w:t>
            </w:r>
            <w:r>
              <w:t xml:space="preserve"> </w:t>
            </w:r>
            <w:r>
              <w:rPr>
                <w:b/>
                <w:bCs/>
              </w:rPr>
              <w:t xml:space="preserve">Primary</w:t>
            </w:r>
            <w:r>
              <w:rPr>
                <w:b/>
                <w:bCs/>
              </w:rPr>
              <w:t xml:space="preserve"> </w:t>
            </w:r>
            <w:r>
              <w:t xml:space="preserve">Key</w:t>
            </w:r>
            <w:r>
              <w:t xml:space="preserve"> </w:t>
            </w:r>
            <w:r>
              <w:rPr>
                <w:b/>
                <w:bCs/>
              </w:rPr>
              <w:t xml:space="preserve">Stakeholder</w:t>
            </w:r>
            <w:r>
              <w:rPr>
                <w:b/>
                <w:bCs/>
              </w:rPr>
              <w:t xml:space="preserve"> </w:t>
            </w:r>
            <w:r>
              <w:rPr>
                <w:b/>
                <w:bCs/>
              </w:rPr>
              <w:t xml:space="preserve">Responsibility</w:t>
            </w:r>
            <w:r>
              <w:t xml:space="preserve"> </w:t>
            </w:r>
            <w:r>
              <w:t xml:space="preserve">Deliverables** Coordination</w:t>
            </w:r>
            <w:r>
              <w:rPr>
                <w:b/>
                <w:bCs/>
              </w:rPr>
              <w:t xml:space="preserve"> </w:t>
            </w:r>
            <w:r>
              <w:rPr>
                <w:b/>
                <w:bCs/>
              </w:rPr>
              <w:t xml:space="preserve">Legal | Contractual liability and regulatory alignment. | MSA, DPA, Right to Audit clauses. | Procurement, Compliance, Board. |</w:t>
            </w:r>
            <w:r>
              <w:rPr>
                <w:b/>
                <w:bCs/>
              </w:rPr>
              <w:t xml:space="preserve"> </w:t>
            </w:r>
            <w:r>
              <w:rPr>
                <w:b/>
                <w:bCs/>
              </w:rPr>
              <w:t xml:space="preserve">— | — | — | — |</w:t>
            </w:r>
            <w:r>
              <w:rPr>
                <w:b/>
                <w:bCs/>
              </w:rPr>
              <w:t xml:space="preserve"> </w:t>
            </w:r>
            <w:r>
              <w:rPr>
                <w:b/>
                <w:bCs/>
              </w:rPr>
              <w:t xml:space="preserve">Cyber | Technical security and data integrity. | Penetration tests, SOC 2 reviews, CSM. | IT, Business Owners, Vendors. |</w:t>
            </w:r>
            <w:r>
              <w:rPr>
                <w:b/>
                <w:bCs/>
              </w:rPr>
              <w:t xml:space="preserve"> </w:t>
            </w:r>
            <w:r>
              <w:rPr>
                <w:b/>
                <w:bCs/>
              </w:rPr>
              <w:t xml:space="preserve">AI Governance | Model ethics, transparency, and bias. | Model cards, bias testing reports. | Risk, Legal, Data Science. |</w:t>
            </w:r>
            <w:r>
              <w:rPr>
                <w:b/>
                <w:bCs/>
              </w:rPr>
              <w:t xml:space="preserve"> </w:t>
            </w:r>
            <w:r>
              <w:rPr>
                <w:b/>
                <w:bCs/>
              </w:rPr>
              <w:t xml:space="preserve">Compliance | Adherence to banking regulations. | Regulatory filings, policy updates. | OCC/Fed/FDIC, Audit. |</w:t>
            </w:r>
            <w:r>
              <w:rPr>
                <w:b/>
                <w:bCs/>
              </w:rPr>
              <w:t xml:space="preserve"> </w:t>
            </w:r>
            <w:r>
              <w:rPr>
                <w:b/>
                <w:bCs/>
              </w:rPr>
              <w:t xml:space="preserve">Audit | Independent verification of the program. | Audit reports, remediation tracking. | Board of Directors, C-Suite. |</w:t>
            </w:r>
            <w:r>
              <w:rPr>
                <w:b/>
                <w:bCs/>
              </w:rPr>
              <w:t xml:space="preserve"> </w:t>
            </w:r>
            <w:r>
              <w:rPr>
                <w:b/>
                <w:bCs/>
              </w:rPr>
              <w:t xml:space="preserve">Business Owner —————– | Operational performance and business need. —————— | Business cases, SLA monitoring. —————– | Vendor, Procurement, Finance. —————– |</w:t>
            </w:r>
            <w:r>
              <w:rPr>
                <w:b/>
                <w:bCs/>
              </w:rPr>
              <w:t xml:space="preserve"> </w:t>
            </w:r>
            <w:r>
              <w:rPr>
                <w:b/>
                <w:bCs/>
              </w:rPr>
              <w:t xml:space="preserve"># The End-to-End | PRM Lifecycle: Exc | uciating Details | f the Workflow |</w:t>
            </w:r>
            <w:r>
              <w:rPr>
                <w:b/>
                <w:bCs/>
              </w:rPr>
              <w:t xml:space="preserve"> </w:t>
            </w:r>
            <w:r>
              <w:rPr>
                <w:b/>
                <w:bCs/>
              </w:rPr>
              <w:t xml:space="preserve">e lifecycle of a an iterative, mu d concludes with cumentation, stak | hird-party relatio ti-stage process t ecure offboarding. holder approvals, | ship in a financi at begins with st Each phase requir nd risk-based dec | l institution ategic planning s specific sion-making.</w:t>
            </w:r>
            <w:r>
              <w:rPr>
                <w:b/>
                <w:bCs/>
                <w:vertAlign w:val="superscript"/>
              </w:rPr>
              <w:t xml:space="preserve">1</w:t>
            </w:r>
            <w:r>
              <w:rPr>
                <w:b/>
                <w:bCs/>
              </w:rPr>
              <w:t xml:space="preserve"> </w:t>
            </w:r>
            <w:r>
              <w:rPr>
                <w:b/>
                <w:bCs/>
              </w:rPr>
              <w:t xml:space="preserve">|</w:t>
            </w:r>
            <w:r>
              <w:rPr>
                <w:b/>
                <w:bCs/>
              </w:rPr>
              <w:t xml:space="preserve"> </w:t>
            </w:r>
            <w:r>
              <w:rPr>
                <w:b/>
                <w:bCs/>
              </w:rPr>
              <w:t xml:space="preserve">## Phase 1: Plann | ng, Strategy, and | isk Appetite Alig | ment |</w:t>
            </w:r>
            <w:r>
              <w:rPr>
                <w:b/>
                <w:bCs/>
              </w:rPr>
              <w:t xml:space="preserve"> </w:t>
            </w:r>
            <w:r>
              <w:rPr>
                <w:b/>
                <w:bCs/>
              </w:rPr>
              <w:t xml:space="preserve">fore any vendor i sessment of the o tivity supports  gnificantly disru cludes determinin sessing the poten eliminary conting stitution’s Board gh-risk or critic rangement fits wi | engaged, the inst tsourcing need. Th critical activitie t operations or ha the direct and in ial impact on inte ncy plan for servi of Directors is ty l activities, prov hin the organizati | tution must perfo s involves evalua "—those whose m customers.</w:t>
            </w:r>
            <w:r>
              <w:rPr>
                <w:b/>
                <w:bCs/>
                <w:vertAlign w:val="superscript"/>
              </w:rPr>
              <w:t xml:space="preserve">10</w:t>
            </w:r>
            <w:r>
              <w:rPr>
                <w:b/>
                <w:bCs/>
              </w:rPr>
              <w:t xml:space="preserve"> </w:t>
            </w:r>
            <w:r>
              <w:rPr>
                <w:b/>
                <w:bCs/>
              </w:rPr>
              <w:t xml:space="preserve">irect costs of th nal employees, an e transition.</w:t>
            </w:r>
            <w:r>
              <w:rPr>
                <w:b/>
                <w:bCs/>
                <w:vertAlign w:val="superscript"/>
              </w:rPr>
              <w:t xml:space="preserve">10</w:t>
            </w:r>
            <w:r>
              <w:rPr>
                <w:b/>
                <w:bCs/>
              </w:rPr>
              <w:t xml:space="preserve"> </w:t>
            </w:r>
            <w:r>
              <w:rPr>
                <w:b/>
                <w:bCs/>
              </w:rPr>
              <w:t xml:space="preserve">ically involved i ding oversight an n's stated risk | m a strategic ing whether the ailure would lanning relationship, developing a The this phase for ensuring the olerance.</w:t>
            </w:r>
            <w:r>
              <w:rPr>
                <w:b/>
                <w:bCs/>
                <w:vertAlign w:val="superscript"/>
              </w:rPr>
              <w:t xml:space="preserve">10</w:t>
            </w:r>
            <w:r>
              <w:rPr>
                <w:b/>
                <w:bCs/>
              </w:rPr>
              <w:t xml:space="preserve"> </w:t>
            </w:r>
            <w:r>
              <w:rPr>
                <w:b/>
                <w:bCs/>
              </w:rPr>
              <w:t xml:space="preserve">|</w:t>
            </w:r>
            <w:r>
              <w:rPr>
                <w:b/>
                <w:bCs/>
              </w:rPr>
              <w:t xml:space="preserve"> </w:t>
            </w:r>
            <w:r>
              <w:rPr>
                <w:b/>
                <w:bCs/>
              </w:rPr>
              <w:t xml:space="preserve">## Phase 2: Intak | , Inventory, and I | herent Risk Scopi | g |</w:t>
            </w:r>
            <w:r>
              <w:rPr>
                <w:b/>
                <w:bCs/>
              </w:rPr>
              <w:t xml:space="preserve"> </w:t>
            </w:r>
            <w:r>
              <w:rPr>
                <w:b/>
                <w:bCs/>
              </w:rPr>
              <w:t xml:space="preserve">e intake process entifies a potent ptures the vendor data to be share sk"—the risk p plied.</w:t>
            </w:r>
            <w:r>
              <w:rPr>
                <w:b/>
                <w:bCs/>
                <w:vertAlign w:val="superscript"/>
              </w:rPr>
              <w:t xml:space="preserve">30</w:t>
            </w:r>
            <w:r>
              <w:rPr>
                <w:b/>
                <w:bCs/>
              </w:rPr>
              <w:t xml:space="preserve"> </w:t>
            </w:r>
            <w:r>
              <w:rPr>
                <w:b/>
                <w:bCs/>
              </w:rPr>
              <w:t xml:space="preserve">| s the "front door al vendor, they mu s identity, the se .</w:t>
            </w:r>
            <w:r>
              <w:rPr>
                <w:b/>
                <w:bCs/>
                <w:vertAlign w:val="superscript"/>
              </w:rPr>
              <w:t xml:space="preserve">7</w:t>
            </w:r>
            <w:r>
              <w:rPr>
                <w:b/>
                <w:bCs/>
              </w:rPr>
              <w:t xml:space="preserve"> </w:t>
            </w:r>
            <w:r>
              <w:rPr>
                <w:b/>
                <w:bCs/>
              </w:rPr>
              <w:t xml:space="preserve">This data is sed by the relatio | ” of TPRM. When a t complete an int vice description, sed to calculate ship before any c | business unit ke form that and the types he "Inherent ntrols are |</w:t>
            </w:r>
            <w:r>
              <w:rPr>
                <w:b/>
                <w:bCs/>
              </w:rPr>
              <w:t xml:space="preserve"> </w:t>
            </w:r>
            <w:r>
              <w:rPr>
                <w:b/>
                <w:bCs/>
              </w:rPr>
              <w:t xml:space="preserve">ganizations use a itical dimensions | tiered logic to ca | egorize vendors b | sed on several |</w:t>
            </w:r>
            <w:r>
              <w:rPr>
                <w:b/>
                <w:bCs/>
              </w:rPr>
              <w:t xml:space="preserve"> </w:t>
            </w:r>
            <w:r>
              <w:t xml:space="preserve">Data Sensitivit Personal Informat (PII)?.</w:t>
            </w:r>
            <w:r>
              <w:rPr>
                <w:vertAlign w:val="superscript"/>
              </w:rPr>
              <w:t xml:space="preserve">3</w:t>
            </w:r>
            <w:r>
              <w:t xml:space="preserve"> </w:t>
            </w:r>
            <w:r>
              <w:t xml:space="preserve">| :** Does the vendo on (NPI) or Person | have access to N lly Identifiable | n-Public nformation |</w:t>
            </w:r>
            <w:r>
              <w:t xml:space="preserve"> </w:t>
            </w:r>
            <w:r>
              <w:rPr>
                <w:b/>
                <w:bCs/>
              </w:rPr>
              <w:t xml:space="preserve">Operational Cri would the bank's | icality:</w:t>
            </w:r>
            <w:r>
              <w:t xml:space="preserve"> </w:t>
            </w:r>
            <w:r>
              <w:t xml:space="preserve">If the core operations st | ervice were to fa p?.</w:t>
            </w:r>
            <w:r>
              <w:rPr>
                <w:vertAlign w:val="superscript"/>
              </w:rPr>
              <w:t xml:space="preserve">10</w:t>
            </w:r>
            <w:r>
              <w:t xml:space="preserve"> </w:t>
            </w:r>
            <w:r>
              <w:t xml:space="preserve">| l for 24 hours, |</w:t>
            </w:r>
            <w:r>
              <w:t xml:space="preserve"> </w:t>
            </w:r>
            <w:r>
              <w:rPr>
                <w:b/>
                <w:bCs/>
              </w:rPr>
              <w:t xml:space="preserve">Financial Impac potential cost of | :</w:t>
            </w:r>
            <w:r>
              <w:t xml:space="preserve"> </w:t>
            </w:r>
            <w:r>
              <w:t xml:space="preserve">What is the to a service failure? | al contract value</w:t>
            </w:r>
            <w:r>
              <w:t xml:space="preserve"> </w:t>
            </w:r>
            <w:r>
              <w:rPr>
                <w:vertAlign w:val="superscript"/>
              </w:rPr>
              <w:t xml:space="preserve">7</w:t>
            </w:r>
            <w:r>
              <w:t xml:space="preserve"> </w:t>
            </w:r>
            <w:r>
              <w:t xml:space="preserve">| and the |</w:t>
            </w:r>
            <w:r>
              <w:t xml:space="preserve"> </w:t>
            </w:r>
            <w:r>
              <w:rPr>
                <w:b/>
                <w:bCs/>
              </w:rPr>
              <w:t xml:space="preserve">Geographic Expo high-risk or sanc | ure:</w:t>
            </w:r>
            <w:r>
              <w:t xml:space="preserve"> </w:t>
            </w:r>
            <w:r>
              <w:t xml:space="preserve">Is the vend ioned regions?.</w:t>
            </w:r>
            <w:r>
              <w:rPr>
                <w:vertAlign w:val="superscript"/>
              </w:rPr>
              <w:t xml:space="preserve">5</w:t>
            </w:r>
            <w:r>
              <w:t xml:space="preserve"> </w:t>
            </w:r>
            <w:r>
              <w:t xml:space="preserve">| r or its data cen | ers located in |</w:t>
            </w:r>
            <w:r>
              <w:t xml:space="preserve"> </w:t>
            </w:r>
            <w:r>
              <w:t xml:space="preserve">## Phase 3: Due D | ligence and Compre | ensive Evaluation | |</w:t>
            </w:r>
            <w:r>
              <w:t xml:space="preserve"> </w:t>
            </w:r>
            <w:r>
              <w:t xml:space="preserve">e diligence in fi ckground check. I nancial, operatio rvices work, orga | ancial services is is a systematic i al, and technical izations specifica | far more rigorous quiry into the ve ealth.</w:t>
            </w:r>
            <w:r>
              <w:rPr>
                <w:vertAlign w:val="superscript"/>
              </w:rPr>
              <w:t xml:space="preserve">1</w:t>
            </w:r>
            <w:r>
              <w:t xml:space="preserve"> </w:t>
            </w:r>
            <w:r>
              <w:t xml:space="preserve">For tec ly look for: | than a simple dor's nology and |</w:t>
            </w:r>
            <w:r>
              <w:t xml:space="preserve"> </w:t>
            </w:r>
            <w:r>
              <w:rPr>
                <w:b/>
                <w:bCs/>
              </w:rPr>
              <w:t xml:space="preserve">Cybersecurity P management, and v | sture:</w:t>
            </w:r>
            <w:r>
              <w:t xml:space="preserve"> </w:t>
            </w:r>
            <w:r>
              <w:t xml:space="preserve">Evaluatio lnerability disclo | of endpoint prot ure programs.</w:t>
            </w:r>
            <w:r>
              <w:rPr>
                <w:vertAlign w:val="superscript"/>
              </w:rPr>
              <w:t xml:space="preserve">6</w:t>
            </w:r>
            <w:r>
              <w:t xml:space="preserve"> </w:t>
            </w:r>
            <w:r>
              <w:t xml:space="preserve">| ction, patch |</w:t>
            </w:r>
            <w:r>
              <w:t xml:space="preserve"> </w:t>
            </w:r>
            <w:r>
              <w:rPr>
                <w:b/>
                <w:bCs/>
              </w:rPr>
              <w:t xml:space="preserve">Financial Stabi Bradstreet report not at risk of ba | ity:</w:t>
            </w:r>
            <w:r>
              <w:t xml:space="preserve"> </w:t>
            </w:r>
            <w:r>
              <w:t xml:space="preserve">Review of a , and debt-to-equi kruptcy.</w:t>
            </w:r>
            <w:r>
              <w:rPr>
                <w:vertAlign w:val="superscript"/>
              </w:rPr>
              <w:t xml:space="preserve">3</w:t>
            </w:r>
            <w:r>
              <w:t xml:space="preserve"> </w:t>
            </w:r>
            <w:r>
              <w:t xml:space="preserve">| dited financial s y ratios to ensur | atements, Dun &amp; the vendor is |</w:t>
            </w:r>
            <w:r>
              <w:t xml:space="preserve"> </w:t>
            </w:r>
            <w:r>
              <w:rPr>
                <w:b/>
                <w:bCs/>
              </w:rPr>
              <w:t xml:space="preserve">Business Contin Recovery Time Obj alongside evidenc | ity and Disaster R ctives (RTO) and R of recent BCDR te | covery (BCDR):</w:t>
            </w:r>
            <w:r>
              <w:t xml:space="preserve"> </w:t>
            </w:r>
            <w:r>
              <w:t xml:space="preserve">covery Point Obje ting.</w:t>
            </w:r>
            <w:r>
              <w:rPr>
                <w:vertAlign w:val="superscript"/>
              </w:rPr>
              <w:t xml:space="preserve">3</w:t>
            </w:r>
            <w:r>
              <w:t xml:space="preserve"> </w:t>
            </w:r>
            <w:r>
              <w:t xml:space="preserve">| erification of tives (RPO), |</w:t>
            </w:r>
            <w:r>
              <w:t xml:space="preserve"> </w:t>
            </w:r>
            <w:r>
              <w:rPr>
                <w:b/>
                <w:bCs/>
              </w:rPr>
              <w:t xml:space="preserve">Compliance Hist proceedings, or a labor violations. | ry:</w:t>
            </w:r>
            <w:r>
              <w:t xml:space="preserve"> </w:t>
            </w:r>
            <w:r>
              <w:t xml:space="preserve">Searching fo verse media relate 3^ | past regulatory to ethics, bribe | ines, legal y (FCPA), or |</w:t>
            </w:r>
            <w:r>
              <w:t xml:space="preserve"> </w:t>
            </w:r>
            <w:r>
              <w:t xml:space="preserve">## Phase 4: Contr | ct Negotiation and | Control Integrati | n |</w:t>
            </w:r>
            <w:r>
              <w:t xml:space="preserve"> </w:t>
            </w:r>
            <w:r>
              <w:t xml:space="preserve">ce due diligence ntract. If gaps w ckups—the contr ndates these fixe nancial sector ar quired by regulat ese include manda sidency requireme lationship for " ilures.</w:t>
            </w:r>
            <w:r>
              <w:rPr>
                <w:vertAlign w:val="superscript"/>
              </w:rPr>
              <w:t xml:space="preserve">3</w:t>
            </w:r>
            <w:r>
              <w:t xml:space="preserve"> </w:t>
            </w:r>
            <w:r>
              <w:t xml:space="preserve">| s complete, the fi re identified—su ct must include a before the servic increasingly stan ons like DORA or t ory breach notific ts, and the right onvenience" or fo | dings must be int h as a lack of en “Remediation Sche goes live.</w:t>
            </w:r>
            <w:r>
              <w:rPr>
                <w:vertAlign w:val="superscript"/>
              </w:rPr>
              <w:t xml:space="preserve">1</w:t>
            </w:r>
            <w:r>
              <w:t xml:space="preserve"> </w:t>
            </w:r>
            <w:r>
              <w:t xml:space="preserve">Co ardized to includ e 2023 Interagenc tion timelines, s or the bank to te "cause" relate | grated into the ryption on ule" that tracts in the clauses Guidance.</w:t>
            </w:r>
            <w:r>
              <w:rPr>
                <w:vertAlign w:val="superscript"/>
              </w:rPr>
              <w:t xml:space="preserve">4</w:t>
            </w:r>
            <w:r>
              <w:t xml:space="preserve"> </w:t>
            </w:r>
            <w:r>
              <w:t xml:space="preserve">ecific data minate the to security |</w:t>
            </w:r>
            <w:r>
              <w:t xml:space="preserve"> </w:t>
            </w:r>
            <w:r>
              <w:t xml:space="preserve">## Phase 5: Onboa | ding and Service I | plementation | |</w:t>
            </w:r>
            <w:r>
              <w:t xml:space="preserve"> </w:t>
            </w:r>
            <w:r>
              <w:t xml:space="preserve">boarding is the o volves setting up e vendor is grant stems.</w:t>
            </w:r>
            <w:r>
              <w:rPr>
                <w:vertAlign w:val="superscript"/>
              </w:rPr>
              <w:t xml:space="preserve">3</w:t>
            </w:r>
            <w:r>
              <w:t xml:space="preserve"> </w:t>
            </w:r>
            <w:r>
              <w:t xml:space="preserve">For tec N tunnels or API age also includes curity policies a | erationalization o Identity and Acces d "least-privileg nology services, t ntegrations that a training for vendo d code of conduct. | the contract. Th Management (IAM) " access to the is includes estab e continuously mo personnel on the 18^ | s phase controls, where ank's ishing secure itored.</w:t>
            </w:r>
            <w:r>
              <w:rPr>
                <w:vertAlign w:val="superscript"/>
              </w:rPr>
              <w:t xml:space="preserve">7</w:t>
            </w:r>
            <w:r>
              <w:t xml:space="preserve"> </w:t>
            </w:r>
            <w:r>
              <w:t xml:space="preserve">This bank's |</w:t>
            </w:r>
            <w:r>
              <w:t xml:space="preserve"> </w:t>
            </w:r>
            <w:r>
              <w:t xml:space="preserve">## Phase 6: Conti | uous Monitoring an | Real-Time Survei | lance |</w:t>
            </w:r>
            <w:r>
              <w:t xml:space="preserve"> </w:t>
            </w:r>
            <w:r>
              <w:t xml:space="preserve">ture TPRM program ntinuous monitori ack: | have abandoned th g.</w:t>
            </w:r>
            <w:r>
              <w:rPr>
                <w:vertAlign w:val="superscript"/>
              </w:rPr>
              <w:t xml:space="preserve">1</w:t>
            </w:r>
            <w:r>
              <w:t xml:space="preserve"> </w:t>
            </w:r>
            <w:r>
              <w:t xml:space="preserve">Using automa | "annual review ed platforms, org | in favor of nizations |</w:t>
            </w:r>
            <w:r>
              <w:t xml:space="preserve"> </w:t>
            </w:r>
            <w:r>
              <w:rPr>
                <w:b/>
                <w:bCs/>
              </w:rPr>
              <w:t xml:space="preserve">Security Rating SecurityScorecard posture.</w:t>
            </w:r>
            <w:r>
              <w:rPr>
                <w:b/>
                <w:bCs/>
                <w:vertAlign w:val="superscript"/>
              </w:rPr>
              <w:t xml:space="preserve">1</w:t>
            </w:r>
            <w:r>
              <w:rPr>
                <w:b/>
                <w:bCs/>
              </w:rPr>
              <w:t xml:space="preserve"> </w:t>
            </w:r>
            <w:r>
              <w:rPr>
                <w:b/>
                <w:bCs/>
              </w:rPr>
              <w:t xml:space="preserve">| :</w:t>
            </w:r>
            <w:r>
              <w:t xml:space="preserve"> </w:t>
            </w:r>
            <w:r>
              <w:t xml:space="preserve">Real-time scor that reflect the v | s from providers ndor's external | ike BitSight or ecurity |</w:t>
            </w:r>
            <w:r>
              <w:t xml:space="preserve"> </w:t>
            </w:r>
            <w:r>
              <w:rPr>
                <w:b/>
                <w:bCs/>
              </w:rPr>
              <w:t xml:space="preserve">Adverse Media a watchlists to det | d Sanctions:</w:t>
            </w:r>
            <w:r>
              <w:t xml:space="preserve"> </w:t>
            </w:r>
            <w:r>
              <w:t xml:space="preserve">Con ct emerging reputa | tant scanning of ional or legal ri | ews and global ks.</w:t>
            </w:r>
            <w:r>
              <w:rPr>
                <w:vertAlign w:val="superscript"/>
              </w:rPr>
              <w:t xml:space="preserve">1</w:t>
            </w:r>
            <w:r>
              <w:t xml:space="preserve"> </w:t>
            </w:r>
            <w:r>
              <w:t xml:space="preserve">|</w:t>
            </w:r>
            <w:r>
              <w:t xml:space="preserve"> </w:t>
            </w:r>
            <w:r>
              <w:rPr>
                <w:b/>
                <w:bCs/>
              </w:rPr>
              <w:t xml:space="preserve">SLA Performance responsiveness, a benchmarks.</w:t>
            </w:r>
            <w:r>
              <w:rPr>
                <w:b/>
                <w:bCs/>
                <w:vertAlign w:val="superscript"/>
              </w:rPr>
              <w:t xml:space="preserve">11</w:t>
            </w:r>
            <w:r>
              <w:rPr>
                <w:b/>
                <w:bCs/>
              </w:rPr>
              <w:t xml:space="preserve"> </w:t>
            </w:r>
            <w:r>
              <w:rPr>
                <w:b/>
                <w:bCs/>
              </w:rPr>
              <w:t xml:space="preserve">|</w:t>
            </w:r>
            <w:r>
              <w:rPr>
                <w:b/>
                <w:bCs/>
              </w:rPr>
              <w:t xml:space="preserve"> </w:t>
            </w:r>
            <w:r>
              <w:t xml:space="preserve"> </w:t>
            </w:r>
            <w:r>
              <w:t xml:space="preserve">Automated dashb d service quality | ards that track u gainst contractua | time, |</w:t>
            </w:r>
            <w:r>
              <w:t xml:space="preserve"> </w:t>
            </w:r>
            <w:r>
              <w:t xml:space="preserve">## Phase 7: Issue | Resolution and Rem | diation Protocols | |</w:t>
            </w:r>
            <w:r>
              <w:t xml:space="preserve"> </w:t>
            </w:r>
            <w:r>
              <w:t xml:space="preserve">en an issue is id dit—it must be | ntified—whether esolved through a | hrough monitoring tructured protoco | or a formal .</w:t>
            </w:r>
            <w:r>
              <w:rPr>
                <w:vertAlign w:val="superscript"/>
              </w:rPr>
              <w:t xml:space="preserve">6</w:t>
            </w:r>
            <w:r>
              <w:t xml:space="preserve"> </w:t>
            </w:r>
            <w:r>
              <w:t xml:space="preserve">|</w:t>
            </w:r>
            <w:r>
              <w:t xml:space="preserve"> </w:t>
            </w:r>
            <w:r>
              <w:rPr>
                <w:b/>
                <w:bCs/>
              </w:rPr>
              <w:t xml:space="preserve">Initial Intake system and assign vendor.</w:t>
            </w:r>
            <w:r>
              <w:rPr>
                <w:b/>
                <w:bCs/>
                <w:vertAlign w:val="superscript"/>
              </w:rPr>
              <w:t xml:space="preserve">13</w:t>
            </w:r>
            <w:r>
              <w:rPr>
                <w:b/>
                <w:bCs/>
              </w:rPr>
              <w:t xml:space="preserve"> </w:t>
            </w:r>
            <w:r>
              <w:rPr>
                <w:b/>
                <w:bCs/>
              </w:rPr>
              <w:t xml:space="preserve">| nd Assignment:</w:t>
            </w:r>
            <w:r>
              <w:t xml:space="preserve"> </w:t>
            </w:r>
            <w:r>
              <w:t xml:space="preserve">T d to a remediation | e issue is logged owner at both the | in the GRC bank and the |</w:t>
            </w:r>
            <w:r>
              <w:t xml:space="preserve"> </w:t>
            </w:r>
            <w:r>
              <w:rPr>
                <w:b/>
                <w:bCs/>
              </w:rPr>
              <w:t xml:space="preserve">Severity Rating immediate action) resolution), or L |</w:t>
            </w:r>
            <w:r>
              <w:rPr>
                <w:b/>
                <w:bCs/>
              </w:rPr>
              <w:t xml:space="preserve"> </w:t>
            </w:r>
            <w:r>
              <w:t xml:space="preserve"> </w:t>
            </w:r>
            <w:r>
              <w:t xml:space="preserve">Issues are cate High (30-day reso w (tracked for nex | orized as Critica ution), Medium (9 review).</w:t>
            </w:r>
            <w:r>
              <w:rPr>
                <w:vertAlign w:val="superscript"/>
              </w:rPr>
              <w:t xml:space="preserve">13</w:t>
            </w:r>
            <w:r>
              <w:t xml:space="preserve"> </w:t>
            </w:r>
            <w:r>
              <w:t xml:space="preserve">| (requires -day |</w:t>
            </w:r>
            <w:r>
              <w:t xml:space="preserve"> </w:t>
            </w:r>
            <w:r>
              <w:rPr>
                <w:b/>
                <w:bCs/>
              </w:rPr>
              <w:t xml:space="preserve">Verification of that the gap is c policy document.^ | Evidence:</w:t>
            </w:r>
            <w:r>
              <w:t xml:space="preserve"> </w:t>
            </w:r>
            <w:r>
              <w:t xml:space="preserve">The ve osed, such as a co ^ | dor must provide figuration log or | erifiable proof an updated |</w:t>
            </w:r>
            <w:r>
              <w:t xml:space="preserve"> </w:t>
            </w:r>
            <w:r>
              <w:rPr>
                <w:b/>
                <w:bCs/>
              </w:rPr>
              <w:t xml:space="preserve">Escalation and issue, the risk m executive, with d | isk Acceptance:</w:t>
            </w:r>
            <w:r>
              <w:t xml:space="preserve"> </w:t>
            </w:r>
            <w:r>
              <w:t xml:space="preserve">st be formally "a cumented compensat | f the vendor cann cepted" by a hig ng controls.</w:t>
            </w:r>
            <w:r>
              <w:rPr>
                <w:vertAlign w:val="superscript"/>
              </w:rPr>
              <w:t xml:space="preserve">13</w:t>
            </w:r>
            <w:r>
              <w:t xml:space="preserve"> </w:t>
            </w:r>
            <w:r>
              <w:t xml:space="preserve">| t fix the -level |</w:t>
            </w:r>
            <w:r>
              <w:t xml:space="preserve"> </w:t>
            </w:r>
            <w:r>
              <w:t xml:space="preserve">## Phase 8: Renew | l, Termination, an | Secure Offboardi | g |</w:t>
            </w:r>
            <w:r>
              <w:t xml:space="preserve"> </w:t>
            </w:r>
            <w:r>
              <w:t xml:space="preserve">the end of a con sed on the vendor rminating, a rigo sidual risk remai d logical access, e settlement of f ecklists are sign | ract, the organiza s performance and ous offboarding pr s.</w:t>
            </w:r>
            <w:r>
              <w:rPr>
                <w:vertAlign w:val="superscript"/>
              </w:rPr>
              <w:t xml:space="preserve">1</w:t>
            </w:r>
            <w:r>
              <w:t xml:space="preserve"> </w:t>
            </w:r>
            <w:r>
              <w:t xml:space="preserve">This include the return or cert nal financial obli d.</w:t>
            </w:r>
            <w:r>
              <w:rPr>
                <w:vertAlign w:val="superscript"/>
              </w:rPr>
              <w:t xml:space="preserve">1</w:t>
            </w:r>
            <w:r>
              <w:t xml:space="preserve"> </w:t>
            </w:r>
            <w:r>
              <w:t xml:space="preserve">| ion must decide w urrent risk profi cess is required the revocation o fied destruction ations only after | ether to renew e.</w:t>
            </w:r>
            <w:r>
              <w:rPr>
                <w:vertAlign w:val="superscript"/>
              </w:rPr>
              <w:t xml:space="preserve">11</w:t>
            </w:r>
            <w:r>
              <w:t xml:space="preserve"> </w:t>
            </w:r>
            <w:r>
              <w:t xml:space="preserve">If o ensure no all physical f all data, and security |</w:t>
            </w:r>
            <w:r>
              <w:t xml:space="preserve"> </w:t>
            </w:r>
            <w:r>
              <w:t xml:space="preserve"># Criteria for Su | cess and Failure: | he Evaluator's P | rspective |</w:t>
            </w:r>
            <w:r>
              <w:t xml:space="preserve"> </w:t>
            </w:r>
            <w:r>
              <w:t xml:space="preserve">at are organizati chnology provider ving a "clean" oactive risk mana | ns specifically lo Success in the TP udit; it's about ement and transpar | king for when the M process is not emonstrating a cu ncy.</w:t>
            </w:r>
            <w:r>
              <w:rPr>
                <w:vertAlign w:val="superscript"/>
              </w:rPr>
              <w:t xml:space="preserve">3</w:t>
            </w:r>
            <w:r>
              <w:t xml:space="preserve"> </w:t>
            </w:r>
            <w:r>
              <w:t xml:space="preserve">| evaluate a ust about ture of |</w:t>
            </w:r>
            <w:r>
              <w:t xml:space="preserve"> </w:t>
            </w:r>
            <w:r>
              <w:t xml:space="preserve">## Typical Criter | a for Success | | |</w:t>
            </w:r>
            <w:r>
              <w:t xml:space="preserve"> </w:t>
            </w:r>
            <w:r>
              <w:rPr>
                <w:b/>
                <w:bCs/>
              </w:rPr>
              <w:t xml:space="preserve">Verifiable Cert reports with no s certifications.^3 | fications:</w:t>
            </w:r>
            <w:r>
              <w:t xml:space="preserve"> </w:t>
            </w:r>
            <w:r>
              <w:t xml:space="preserve">Posse gnificant exceptio | sion of recent SO s and ISO 27001 | 2 Type II |</w:t>
            </w:r>
            <w:r>
              <w:t xml:space="preserve"> </w:t>
            </w:r>
            <w:r>
              <w:rPr>
                <w:b/>
                <w:bCs/>
              </w:rPr>
              <w:t xml:space="preserve">Transparency in where the bank’s parties have acce | Data Lineage:</w:t>
            </w:r>
            <w:r>
              <w:t xml:space="preserve"> </w:t>
            </w:r>
            <w:r>
              <w:t xml:space="preserve">Th ata is stored, how s to it.</w:t>
            </w:r>
            <w:r>
              <w:rPr>
                <w:vertAlign w:val="superscript"/>
              </w:rPr>
              <w:t xml:space="preserve">6</w:t>
            </w:r>
            <w:r>
              <w:t xml:space="preserve"> </w:t>
            </w:r>
            <w:r>
              <w:t xml:space="preserve">| ability to clear it is isolated, a | y articulate d which fourth |</w:t>
            </w:r>
            <w:r>
              <w:t xml:space="preserve"> </w:t>
            </w:r>
            <w:r>
              <w:rPr>
                <w:b/>
                <w:bCs/>
              </w:rPr>
              <w:t xml:space="preserve">Proven Resilien robust Incident R | e:</w:t>
            </w:r>
            <w:r>
              <w:t xml:space="preserve"> </w:t>
            </w:r>
            <w:r>
              <w:t xml:space="preserve">Evidence of s sponse plan that h | ccessful failover s been recently e | testing and a ercised.</w:t>
            </w:r>
            <w:r>
              <w:rPr>
                <w:vertAlign w:val="superscript"/>
              </w:rPr>
              <w:t xml:space="preserve">1</w:t>
            </w:r>
            <w:r>
              <w:t xml:space="preserve"> </w:t>
            </w:r>
            <w:r>
              <w:t xml:space="preserve">|</w:t>
            </w:r>
            <w:r>
              <w:t xml:space="preserve"> </w:t>
            </w:r>
            <w:r>
              <w:rPr>
                <w:b/>
                <w:bCs/>
              </w:rPr>
              <w:t xml:space="preserve">Financial Healt will remain a sta | :</w:t>
            </w:r>
            <w:r>
              <w:t xml:space="preserve"> </w:t>
            </w:r>
            <w:r>
              <w:t xml:space="preserve">A strong balan le partner for the | e sheet that sugg duration of the c | sts the vendor ntract.</w:t>
            </w:r>
            <w:r>
              <w:rPr>
                <w:vertAlign w:val="superscript"/>
              </w:rPr>
              <w:t xml:space="preserve">32</w:t>
            </w:r>
            <w:r>
              <w:t xml:space="preserve"> </w:t>
            </w:r>
            <w:r>
              <w:t xml:space="preserve">|</w:t>
            </w:r>
            <w:r>
              <w:t xml:space="preserve"> </w:t>
            </w:r>
            <w:r>
              <w:t xml:space="preserve">## Typical Criter | a for Failure (The | "No-Go" Decisio | s) |</w:t>
            </w:r>
            <w:r>
              <w:t xml:space="preserve"> </w:t>
            </w:r>
            <w:r>
              <w:rPr>
                <w:b/>
                <w:bCs/>
              </w:rPr>
              <w:t xml:space="preserve">Lack of MFA or security hygiene access.</w:t>
            </w:r>
            <w:r>
              <w:rPr>
                <w:b/>
                <w:bCs/>
                <w:vertAlign w:val="superscript"/>
              </w:rPr>
              <w:t xml:space="preserve">6</w:t>
            </w:r>
            <w:r>
              <w:rPr>
                <w:b/>
                <w:bCs/>
              </w:rPr>
              <w:t xml:space="preserve"> </w:t>
            </w:r>
            <w:r>
              <w:rPr>
                <w:b/>
                <w:bCs/>
              </w:rPr>
              <w:t xml:space="preserve">| ritical Security G ike Multi-Factor A | ps:</w:t>
            </w:r>
            <w:r>
              <w:t xml:space="preserve"> </w:t>
            </w:r>
            <w:r>
              <w:t xml:space="preserve">Refusal to thentication for | mplement basic ensitive |</w:t>
            </w:r>
            <w:r>
              <w:t xml:space="preserve"> </w:t>
            </w:r>
            <w:r>
              <w:rPr>
                <w:b/>
                <w:bCs/>
              </w:rPr>
              <w:t xml:space="preserve">Opaque Supply C or provide visibi practices.</w:t>
            </w:r>
            <w:r>
              <w:rPr>
                <w:b/>
                <w:bCs/>
                <w:vertAlign w:val="superscript"/>
              </w:rPr>
              <w:t xml:space="preserve">11</w:t>
            </w:r>
            <w:r>
              <w:rPr>
                <w:b/>
                <w:bCs/>
              </w:rPr>
              <w:t xml:space="preserve"> </w:t>
            </w:r>
            <w:r>
              <w:rPr>
                <w:b/>
                <w:bCs/>
              </w:rPr>
              <w:t xml:space="preserve">| ain:</w:t>
            </w:r>
            <w:r>
              <w:t xml:space="preserve"> </w:t>
            </w:r>
            <w:r>
              <w:t xml:space="preserve">Inability t ity into the vendo | provide a list o ’s own risk manag | subcontractors ment |</w:t>
            </w:r>
            <w:r>
              <w:t xml:space="preserve"> </w:t>
            </w:r>
            <w:r>
              <w:rPr>
                <w:b/>
                <w:bCs/>
              </w:rPr>
              <w:t xml:space="preserve">Poor Regulatory mandates, such as for European oper | Alignment:</w:t>
            </w:r>
            <w:r>
              <w:t xml:space="preserve"> </w:t>
            </w:r>
            <w:r>
              <w:t xml:space="preserve">Failu the inability to p tions.</w:t>
            </w:r>
            <w:r>
              <w:rPr>
                <w:vertAlign w:val="superscript"/>
              </w:rPr>
              <w:t xml:space="preserve">4</w:t>
            </w:r>
            <w:r>
              <w:t xml:space="preserve"> </w:t>
            </w:r>
            <w:r>
              <w:t xml:space="preserve">| e to meet specifi ovide DORA-compli | industry nt reporting |</w:t>
            </w:r>
            <w:r>
              <w:t xml:space="preserve"> </w:t>
            </w:r>
            <w:r>
              <w:rPr>
                <w:b/>
                <w:bCs/>
              </w:rPr>
              <w:t xml:space="preserve">Unresolved High vulnerabilities o assessments.</w:t>
            </w:r>
            <w:r>
              <w:rPr>
                <w:b/>
                <w:bCs/>
                <w:vertAlign w:val="superscript"/>
              </w:rPr>
              <w:t xml:space="preserve">1</w:t>
            </w:r>
            <w:r>
              <w:rPr>
                <w:b/>
                <w:bCs/>
              </w:rPr>
              <w:t xml:space="preserve"> </w:t>
            </w:r>
            <w:r>
              <w:rPr>
                <w:b/>
                <w:bCs/>
              </w:rPr>
              <w:t xml:space="preserve">| Risk Findings:</w:t>
            </w:r>
            <w:r>
              <w:t xml:space="preserve"> </w:t>
            </w:r>
            <w:r>
              <w:t xml:space="preserve">A failing to close | history of ignori indings from prev | g security ous |</w:t>
            </w:r>
            <w:r>
              <w:t xml:space="preserve"> </w:t>
            </w:r>
            <w:r>
              <w:t xml:space="preserve"># Industry Standa | ds and Published F | ameworks | |</w:t>
            </w:r>
            <w:r>
              <w:t xml:space="preserve"> </w:t>
            </w:r>
            <w:r>
              <w:t xml:space="preserve">e financial servi rmalize risk conv andards provide a | es sector relies o rsations across th common language fo | a hierarchy of s usands of vendors evaluation and c | andards to These mpliance.</w:t>
            </w:r>
            <w:r>
              <w:rPr>
                <w:vertAlign w:val="superscript"/>
              </w:rPr>
              <w:t xml:space="preserve">4</w:t>
            </w:r>
            <w:r>
              <w:t xml:space="preserve"> </w:t>
            </w:r>
            <w:r>
              <w:t xml:space="preserve">|</w:t>
            </w:r>
            <w:r>
              <w:t xml:space="preserve"> </w:t>
            </w:r>
            <w:r>
              <w:t xml:space="preserve">## Broad Cybersec | rity and Operation | l Standards | |</w:t>
            </w:r>
            <w:r>
              <w:t xml:space="preserve"> </w:t>
            </w:r>
            <w:r>
              <w:rPr>
                <w:b/>
                <w:bCs/>
              </w:rPr>
              <w:t xml:space="preserve">NIST Cybersecur Identify, Protect function, which i | ty Framework (CSF) Detect, Respond, central to TPRM.^ | v2.0:</w:t>
            </w:r>
            <w:r>
              <w:t xml:space="preserve"> </w:t>
            </w:r>
            <w:r>
              <w:t xml:space="preserve">Organized ecover, and the n ^ | around w "Govern" |</w:t>
            </w:r>
            <w:r>
              <w:t xml:space="preserve"> </w:t>
            </w:r>
            <w:r>
              <w:rPr>
                <w:b/>
                <w:bCs/>
              </w:rPr>
              <w:t xml:space="preserve">ISO/IEC 27001 a management system | d 27036:</w:t>
            </w:r>
            <w:r>
              <w:t xml:space="preserve"> </w:t>
            </w:r>
            <w:r>
              <w:t xml:space="preserve">Global and security for | tandards for info upplier relations | mation security ips.</w:t>
            </w:r>
            <w:r>
              <w:rPr>
                <w:vertAlign w:val="superscript"/>
              </w:rPr>
              <w:t xml:space="preserve">4</w:t>
            </w:r>
            <w:r>
              <w:t xml:space="preserve"> </w:t>
            </w:r>
            <w:r>
              <w:t xml:space="preserve">|</w:t>
            </w:r>
            <w:r>
              <w:t xml:space="preserve"> </w:t>
            </w:r>
            <w:r>
              <w:rPr>
                <w:b/>
                <w:bCs/>
              </w:rPr>
              <w:t xml:space="preserve">SOC 2 (System a reports, which pr were not just des | d Organization Con vide independent a gned but were effe | rols):</w:t>
            </w:r>
            <w:r>
              <w:t xml:space="preserve"> </w:t>
            </w:r>
            <w:r>
              <w:t xml:space="preserve">Particul surance that secu tive over a testi | rly Type II ity controls g period.</w:t>
            </w:r>
            <w:r>
              <w:rPr>
                <w:vertAlign w:val="superscript"/>
              </w:rPr>
              <w:t xml:space="preserve">3</w:t>
            </w:r>
            <w:r>
              <w:t xml:space="preserve"> </w:t>
            </w:r>
            <w:r>
              <w:t xml:space="preserve">|</w:t>
            </w:r>
            <w:r>
              <w:t xml:space="preserve"> </w:t>
            </w:r>
            <w:r>
              <w:t xml:space="preserve">## Financial Sect | r-Specific Mandate | | |</w:t>
            </w:r>
            <w:r>
              <w:t xml:space="preserve"> </w:t>
            </w:r>
            <w:r>
              <w:rPr>
                <w:b/>
                <w:bCs/>
              </w:rPr>
              <w:t xml:space="preserve">OCC Bulletin 20 primary US regula | 3-29 and the 2023 ory pillars for ba | nteragency Guidan k-third party rel | e:</w:t>
            </w:r>
            <w:r>
              <w:t xml:space="preserve"> </w:t>
            </w:r>
            <w:r>
              <w:t xml:space="preserve">The tionships.</w:t>
            </w:r>
            <w:r>
              <w:rPr>
                <w:vertAlign w:val="superscript"/>
              </w:rPr>
              <w:t xml:space="preserve">14</w:t>
            </w:r>
            <w:r>
              <w:t xml:space="preserve"> </w:t>
            </w:r>
            <w:r>
              <w:t xml:space="preserve">|</w:t>
            </w:r>
            <w:r>
              <w:t xml:space="preserve"> </w:t>
            </w:r>
            <w:r>
              <w:rPr>
                <w:b/>
                <w:bCs/>
              </w:rPr>
              <w:t xml:space="preserve">DORA (Digital O mandates strict I testing for finan providers.</w:t>
            </w:r>
            <w:r>
              <w:rPr>
                <w:b/>
                <w:bCs/>
                <w:vertAlign w:val="superscript"/>
              </w:rPr>
              <w:t xml:space="preserve">4</w:t>
            </w:r>
            <w:r>
              <w:rPr>
                <w:b/>
                <w:bCs/>
              </w:rPr>
              <w:t xml:space="preserve"> </w:t>
            </w:r>
            <w:r>
              <w:rPr>
                <w:b/>
                <w:bCs/>
              </w:rPr>
              <w:t xml:space="preserve">| erational Resilien risk management, ial institutions a | e Act):</w:t>
            </w:r>
            <w:r>
              <w:t xml:space="preserve"> </w:t>
            </w:r>
            <w:r>
              <w:t xml:space="preserve">An EU r ncident reporting d their critical | gulation that and digital CT |</w:t>
            </w:r>
            <w:r>
              <w:t xml:space="preserve"> </w:t>
            </w:r>
            <w:r>
              <w:rPr>
                <w:b/>
                <w:bCs/>
              </w:rPr>
              <w:t xml:space="preserve">FFIEC Cybersecu evaluate the matu third-party overs | ity Assessment Too ity of a bank’s se ght.</w:t>
            </w:r>
            <w:r>
              <w:rPr>
                <w:b/>
                <w:bCs/>
                <w:vertAlign w:val="superscript"/>
              </w:rPr>
              <w:t xml:space="preserve">5</w:t>
            </w:r>
            <w:r>
              <w:rPr>
                <w:b/>
                <w:bCs/>
              </w:rPr>
              <w:t xml:space="preserve"> </w:t>
            </w:r>
            <w:r>
              <w:rPr>
                <w:b/>
                <w:bCs/>
              </w:rPr>
              <w:t xml:space="preserve">| :</w:t>
            </w:r>
            <w:r>
              <w:t xml:space="preserve"> </w:t>
            </w:r>
            <w:r>
              <w:t xml:space="preserve">Used by US re urity program, in | ulators to luding its |</w:t>
            </w:r>
            <w:r>
              <w:t xml:space="preserve"> </w:t>
            </w:r>
            <w:r>
              <w:t xml:space="preserve">## Standardized Q | estionnaires and T | olkits | |</w:t>
            </w:r>
            <w:r>
              <w:t xml:space="preserve"> </w:t>
            </w:r>
            <w:r>
              <w:rPr>
                <w:b/>
                <w:bCs/>
              </w:rPr>
              <w:t xml:space="preserve">SIG (Standardiz Assessments, this assess vendors ac | d Information Gath is the most common oss multiple risk | ring):</w:t>
            </w:r>
            <w:r>
              <w:t xml:space="preserve"> </w:t>
            </w:r>
            <w:r>
              <w:t xml:space="preserve">Publishe questionnaire use omains.</w:t>
            </w:r>
            <w:r>
              <w:rPr>
                <w:vertAlign w:val="superscript"/>
              </w:rPr>
              <w:t xml:space="preserve">1</w:t>
            </w:r>
            <w:r>
              <w:t xml:space="preserve"> </w:t>
            </w:r>
            <w:r>
              <w:t xml:space="preserve">| by Shared by banks to |</w:t>
            </w:r>
            <w:r>
              <w:t xml:space="preserve"> </w:t>
            </w:r>
            <w:r>
              <w:rPr>
                <w:b/>
                <w:bCs/>
              </w:rPr>
              <w:t xml:space="preserve">CAIQ (Consensus by the Cloud Secu providers.</w:t>
            </w:r>
            <w:r>
              <w:rPr>
                <w:b/>
                <w:bCs/>
                <w:vertAlign w:val="superscript"/>
              </w:rPr>
              <w:t xml:space="preserve">4</w:t>
            </w:r>
            <w:r>
              <w:rPr>
                <w:b/>
                <w:bCs/>
              </w:rPr>
              <w:t xml:space="preserve"> </w:t>
            </w:r>
            <w:r>
              <w:rPr>
                <w:b/>
                <w:bCs/>
              </w:rPr>
              <w:t xml:space="preserve">| Assessments Initia ity Alliance (CSA) | ive Questionnaire specifically for | :</w:t>
            </w:r>
            <w:r>
              <w:t xml:space="preserve"> </w:t>
            </w:r>
            <w:r>
              <w:t xml:space="preserve">Developed loud |</w:t>
            </w:r>
            <w:r>
              <w:t xml:space="preserve"> </w:t>
            </w:r>
            <w:r>
              <w:t xml:space="preserve">HECVAT: A too in specialized re | kit for higher edu earch or fintech p | ation that is occ rtnerships.</w:t>
            </w:r>
            <w:r>
              <w:rPr>
                <w:vertAlign w:val="superscript"/>
              </w:rPr>
              <w:t xml:space="preserve">4</w:t>
            </w:r>
            <w:r>
              <w:t xml:space="preserve"> </w:t>
            </w:r>
            <w:r>
              <w:t xml:space="preserve">| sionally used |</w:t>
            </w:r>
            <w:r>
              <w:t xml:space="preserve"> </w:t>
            </w:r>
            <w:r>
              <w:t xml:space="preserve"># Reimagining TPR | : Acceleration Thr | ugh Systems and A | Agents |</w:t>
            </w:r>
            <w:r>
              <w:t xml:space="preserve"> </w:t>
            </w:r>
            <w:r>
              <w:t xml:space="preserve">aditional TPRM is retching from thr volves shifting f telligence".</w:t>
            </w:r>
            <w:r>
              <w:rPr>
                <w:vertAlign w:val="superscript"/>
              </w:rPr>
              <w:t xml:space="preserve">16</w:t>
            </w:r>
            <w:r>
              <w:t xml:space="preserve"> </w:t>
            </w:r>
            <w:r>
              <w:t xml:space="preserve">| often a "velocity e to six months.^3 om "checkbox comp | killer," with on ^ Reimagining thi iance" to "auto | oarding cycles process ated |</w:t>
            </w:r>
            <w:r>
              <w:t xml:space="preserve"> </w:t>
            </w:r>
            <w:r>
              <w:t xml:space="preserve">## The Role of Tr | st Centers in Acce | erating Onboardin | |</w:t>
            </w:r>
            <w:r>
              <w:t xml:space="preserve"> </w:t>
            </w:r>
            <w:r>
              <w:t xml:space="preserve">stead of the trad estionnaires, ven a real-time port cumentation, live | tional "send and ors are adopting * l where a vendor p control monitoring | eceive" model fo Trust Centers</w:t>
            </w:r>
            <w:r>
              <w:rPr>
                <w:b/>
                <w:bCs/>
              </w:rPr>
              <w:t xml:space="preserve">. oactively shares and audit report | Trust Center ts security .</w:t>
            </w:r>
            <w:r>
              <w:rPr>
                <w:b/>
                <w:bCs/>
                <w:vertAlign w:val="superscript"/>
              </w:rPr>
              <w:t xml:space="preserve">12</w:t>
            </w:r>
            <w:r>
              <w:rPr>
                <w:b/>
                <w:bCs/>
              </w:rPr>
              <w:t xml:space="preserve"> </w:t>
            </w:r>
            <w:r>
              <w:rPr>
                <w:b/>
                <w:bCs/>
              </w:rPr>
              <w:t xml:space="preserve">|</w:t>
            </w:r>
            <w:r>
              <w:rPr>
                <w:b/>
                <w:bCs/>
              </w:rPr>
              <w:t xml:space="preserve"> </w:t>
            </w:r>
            <w:r>
              <w:t xml:space="preserve">Self-Service Du reports and certi signed.</w:t>
            </w:r>
            <w:r>
              <w:rPr>
                <w:vertAlign w:val="superscript"/>
              </w:rPr>
              <w:t xml:space="preserve">12</w:t>
            </w:r>
            <w:r>
              <w:t xml:space="preserve"> </w:t>
            </w:r>
            <w:r>
              <w:t xml:space="preserve">| Diligence:** Pros ications instantly | ective buyers can after an automate | access SOC 2 NDA is |</w:t>
            </w:r>
            <w:r>
              <w:t xml:space="preserve"> </w:t>
            </w:r>
            <w:r>
              <w:rPr>
                <w:b/>
                <w:bCs/>
              </w:rPr>
              <w:t xml:space="preserve">Real-Time Postu Center can show t now</w:t>
            </w:r>
            <w:r>
              <w:rPr>
                <w:b/>
                <w:bCs/>
                <w:i/>
                <w:iCs/>
              </w:rPr>
              <w:t xml:space="preserve">.</w:t>
            </w:r>
            <w:r>
              <w:rPr>
                <w:b/>
                <w:bCs/>
                <w:i/>
                <w:iCs/>
                <w:vertAlign w:val="superscript"/>
              </w:rPr>
              <w:t xml:space="preserve">36</w:t>
            </w:r>
            <w:r>
              <w:rPr>
                <w:b/>
                <w:bCs/>
                <w:i/>
                <w:iCs/>
              </w:rPr>
              <w:t xml:space="preserve"> </w:t>
            </w:r>
            <w:r>
              <w:rPr>
                <w:b/>
                <w:bCs/>
                <w:i/>
                <w:iCs/>
              </w:rPr>
              <w:t xml:space="preserve">| e:</w:t>
            </w:r>
            <w:r>
              <w:rPr>
                <w:b/>
                <w:b/>
                <w:bCs/>
                <w:bCs/>
                <w:i/>
                <w:iCs/>
              </w:rPr>
              <w:t xml:space="preserve"> </w:t>
            </w:r>
            <w:r>
              <w:rPr>
                <w:b/>
                <w:b/>
                <w:bCs/>
                <w:bCs/>
                <w:i/>
                <w:iCs/>
              </w:rPr>
              <w:t xml:space="preserve">Unlike a stat at MFA is active a | c annual question d patching is up- | aire, a Trust o-date</w:t>
            </w:r>
            <w:r>
              <w:rPr>
                <w:b/>
                <w:b/>
                <w:bCs/>
                <w:bCs/>
                <w:i/>
                <w:iCs/>
              </w:rPr>
              <w:t xml:space="preserve"> </w:t>
            </w:r>
            <w:r>
              <w:rPr>
                <w:b/>
                <w:b/>
                <w:bCs/>
                <w:bCs/>
                <w:i/>
                <w:i/>
                <w:iCs/>
                <w:iCs/>
              </w:rPr>
              <w:t xml:space="preserve">right |</w:t>
            </w:r>
            <w:r>
              <w:rPr>
                <w:b/>
                <w:b/>
                <w:bCs/>
                <w:bCs/>
                <w:i/>
                <w:i/>
                <w:iCs/>
                <w:iCs/>
              </w:rPr>
              <w:t xml:space="preserve"> </w:t>
            </w:r>
            <w:r>
              <w:rPr>
                <w:b/>
                <w:b/>
                <w:bCs/>
                <w:bCs/>
                <w:i/>
                <w:i/>
                <w:iCs/>
                <w:iCs/>
              </w:rPr>
              <w:t xml:space="preserve">## Agentic TPRM: | he New Workforce | | |</w:t>
            </w:r>
            <w:r>
              <w:rPr>
                <w:b/>
                <w:b/>
                <w:bCs/>
                <w:bCs/>
                <w:i/>
                <w:i/>
                <w:iCs/>
                <w:iCs/>
              </w:rPr>
              <w:t xml:space="preserve"> </w:t>
            </w:r>
            <w:r>
              <w:rPr>
                <w:b/>
                <w:b/>
                <w:bCs/>
                <w:bCs/>
                <w:i/>
                <w:i/>
                <w:iCs/>
                <w:iCs/>
              </w:rPr>
              <w:t xml:space="preserve">e most significan ndle the manual b | shift in TPRM is rden of document r | he deployment of view and risk sco |</w:t>
            </w:r>
            <w:r>
              <w:rPr>
                <w:b/>
                <w:b/>
                <w:bCs/>
                <w:bCs/>
                <w:i/>
                <w:i/>
                <w:iCs/>
                <w:iCs/>
              </w:rPr>
              <w:t xml:space="preserve"> </w:t>
            </w:r>
            <w:r>
              <w:rPr>
                <w:b/>
                <w:b/>
                <w:bCs/>
                <w:bCs/>
                <w:i/>
                <w:iCs/>
              </w:rPr>
              <w:t xml:space="preserve">AI Agents</w:t>
            </w:r>
            <w:r>
              <w:rPr>
                <w:b/>
                <w:bCs/>
                <w:i/>
                <w:iCs/>
              </w:rPr>
              <w:t xml:space="preserve"> </w:t>
            </w:r>
            <w:r>
              <w:rPr>
                <w:b/>
                <w:bCs/>
                <w:i/>
                <w:iCs/>
              </w:rPr>
              <w:t xml:space="preserve">to ing.</w:t>
            </w:r>
            <w:r>
              <w:rPr>
                <w:b/>
                <w:bCs/>
                <w:i/>
                <w:iCs/>
                <w:vertAlign w:val="superscript"/>
              </w:rPr>
              <w:t xml:space="preserve">43</w:t>
            </w:r>
            <w:r>
              <w:rPr>
                <w:b/>
                <w:bCs/>
                <w:i/>
                <w:iCs/>
              </w:rPr>
              <w:t xml:space="preserve"> </w:t>
            </w:r>
            <w:r>
              <w:rPr>
                <w:b/>
                <w:bCs/>
                <w:i/>
                <w:iCs/>
              </w:rPr>
              <w:t xml:space="preserve">|</w:t>
            </w:r>
            <w:r>
              <w:rPr>
                <w:b/>
                <w:bCs/>
                <w:i/>
                <w:iCs/>
              </w:rPr>
              <w:t xml:space="preserve"> </w:t>
            </w:r>
            <w:r>
              <w:rPr>
                <w:b/>
                <w:b/>
                <w:bCs/>
                <w:bCs/>
                <w:i/>
                <w:iCs/>
              </w:rPr>
              <w:t xml:space="preserve">Document Ingest Processing (NLP) They don't just identify failed c internal standard | on Agents:</w:t>
            </w:r>
            <w:r>
              <w:rPr>
                <w:b/>
                <w:bCs/>
                <w:i/>
                <w:iCs/>
              </w:rPr>
              <w:t xml:space="preserve"> </w:t>
            </w:r>
            <w:r>
              <w:rPr>
                <w:b/>
                <w:bCs/>
                <w:i/>
                <w:iCs/>
              </w:rPr>
              <w:t xml:space="preserve">These o read 100-page SO ummarize; they ext ntrols, and cross- .</w:t>
            </w:r>
            <w:r>
              <w:rPr>
                <w:b/>
                <w:bCs/>
                <w:i/>
                <w:iCs/>
                <w:vertAlign w:val="superscript"/>
              </w:rPr>
              <w:t xml:space="preserve">43</w:t>
            </w:r>
            <w:r>
              <w:rPr>
                <w:b/>
                <w:bCs/>
                <w:i/>
                <w:iCs/>
              </w:rPr>
              <w:t xml:space="preserve"> </w:t>
            </w:r>
            <w:r>
              <w:rPr>
                <w:b/>
                <w:bCs/>
                <w:i/>
                <w:iCs/>
              </w:rPr>
              <w:t xml:space="preserve">| agents use Natura 2 reports or pen act specific data eference them aga | Language tration tests. points, nst the bank’s |</w:t>
            </w:r>
            <w:r>
              <w:rPr>
                <w:b/>
                <w:bCs/>
                <w:i/>
                <w:iCs/>
              </w:rPr>
              <w:t xml:space="preserve"> </w:t>
            </w:r>
            <w:r>
              <w:rPr>
                <w:b/>
                <w:b/>
                <w:bCs/>
                <w:bCs/>
                <w:i/>
                <w:iCs/>
              </w:rPr>
              <w:t xml:space="preserve">Smart Response security question previous response fatigue".</w:t>
            </w:r>
            <w:r>
              <w:rPr>
                <w:b/>
                <w:b/>
                <w:bCs/>
                <w:bCs/>
                <w:i/>
                <w:iCs/>
                <w:vertAlign w:val="superscript"/>
              </w:rPr>
              <w:t xml:space="preserve">36</w:t>
            </w:r>
            <w:r>
              <w:rPr>
                <w:b/>
                <w:b/>
                <w:bCs/>
                <w:bCs/>
                <w:i/>
                <w:iCs/>
              </w:rPr>
              <w:t xml:space="preserve"> </w:t>
            </w:r>
            <w:r>
              <w:rPr>
                <w:b/>
                <w:b/>
                <w:bCs/>
                <w:bCs/>
                <w:i/>
                <w:iCs/>
              </w:rPr>
              <w:t xml:space="preserve">| gents:</w:t>
            </w:r>
            <w:r>
              <w:rPr>
                <w:b/>
                <w:bCs/>
                <w:i/>
                <w:iCs/>
              </w:rPr>
              <w:t xml:space="preserve"> </w:t>
            </w:r>
            <w:r>
              <w:rPr>
                <w:b/>
                <w:bCs/>
                <w:i/>
                <w:iCs/>
              </w:rPr>
              <w:t xml:space="preserve">For vendo aires by pulling a and internal poli | s, AI agents can swers from a know ies, reducing "q | re-fill edge base of estionnaire |</w:t>
            </w:r>
            <w:r>
              <w:rPr>
                <w:b/>
                <w:bCs/>
                <w:i/>
                <w:iCs/>
              </w:rPr>
              <w:t xml:space="preserve"> </w:t>
            </w:r>
            <w:r>
              <w:rPr>
                <w:b/>
                <w:b/>
                <w:bCs/>
                <w:bCs/>
                <w:i/>
                <w:iCs/>
              </w:rPr>
              <w:t xml:space="preserve">Risk Scoring Ag calculate a vendo intelligence or f | nts:</w:t>
            </w:r>
            <w:r>
              <w:rPr>
                <w:b/>
                <w:bCs/>
                <w:i/>
                <w:iCs/>
              </w:rPr>
              <w:t xml:space="preserve"> </w:t>
            </w:r>
            <w:r>
              <w:rPr>
                <w:b/>
                <w:bCs/>
                <w:i/>
                <w:iCs/>
              </w:rPr>
              <w:t xml:space="preserve">These agent 's risk score in nancial data becom | apply weighted f eal-time, adaptin s available.</w:t>
            </w:r>
            <w:r>
              <w:rPr>
                <w:b/>
                <w:bCs/>
                <w:i/>
                <w:iCs/>
                <w:vertAlign w:val="superscript"/>
              </w:rPr>
              <w:t xml:space="preserve">50</w:t>
            </w:r>
            <w:r>
              <w:rPr>
                <w:b/>
                <w:bCs/>
                <w:i/>
                <w:iCs/>
              </w:rPr>
              <w:t xml:space="preserve"> </w:t>
            </w:r>
            <w:r>
              <w:rPr>
                <w:b/>
                <w:bCs/>
                <w:i/>
                <w:iCs/>
              </w:rPr>
              <w:t xml:space="preserve">| rmulas to as new threat |</w:t>
            </w:r>
            <w:r>
              <w:rPr>
                <w:b/>
                <w:bCs/>
                <w:i/>
                <w:iCs/>
              </w:rPr>
              <w:t xml:space="preserve"> </w:t>
            </w:r>
            <w:r>
              <w:rPr>
                <w:b/>
                <w:bCs/>
                <w:i/>
                <w:iCs/>
              </w:rPr>
              <w:t xml:space="preserve">—————– Capability | —————— Traditional Method | —————–</w:t>
            </w:r>
            <w:r>
              <w:rPr>
                <w:b/>
                <w:bCs/>
                <w:i/>
                <w:iCs/>
              </w:rPr>
              <w:t xml:space="preserve"> </w:t>
            </w:r>
            <w:r>
              <w:rPr>
                <w:b/>
                <w:bCs/>
              </w:rPr>
              <w:t xml:space="preserve">Reimagined gentic Method</w:t>
            </w:r>
            <w:r>
              <w:t xml:space="preserve"> </w:t>
            </w:r>
            <w:r>
              <w:t xml:space="preserve">| —————- *Acceleration mpact** |</w:t>
            </w:r>
          </w:p>
        </w:tc>
      </w:tr>
      <w:tr>
        <w:tc>
          <w:tcPr/>
          <w:p>
            <w:pPr>
              <w:pStyle w:val="Compact"/>
              <w:jc w:val="left"/>
            </w:pPr>
            <w:r>
              <w:rPr>
                <w:b/>
                <w:bCs/>
              </w:rPr>
              <w:t xml:space="preserve">SOC 2 Manual review AI Agent Parsing 17x faster.</w:t>
            </w:r>
            <w:r>
              <w:rPr>
                <w:b/>
                <w:bCs/>
                <w:vertAlign w:val="superscript"/>
              </w:rPr>
              <w:t xml:space="preserve">43</w:t>
            </w:r>
            <w:r>
              <w:rPr>
                <w:b/>
                <w:bCs/>
              </w:rPr>
              <w:t xml:space="preserve"> </w:t>
            </w:r>
            <w:r>
              <w:rPr>
                <w:b/>
                <w:bCs/>
              </w:rPr>
              <w:t xml:space="preserve">Analysis</w:t>
            </w:r>
            <w:r>
              <w:t xml:space="preserve"> </w:t>
            </w:r>
            <w:r>
              <w:t xml:space="preserve">(35-60 mins). (2 mins).</w:t>
            </w:r>
          </w:p>
        </w:tc>
      </w:tr>
      <w:tr>
        <w:tc>
          <w:tcPr/>
          <w:p>
            <w:pPr>
              <w:pStyle w:val="Compact"/>
              <w:jc w:val="left"/>
            </w:pPr>
            <w:r>
              <w:rPr>
                <w:b/>
                <w:bCs/>
              </w:rPr>
              <w:t xml:space="preserve">Risk Scoring</w:t>
            </w:r>
            <w:r>
              <w:t xml:space="preserve"> </w:t>
            </w:r>
            <w:r>
              <w:t xml:space="preserve">Spreadsheet Real-time Dynamic</w:t>
            </w:r>
            <w:r>
              <w:t xml:space="preserve"> </w:t>
            </w:r>
            <w:r>
              <w:t xml:space="preserve">formula Weighted LLM resilience.</w:t>
            </w:r>
            <w:r>
              <w:rPr>
                <w:vertAlign w:val="superscript"/>
              </w:rPr>
              <w:t xml:space="preserve">53</w:t>
            </w:r>
            <w:r>
              <w:t xml:space="preserve"> </w:t>
            </w:r>
            <w:r>
              <w:t xml:space="preserve">(monthly). (instant).</w:t>
            </w:r>
          </w:p>
        </w:tc>
      </w:tr>
      <w:tr>
        <w:tc>
          <w:tcPr/>
          <w:p>
            <w:pPr>
              <w:pStyle w:val="Compact"/>
              <w:jc w:val="left"/>
            </w:pPr>
            <w:r>
              <w:rPr>
                <w:b/>
                <w:bCs/>
              </w:rPr>
              <w:t xml:space="preserve">Questionnaire Manual entry AI Auto-fill 80%</w:t>
            </w:r>
            <w:r>
              <w:rPr>
                <w:b/>
                <w:bCs/>
              </w:rPr>
              <w:t xml:space="preserve"> </w:t>
            </w:r>
            <w:r>
              <w:rPr>
                <w:b/>
                <w:bCs/>
              </w:rPr>
              <w:t xml:space="preserve">Prep</w:t>
            </w:r>
            <w:r>
              <w:t xml:space="preserve"> </w:t>
            </w:r>
            <w:r>
              <w:t xml:space="preserve">(weeks). (hours). automation.</w:t>
            </w:r>
            <w:r>
              <w:rPr>
                <w:vertAlign w:val="superscript"/>
              </w:rPr>
              <w:t xml:space="preserve">36</w:t>
            </w:r>
          </w:p>
        </w:tc>
      </w:tr>
      <w:tr>
        <w:tc>
          <w:tcPr/>
          <w:p>
            <w:pPr>
              <w:pStyle w:val="Compact"/>
              <w:jc w:val="left"/>
            </w:pPr>
            <w:r>
              <w:rPr>
                <w:b/>
                <w:bCs/>
              </w:rPr>
              <w:t xml:space="preserve">Nth Party Self-reported Automated 5 tiers deep.</w:t>
            </w:r>
            <w:r>
              <w:rPr>
                <w:b/>
                <w:bCs/>
                <w:vertAlign w:val="superscript"/>
              </w:rPr>
              <w:t xml:space="preserve">16</w:t>
            </w:r>
            <w:r>
              <w:rPr>
                <w:b/>
                <w:bCs/>
              </w:rPr>
              <w:t xml:space="preserve"> </w:t>
            </w:r>
            <w:r>
              <w:rPr>
                <w:b/>
                <w:bCs/>
              </w:rPr>
              <w:t xml:space="preserve">Mapping</w:t>
            </w:r>
            <w:r>
              <w:t xml:space="preserve"> </w:t>
            </w:r>
            <w:r>
              <w:t xml:space="preserve">lists. Trade/OSINT Data.</w:t>
            </w:r>
          </w:p>
        </w:tc>
      </w:tr>
    </w:tbl>
    <w:bookmarkEnd w:id="84"/>
    <w:bookmarkStart w:id="85" w:name="X2de601003e7848277ff9a7bb422bd56dd376e4b"/>
    <w:p>
      <w:pPr>
        <w:pStyle w:val="Heading4"/>
      </w:pPr>
      <w:r>
        <w:t xml:space="preserve">Systems Architecture for Accelerated TPRM</w:t>
      </w:r>
    </w:p>
    <w:p>
      <w:pPr>
        <w:pStyle w:val="FirstParagraph"/>
      </w:pPr>
      <w:r>
        <w:t xml:space="preserve">A reimagined TPRM program is wrapped in a "Platform-of-Platforms"</w:t>
      </w:r>
      <w:r>
        <w:t xml:space="preserve"> </w:t>
      </w:r>
      <w:r>
        <w:t xml:space="preserve">architecture.</w:t>
      </w:r>
      <w:r>
        <w:rPr>
          <w:vertAlign w:val="superscript"/>
        </w:rPr>
        <w:t xml:space="preserve">8</w:t>
      </w:r>
    </w:p>
    <w:p>
      <w:pPr>
        <w:numPr>
          <w:ilvl w:val="0"/>
          <w:numId w:val="1022"/>
        </w:numPr>
      </w:pPr>
      <w:r>
        <w:rPr>
          <w:b/>
          <w:bCs/>
        </w:rPr>
        <w:t xml:space="preserve">Core GRC/IRM:</w:t>
      </w:r>
      <w:r>
        <w:t xml:space="preserve"> </w:t>
      </w:r>
      <w:r>
        <w:t xml:space="preserve">The central system of record (e.g., ProcessUnity,</w:t>
      </w:r>
      <w:r>
        <w:t xml:space="preserve"> </w:t>
      </w:r>
      <w:r>
        <w:t xml:space="preserve">OneTrust, Aravo) that houses the vendor inventory and risk tiers.</w:t>
      </w:r>
      <w:r>
        <w:rPr>
          <w:vertAlign w:val="superscript"/>
        </w:rPr>
        <w:t xml:space="preserve">9</w:t>
      </w:r>
    </w:p>
    <w:p>
      <w:pPr>
        <w:numPr>
          <w:ilvl w:val="0"/>
          <w:numId w:val="1022"/>
        </w:numPr>
      </w:pPr>
      <w:r>
        <w:rPr>
          <w:b/>
          <w:bCs/>
        </w:rPr>
        <w:t xml:space="preserve">AI Agent Foundry:</w:t>
      </w:r>
      <w:r>
        <w:t xml:space="preserve"> </w:t>
      </w:r>
      <w:r>
        <w:t xml:space="preserve">A layer where specialized agents for SOC review,</w:t>
      </w:r>
      <w:r>
        <w:t xml:space="preserve"> </w:t>
      </w:r>
      <w:r>
        <w:t xml:space="preserve">financial analysis, and AI governance reside, integrated via API into</w:t>
      </w:r>
      <w:r>
        <w:t xml:space="preserve"> </w:t>
      </w:r>
      <w:r>
        <w:t xml:space="preserve">the GRC.</w:t>
      </w:r>
      <w:r>
        <w:rPr>
          <w:vertAlign w:val="superscript"/>
        </w:rPr>
        <w:t xml:space="preserve">43</w:t>
      </w:r>
    </w:p>
    <w:p>
      <w:pPr>
        <w:numPr>
          <w:ilvl w:val="0"/>
          <w:numId w:val="1022"/>
        </w:numPr>
      </w:pPr>
      <w:r>
        <w:rPr>
          <w:b/>
          <w:bCs/>
        </w:rPr>
        <w:t xml:space="preserve">External Intelligence Feeds:</w:t>
      </w:r>
      <w:r>
        <w:t xml:space="preserve"> </w:t>
      </w:r>
      <w:r>
        <w:t xml:space="preserve">Real-time data from cybersecurity</w:t>
      </w:r>
      <w:r>
        <w:t xml:space="preserve"> </w:t>
      </w:r>
      <w:r>
        <w:t xml:space="preserve">ratings (BitSight), financial health (RapidRatings), and OSINT</w:t>
      </w:r>
      <w:r>
        <w:t xml:space="preserve"> </w:t>
      </w:r>
      <w:r>
        <w:t xml:space="preserve">investigative platforms (Neotas, SignalX).</w:t>
      </w:r>
      <w:r>
        <w:rPr>
          <w:vertAlign w:val="superscript"/>
        </w:rPr>
        <w:t xml:space="preserve">3</w:t>
      </w:r>
    </w:p>
    <w:p>
      <w:pPr>
        <w:numPr>
          <w:ilvl w:val="0"/>
          <w:numId w:val="1022"/>
        </w:numPr>
      </w:pPr>
      <w:r>
        <w:rPr>
          <w:b/>
          <w:bCs/>
        </w:rPr>
        <w:t xml:space="preserve">Collaboration Layer:</w:t>
      </w:r>
      <w:r>
        <w:t xml:space="preserve"> </w:t>
      </w:r>
      <w:r>
        <w:t xml:space="preserve">Integrated Slack or Microsoft Teams workflows</w:t>
      </w:r>
      <w:r>
        <w:t xml:space="preserve"> </w:t>
      </w:r>
      <w:r>
        <w:t xml:space="preserve">that alert stakeholders to critical findings or automated remediation</w:t>
      </w:r>
      <w:r>
        <w:t xml:space="preserve"> </w:t>
      </w:r>
      <w:r>
        <w:t xml:space="preserve">tasks.</w:t>
      </w:r>
      <w:r>
        <w:rPr>
          <w:vertAlign w:val="superscript"/>
        </w:rPr>
        <w:t xml:space="preserve">9</w:t>
      </w:r>
    </w:p>
    <w:bookmarkEnd w:id="85"/>
    <w:bookmarkEnd w:id="86"/>
    <w:bookmarkStart w:id="88" w:name="Xc0a6a950916ef212361b90946ca0e21fb026438"/>
    <w:p>
      <w:pPr>
        <w:pStyle w:val="Heading3"/>
      </w:pPr>
      <w:r>
        <w:t xml:space="preserve">The Future of Deep Research and Grounded Truth in TPRM</w:t>
      </w:r>
    </w:p>
    <w:p>
      <w:pPr>
        <w:pStyle w:val="FirstParagraph"/>
      </w:pPr>
      <w:r>
        <w:t xml:space="preserve">To eliminate "blind spots," organizations are moving beyond</w:t>
      </w:r>
      <w:r>
        <w:t xml:space="preserve"> </w:t>
      </w:r>
      <w:r>
        <w:t xml:space="preserve">self-reported data to</w:t>
      </w:r>
      <w:r>
        <w:t xml:space="preserve"> </w:t>
      </w:r>
      <w:r>
        <w:rPr>
          <w:b/>
          <w:bCs/>
        </w:rPr>
        <w:t xml:space="preserve">Deep Research Intelligence</w:t>
      </w:r>
      <w:r>
        <w:t xml:space="preserve">.</w:t>
      </w:r>
      <w:r>
        <w:rPr>
          <w:vertAlign w:val="superscript"/>
        </w:rPr>
        <w:t xml:space="preserve">16</w:t>
      </w:r>
      <w:r>
        <w:t xml:space="preserve"> </w:t>
      </w:r>
      <w:r>
        <w:t xml:space="preserve">This involves</w:t>
      </w:r>
      <w:r>
        <w:t xml:space="preserve"> </w:t>
      </w:r>
      <w:r>
        <w:t xml:space="preserve">using AI to synthesize millions of unstructured data points—global</w:t>
      </w:r>
      <w:r>
        <w:t xml:space="preserve"> </w:t>
      </w:r>
      <w:r>
        <w:t xml:space="preserve">trade data, shipping manifests, local-language legal blogs, and even</w:t>
      </w:r>
      <w:r>
        <w:t xml:space="preserve"> </w:t>
      </w:r>
      <w:r>
        <w:t xml:space="preserve">satellite imagery—to uncover hidden threats.</w:t>
      </w:r>
      <w:r>
        <w:rPr>
          <w:vertAlign w:val="superscript"/>
        </w:rPr>
        <w:t xml:space="preserve">16</w:t>
      </w:r>
    </w:p>
    <w:p>
      <w:pPr>
        <w:numPr>
          <w:ilvl w:val="0"/>
          <w:numId w:val="1023"/>
        </w:numPr>
      </w:pPr>
      <w:r>
        <w:rPr>
          <w:b/>
          <w:bCs/>
        </w:rPr>
        <w:t xml:space="preserve">Predictive Disruption:</w:t>
      </w:r>
      <w:r>
        <w:t xml:space="preserve"> </w:t>
      </w:r>
      <w:r>
        <w:t xml:space="preserve">AI models can now predict supply chain</w:t>
      </w:r>
      <w:r>
        <w:t xml:space="preserve"> </w:t>
      </w:r>
      <w:r>
        <w:t xml:space="preserve">failures based on indicators like port congestion, local labor</w:t>
      </w:r>
      <w:r>
        <w:t xml:space="preserve"> </w:t>
      </w:r>
      <w:r>
        <w:t xml:space="preserve">disputes, or weather anomalies near a key vendor's data center.</w:t>
      </w:r>
      <w:r>
        <w:rPr>
          <w:vertAlign w:val="superscript"/>
        </w:rPr>
        <w:t xml:space="preserve">16</w:t>
      </w:r>
    </w:p>
    <w:p>
      <w:pPr>
        <w:numPr>
          <w:ilvl w:val="0"/>
          <w:numId w:val="1023"/>
        </w:numPr>
      </w:pPr>
      <w:r>
        <w:rPr>
          <w:b/>
          <w:bCs/>
        </w:rPr>
        <w:t xml:space="preserve">Behavioral OSINT:</w:t>
      </w:r>
      <w:r>
        <w:t xml:space="preserve"> </w:t>
      </w:r>
      <w:r>
        <w:t xml:space="preserve">Analyzing the digital footprint of a vendor’s</w:t>
      </w:r>
      <w:r>
        <w:t xml:space="preserve"> </w:t>
      </w:r>
      <w:r>
        <w:t xml:space="preserve">leadership or the sentiment of its employees to detect internal fraud</w:t>
      </w:r>
      <w:r>
        <w:t xml:space="preserve"> </w:t>
      </w:r>
      <w:r>
        <w:t xml:space="preserve">or a decline in security culture before it manifests as a breach.</w:t>
      </w:r>
      <w:r>
        <w:rPr>
          <w:vertAlign w:val="superscript"/>
        </w:rPr>
        <w:t xml:space="preserve">42</w:t>
      </w:r>
    </w:p>
    <w:bookmarkStart w:id="87" w:name="Xfbafdd270ab889c6b89e16b5a6c2bc50426ed7b"/>
    <w:p>
      <w:pPr>
        <w:pStyle w:val="Heading4"/>
      </w:pPr>
      <w:r>
        <w:t xml:space="preserve">Implementing Best Practices for Strategic Acceleration</w:t>
      </w:r>
    </w:p>
    <w:p>
      <w:pPr>
        <w:numPr>
          <w:ilvl w:val="0"/>
          <w:numId w:val="1024"/>
        </w:numPr>
      </w:pPr>
      <w:r>
        <w:rPr>
          <w:b/>
          <w:bCs/>
        </w:rPr>
        <w:t xml:space="preserve">Tier the Engagement, Not Just the Entity:</w:t>
      </w:r>
      <w:r>
        <w:t xml:space="preserve"> </w:t>
      </w:r>
      <w:r>
        <w:t xml:space="preserve">Apply different levels</w:t>
      </w:r>
      <w:r>
        <w:t xml:space="preserve"> </w:t>
      </w:r>
      <w:r>
        <w:t xml:space="preserve">of due diligence based on the specific service provided, allowing</w:t>
      </w:r>
      <w:r>
        <w:t xml:space="preserve"> </w:t>
      </w:r>
      <w:r>
        <w:t xml:space="preserve">low-risk vendors to be onboarded in days rather than months.</w:t>
      </w:r>
      <w:r>
        <w:rPr>
          <w:vertAlign w:val="superscript"/>
        </w:rPr>
        <w:t xml:space="preserve">17</w:t>
      </w:r>
    </w:p>
    <w:p>
      <w:pPr>
        <w:numPr>
          <w:ilvl w:val="0"/>
          <w:numId w:val="1024"/>
        </w:numPr>
      </w:pPr>
      <w:r>
        <w:rPr>
          <w:b/>
          <w:bCs/>
        </w:rPr>
        <w:t xml:space="preserve">Harmonize Standards:</w:t>
      </w:r>
      <w:r>
        <w:t xml:space="preserve"> </w:t>
      </w:r>
      <w:r>
        <w:t xml:space="preserve">Map internal controls to universal</w:t>
      </w:r>
      <w:r>
        <w:t xml:space="preserve"> </w:t>
      </w:r>
      <w:r>
        <w:t xml:space="preserve">frameworks (NIST, SIG) so vendors can provide evidence once to</w:t>
      </w:r>
      <w:r>
        <w:t xml:space="preserve"> </w:t>
      </w:r>
      <w:r>
        <w:t xml:space="preserve">satisfy multiple stakeholders.</w:t>
      </w:r>
      <w:r>
        <w:rPr>
          <w:vertAlign w:val="superscript"/>
        </w:rPr>
        <w:t xml:space="preserve">1</w:t>
      </w:r>
    </w:p>
    <w:p>
      <w:pPr>
        <w:numPr>
          <w:ilvl w:val="0"/>
          <w:numId w:val="1024"/>
        </w:numPr>
      </w:pPr>
      <w:r>
        <w:rPr>
          <w:b/>
          <w:bCs/>
        </w:rPr>
        <w:t xml:space="preserve">Embed Remediation into the Workflow:</w:t>
      </w:r>
      <w:r>
        <w:t xml:space="preserve"> </w:t>
      </w:r>
      <w:r>
        <w:t xml:space="preserve">Don't treat security gaps</w:t>
      </w:r>
      <w:r>
        <w:t xml:space="preserve"> </w:t>
      </w:r>
      <w:r>
        <w:t xml:space="preserve">as blockers; treat them as collaborative projects with clear</w:t>
      </w:r>
      <w:r>
        <w:t xml:space="preserve"> </w:t>
      </w:r>
      <w:r>
        <w:t xml:space="preserve">timelines and automated follow-ups.</w:t>
      </w:r>
      <w:r>
        <w:rPr>
          <w:vertAlign w:val="superscript"/>
        </w:rPr>
        <w:t xml:space="preserve">6</w:t>
      </w:r>
    </w:p>
    <w:p>
      <w:pPr>
        <w:numPr>
          <w:ilvl w:val="0"/>
          <w:numId w:val="1024"/>
        </w:numPr>
      </w:pPr>
      <w:r>
        <w:rPr>
          <w:b/>
          <w:bCs/>
        </w:rPr>
        <w:t xml:space="preserve">Board-Level Visibility:</w:t>
      </w:r>
      <w:r>
        <w:t xml:space="preserve"> </w:t>
      </w:r>
      <w:r>
        <w:t xml:space="preserve">Use automated dashboards to give</w:t>
      </w:r>
      <w:r>
        <w:t xml:space="preserve"> </w:t>
      </w:r>
      <w:r>
        <w:t xml:space="preserve">executive leadership a "portfolio view" of third-party risk,</w:t>
      </w:r>
      <w:r>
        <w:t xml:space="preserve"> </w:t>
      </w:r>
      <w:r>
        <w:t xml:space="preserve">highlighting concentration risks and remediation progress.</w:t>
      </w:r>
      <w:r>
        <w:rPr>
          <w:vertAlign w:val="superscript"/>
        </w:rPr>
        <w:t xml:space="preserve">1</w:t>
      </w:r>
    </w:p>
    <w:p>
      <w:pPr>
        <w:pStyle w:val="FirstParagraph"/>
      </w:pPr>
      <w:r>
        <w:t xml:space="preserve">The evolution of TPRM in financial services is a transition from a</w:t>
      </w:r>
      <w:r>
        <w:t xml:space="preserve"> </w:t>
      </w:r>
      <w:r>
        <w:t xml:space="preserve">reactive "paper problem" to a proactive "data problem." By</w:t>
      </w:r>
      <w:r>
        <w:t xml:space="preserve"> </w:t>
      </w:r>
      <w:r>
        <w:t xml:space="preserve">leveraging AI agents, Trust Centers, and deep research intelligence,</w:t>
      </w:r>
      <w:r>
        <w:t xml:space="preserve"> </w:t>
      </w:r>
      <w:r>
        <w:t xml:space="preserve">organizations can transform their third-party ecosystem from a source of</w:t>
      </w:r>
      <w:r>
        <w:t xml:space="preserve"> </w:t>
      </w:r>
      <w:r>
        <w:t xml:space="preserve">vulnerability into a strategic asset for resilience and growth.</w:t>
      </w:r>
      <w:r>
        <w:rPr>
          <w:vertAlign w:val="superscript"/>
        </w:rPr>
        <w:t xml:space="preserve">2</w:t>
      </w:r>
    </w:p>
    <w:bookmarkEnd w:id="87"/>
    <w:bookmarkEnd w:id="88"/>
    <w:bookmarkEnd w:id="89"/>
    <w:bookmarkStart w:id="94" w:name="X50811dbcba6dbfee3f84ed811a1ad8cb124723b"/>
    <w:p>
      <w:pPr>
        <w:pStyle w:val="Heading2"/>
      </w:pPr>
      <w:r>
        <w:t xml:space="preserve">15. Reimagining TPRM: Managed Agentic Model (TPRMaaS)</w:t>
      </w:r>
    </w:p>
    <w:p>
      <w:pPr>
        <w:pStyle w:val="FirstParagraph"/>
      </w:pPr>
      <w:r>
        <w:t xml:space="preserve">The future of TPRM lies in a "Managed Agentic" model where Business</w:t>
      </w:r>
      <w:r>
        <w:t xml:space="preserve"> </w:t>
      </w:r>
      <w:r>
        <w:t xml:space="preserve">Process Management (BPM) provides the structural rigidity and AI Agent</w:t>
      </w:r>
      <w:r>
        <w:t xml:space="preserve"> </w:t>
      </w:r>
      <w:r>
        <w:t xml:space="preserve">Swarms provide the cognitive velocity. In this service model, clients</w:t>
      </w:r>
      <w:r>
        <w:t xml:space="preserve"> </w:t>
      </w:r>
      <w:r>
        <w:t xml:space="preserve">provide their internal policies and compliance standards, which are then</w:t>
      </w:r>
      <w:r>
        <w:t xml:space="preserve"> </w:t>
      </w:r>
      <w:r>
        <w:t xml:space="preserve">used to program an autonomous workforce to test vendor evidence in</w:t>
      </w:r>
      <w:r>
        <w:t xml:space="preserve"> </w:t>
      </w:r>
      <w:r>
        <w:t xml:space="preserve">real-time.</w:t>
      </w:r>
    </w:p>
    <w:bookmarkStart w:id="90" w:name="X479a0d1c224f9d436657b3cb49ba0d508407d93"/>
    <w:p>
      <w:pPr>
        <w:pStyle w:val="Heading3"/>
      </w:pPr>
      <w:r>
        <w:t xml:space="preserve">3.2.1 Step 1: Policy Ingestion and Regulatory Mapping</w:t>
      </w:r>
    </w:p>
    <w:p>
      <w:pPr>
        <w:pStyle w:val="FirstParagraph"/>
      </w:pPr>
      <w:r>
        <w:t xml:space="preserve">The process begins by converting a client’s textual policies (e.g.,</w:t>
      </w:r>
      <w:r>
        <w:t xml:space="preserve"> </w:t>
      </w:r>
      <w:r>
        <w:t xml:space="preserve">"All passwords must be 16 characters") into machine-readable logic.</w:t>
      </w:r>
      <w:r>
        <w:t xml:space="preserve"> </w:t>
      </w:r>
      <w:r>
        <w:t xml:space="preserve">These internal standards are then mapped to regulatory frameworks like</w:t>
      </w:r>
      <w:r>
        <w:t xml:space="preserve"> </w:t>
      </w:r>
      <w:r>
        <w:t xml:space="preserve">DORA, NIST CSF 2.0, or SEC Rule 17a-4 to ensure that every internal</w:t>
      </w:r>
      <w:r>
        <w:t xml:space="preserve"> </w:t>
      </w:r>
      <w:r>
        <w:t xml:space="preserve">check supports a broader legal obligation.</w:t>
      </w:r>
    </w:p>
    <w:bookmarkEnd w:id="90"/>
    <w:bookmarkStart w:id="91" w:name="step-2-bpm-tightened-intake"/>
    <w:p>
      <w:pPr>
        <w:pStyle w:val="Heading3"/>
      </w:pPr>
      <w:r>
        <w:t xml:space="preserve">3.2.2 Step 2: BPM-Tightened Intake</w:t>
      </w:r>
    </w:p>
    <w:p>
      <w:pPr>
        <w:pStyle w:val="FirstParagraph"/>
      </w:pPr>
      <w:r>
        <w:t xml:space="preserve">Using BPM tools, the workflow is tightened to eliminate manual handoffs.</w:t>
      </w:r>
      <w:r>
        <w:t xml:space="preserve"> </w:t>
      </w:r>
      <w:r>
        <w:t xml:space="preserve">When a vendor provides information via a Trust Center or self-service</w:t>
      </w:r>
      <w:r>
        <w:t xml:space="preserve"> </w:t>
      </w:r>
      <w:r>
        <w:t xml:space="preserve">portal, the BPM system triggers a series of automated checkpoints. This</w:t>
      </w:r>
      <w:r>
        <w:t xml:space="preserve"> </w:t>
      </w:r>
      <w:r>
        <w:t xml:space="preserve">ensures that no vendor progresses to the next stage until the required</w:t>
      </w:r>
      <w:r>
        <w:t xml:space="preserve"> </w:t>
      </w:r>
      <w:r>
        <w:t xml:space="preserve">data integrity is verified by the system.</w:t>
      </w:r>
    </w:p>
    <w:bookmarkEnd w:id="91"/>
    <w:bookmarkStart w:id="92" w:name="step-3-deployment-of-ai-agent-swarms"/>
    <w:p>
      <w:pPr>
        <w:pStyle w:val="Heading3"/>
      </w:pPr>
      <w:r>
        <w:t xml:space="preserve">3.2.3 Step 3: Deployment of AI Agent Swarms</w:t>
      </w:r>
    </w:p>
    <w:p>
      <w:pPr>
        <w:pStyle w:val="FirstParagraph"/>
      </w:pPr>
      <w:r>
        <w:t xml:space="preserve">Instead of a single bot, a swarm of specialized agents is deployed to</w:t>
      </w:r>
      <w:r>
        <w:t xml:space="preserve"> </w:t>
      </w:r>
      <w:r>
        <w:t xml:space="preserve">perform a deep-dive compliance test:</w:t>
      </w:r>
    </w:p>
    <w:p>
      <w:pPr>
        <w:pStyle w:val="BodyText"/>
      </w:pPr>
      <w:r>
        <w:rPr>
          <w:b/>
          <w:bCs/>
        </w:rPr>
        <w:t xml:space="preserve">The Investigator Agent:</w:t>
      </w:r>
      <w:r>
        <w:t xml:space="preserve"> </w:t>
      </w:r>
      <w:r>
        <w:t xml:space="preserve">Independently parses the vendor’s SOC 2</w:t>
      </w:r>
      <w:r>
        <w:t xml:space="preserve"> </w:t>
      </w:r>
      <w:r>
        <w:t xml:space="preserve">reports, penetration tests, and financial statements to find evidence</w:t>
      </w:r>
      <w:r>
        <w:t xml:space="preserve"> </w:t>
      </w:r>
      <w:r>
        <w:t xml:space="preserve">for each policy requirement.</w:t>
      </w:r>
    </w:p>
    <w:p>
      <w:pPr>
        <w:pStyle w:val="BodyText"/>
      </w:pPr>
      <w:r>
        <w:rPr>
          <w:b/>
          <w:bCs/>
        </w:rPr>
        <w:t xml:space="preserve">The Compliance Agent:</w:t>
      </w:r>
      <w:r>
        <w:t xml:space="preserve"> </w:t>
      </w:r>
      <w:r>
        <w:t xml:space="preserve">Cross-references the findings against the</w:t>
      </w:r>
      <w:r>
        <w:t xml:space="preserve"> </w:t>
      </w:r>
      <w:r>
        <w:t xml:space="preserve">client’s specific standards and regulatory benchmarks.</w:t>
      </w:r>
    </w:p>
    <w:p>
      <w:pPr>
        <w:pStyle w:val="BodyText"/>
      </w:pPr>
      <w:r>
        <w:rPr>
          <w:b/>
          <w:bCs/>
        </w:rPr>
        <w:t xml:space="preserve">The Checker Agent:</w:t>
      </w:r>
      <w:r>
        <w:t xml:space="preserve"> </w:t>
      </w:r>
      <w:r>
        <w:t xml:space="preserve">Validates the reasoning of the Investigator. If</w:t>
      </w:r>
      <w:r>
        <w:t xml:space="preserve"> </w:t>
      </w:r>
      <w:r>
        <w:t xml:space="preserve">both agents agree on a finding, it is logged; if they disagree, it is</w:t>
      </w:r>
      <w:r>
        <w:t xml:space="preserve"> </w:t>
      </w:r>
      <w:r>
        <w:t xml:space="preserve">escalated for human review with full context.</w:t>
      </w:r>
    </w:p>
    <w:bookmarkEnd w:id="92"/>
    <w:bookmarkStart w:id="93" w:name="step-4-outcome-logging-and-auditability"/>
    <w:p>
      <w:pPr>
        <w:pStyle w:val="Heading3"/>
      </w:pPr>
      <w:r>
        <w:t xml:space="preserve">3.2.4 Step 4: Outcome Logging and Auditability</w:t>
      </w:r>
    </w:p>
    <w:p>
      <w:pPr>
        <w:pStyle w:val="FirstParagraph"/>
      </w:pPr>
      <w:r>
        <w:t xml:space="preserve">Every decision made by the swarm is recorded in a tamper-proof audit</w:t>
      </w:r>
      <w:r>
        <w:t xml:space="preserve"> </w:t>
      </w:r>
      <w:r>
        <w:t xml:space="preserve">trail. This allows the client to demonstrate to regulatory authorities</w:t>
      </w:r>
      <w:r>
        <w:t xml:space="preserve"> </w:t>
      </w:r>
      <w:r>
        <w:t xml:space="preserve">exactly why a vendor was approved, showing the direct lineage from</w:t>
      </w:r>
      <w:r>
        <w:t xml:space="preserve"> </w:t>
      </w:r>
      <w:r>
        <w:t xml:space="preserve">internal policy to agent test to final evidence.</w:t>
      </w:r>
    </w:p>
    <w:p>
      <w:r>
        <w:pict>
          <v:rect style="width:0;height:1.5pt" o:hralign="center" o:hrstd="t" o:hr="t"/>
        </w:pict>
      </w:r>
    </w:p>
    <w:bookmarkEnd w:id="93"/>
    <w:bookmarkEnd w:id="94"/>
    <w:bookmarkEnd w:id="95"/>
    <w:bookmarkStart w:id="100" w:name="Xc6305b68b80ea1791c825c87fb5ace6e644a321"/>
    <w:p>
      <w:pPr>
        <w:pStyle w:val="Heading1"/>
      </w:pPr>
      <w:r>
        <w:t xml:space="preserve">Part V: Decision Models and Agent Framework</w:t>
      </w:r>
    </w:p>
    <w:bookmarkStart w:id="96" w:name="complete-dmn-decision-model-catalog"/>
    <w:p>
      <w:pPr>
        <w:pStyle w:val="Heading2"/>
      </w:pPr>
      <w:r>
        <w:t xml:space="preserve">16. Complete DMN Decision Model Catalog</w:t>
      </w:r>
    </w:p>
    <w:p>
      <w:pPr>
        <w:pStyle w:val="FirstParagraph"/>
      </w:pPr>
      <w:r>
        <w:t xml:space="preserve">All fifteen formalized DMN decision tables are candidates for</w:t>
      </w:r>
      <w:r>
        <w:t xml:space="preserve"> </w:t>
      </w:r>
      <w:r>
        <w:t xml:space="preserve">externalization as Business Rules Tasks in a BPMN process engine</w:t>
      </w:r>
      <w:r>
        <w:t xml:space="preserve"> </w:t>
      </w:r>
      <w:r>
        <w:t xml:space="preserve">(Camunda, Flowable, IBM ODM). Each is independently versioned, audited,</w:t>
      </w:r>
      <w:r>
        <w:t xml:space="preserve"> </w:t>
      </w:r>
      <w:r>
        <w:t xml:space="preserve">and governed.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DMN ID</w:t>
            </w:r>
          </w:p>
        </w:tc>
        <w:tc>
          <w:tcPr/>
          <w:p>
            <w:pPr>
              <w:pStyle w:val="Compact"/>
            </w:pPr>
            <w:r>
              <w:t xml:space="preserve">Decision Name</w:t>
            </w:r>
          </w:p>
        </w:tc>
        <w:tc>
          <w:tcPr/>
          <w:p>
            <w:pPr>
              <w:pStyle w:val="Compact"/>
            </w:pPr>
            <w:r>
              <w:t xml:space="preserve">Phase</w:t>
            </w:r>
          </w:p>
        </w:tc>
        <w:tc>
          <w:tcPr/>
          <w:p>
            <w:pPr>
              <w:pStyle w:val="Compact"/>
            </w:pPr>
            <w:r>
              <w:t xml:space="preserve">Hit Policy</w:t>
            </w:r>
          </w:p>
        </w:tc>
        <w:tc>
          <w:tcPr/>
          <w:p>
            <w:pPr>
              <w:pStyle w:val="Compact"/>
            </w:pPr>
            <w:r>
              <w:t xml:space="preserve">Primary Condition Inputs</w:t>
            </w:r>
          </w:p>
        </w:tc>
        <w:tc>
          <w:tcPr/>
          <w:p>
            <w:pPr>
              <w:pStyle w:val="Compact"/>
            </w:pPr>
            <w:r>
              <w:t xml:space="preserve">Primary Action Outputs</w:t>
            </w:r>
          </w:p>
        </w:tc>
      </w:tr>
      <w:tr>
        <w:tc>
          <w:tcPr/>
          <w:p>
            <w:pPr>
              <w:pStyle w:val="Compact"/>
            </w:pPr>
            <w:r>
              <w:t xml:space="preserve">DMN-01</w:t>
            </w:r>
          </w:p>
        </w:tc>
        <w:tc>
          <w:tcPr/>
          <w:p>
            <w:pPr>
              <w:pStyle w:val="Compact"/>
            </w:pPr>
            <w:r>
              <w:t xml:space="preserve">AI Routing and Pathway Assignment</w:t>
            </w:r>
          </w:p>
        </w:tc>
        <w:tc>
          <w:tcPr/>
          <w:p>
            <w:pPr>
              <w:pStyle w:val="Compact"/>
            </w:pPr>
            <w:r>
              <w:t xml:space="preserve">2</w:t>
            </w:r>
          </w:p>
        </w:tc>
        <w:tc>
          <w:tcPr/>
          <w:p>
            <w:pPr>
              <w:pStyle w:val="Compact"/>
            </w:pPr>
            <w:r>
              <w:t xml:space="preserve">UNIQUE</w:t>
            </w:r>
          </w:p>
        </w:tc>
        <w:tc>
          <w:tcPr/>
          <w:p>
            <w:pPr>
              <w:pStyle w:val="Compact"/>
            </w:pPr>
            <w:r>
              <w:t xml:space="preserve">Channel; existing solution; AI tier; composite score; vendor status</w:t>
            </w:r>
          </w:p>
        </w:tc>
        <w:tc>
          <w:tcPr/>
          <w:p>
            <w:pPr>
              <w:pStyle w:val="Compact"/>
            </w:pPr>
            <w:r>
              <w:t xml:space="preserve">Pathway; fast-track flag; required reviews</w:t>
            </w:r>
          </w:p>
        </w:tc>
      </w:tr>
      <w:tr>
        <w:tc>
          <w:tcPr/>
          <w:p>
            <w:pPr>
              <w:pStyle w:val="Compact"/>
            </w:pPr>
            <w:r>
              <w:t xml:space="preserve">DMN-02</w:t>
            </w:r>
          </w:p>
        </w:tc>
        <w:tc>
          <w:tcPr/>
          <w:p>
            <w:pPr>
              <w:pStyle w:val="Compact"/>
            </w:pPr>
            <w:r>
              <w:t xml:space="preserve">Information Completeness Gate</w:t>
            </w:r>
          </w:p>
        </w:tc>
        <w:tc>
          <w:tcPr/>
          <w:p>
            <w:pPr>
              <w:pStyle w:val="Compact"/>
            </w:pPr>
            <w:r>
              <w:t xml:space="preserve">3</w:t>
            </w:r>
          </w:p>
        </w:tc>
        <w:tc>
          <w:tcPr/>
          <w:p>
            <w:pPr>
              <w:pStyle w:val="Compact"/>
            </w:pPr>
            <w:r>
              <w:t xml:space="preserve">ANY</w:t>
            </w:r>
          </w:p>
        </w:tc>
        <w:tc>
          <w:tcPr/>
          <w:p>
            <w:pPr>
              <w:pStyle w:val="Compact"/>
            </w:pPr>
            <w:r>
              <w:t xml:space="preserve">Value quantified; data class; integration list; reg flags; PO approval</w:t>
            </w:r>
          </w:p>
        </w:tc>
        <w:tc>
          <w:tcPr/>
          <w:p>
            <w:pPr>
              <w:pStyle w:val="Compact"/>
            </w:pPr>
            <w:r>
              <w:t xml:space="preserve">Proceed / Return (with gap identified)</w:t>
            </w:r>
          </w:p>
        </w:tc>
      </w:tr>
      <w:tr>
        <w:tc>
          <w:tcPr/>
          <w:p>
            <w:pPr>
              <w:pStyle w:val="Compact"/>
            </w:pPr>
            <w:r>
              <w:t xml:space="preserve">DMN-03</w:t>
            </w:r>
          </w:p>
        </w:tc>
        <w:tc>
          <w:tcPr/>
          <w:p>
            <w:pPr>
              <w:pStyle w:val="Compact"/>
            </w:pPr>
            <w:r>
              <w:t xml:space="preserve">Duplicate, Merge, and Reuse Decision</w:t>
            </w:r>
          </w:p>
        </w:tc>
        <w:tc>
          <w:tcPr/>
          <w:p>
            <w:pPr>
              <w:pStyle w:val="Compact"/>
            </w:pPr>
            <w:r>
              <w:t xml:space="preserve">3</w:t>
            </w:r>
          </w:p>
        </w:tc>
        <w:tc>
          <w:tcPr/>
          <w:p>
            <w:pPr>
              <w:pStyle w:val="Compact"/>
            </w:pPr>
            <w:r>
              <w:t xml:space="preserve">UNIQUE</w:t>
            </w:r>
          </w:p>
        </w:tc>
        <w:tc>
          <w:tcPr/>
          <w:p>
            <w:pPr>
              <w:pStyle w:val="Compact"/>
            </w:pPr>
            <w:r>
              <w:t xml:space="preserve">Registry match score; backlog match score; match type</w:t>
            </w:r>
          </w:p>
        </w:tc>
        <w:tc>
          <w:tcPr/>
          <w:p>
            <w:pPr>
              <w:pStyle w:val="Compact"/>
            </w:pPr>
            <w:r>
              <w:t xml:space="preserve">Close / Reuse assessment / Merge offer / Proceed</w:t>
            </w:r>
          </w:p>
        </w:tc>
      </w:tr>
      <w:tr>
        <w:tc>
          <w:tcPr/>
          <w:p>
            <w:pPr>
              <w:pStyle w:val="Compact"/>
            </w:pPr>
            <w:r>
              <w:t xml:space="preserve">DMN-04</w:t>
            </w:r>
          </w:p>
        </w:tc>
        <w:tc>
          <w:tcPr/>
          <w:p>
            <w:pPr>
              <w:pStyle w:val="Compact"/>
            </w:pPr>
            <w:r>
              <w:t xml:space="preserve">Go/No-Go Viability</w:t>
            </w:r>
          </w:p>
        </w:tc>
        <w:tc>
          <w:tcPr/>
          <w:p>
            <w:pPr>
              <w:pStyle w:val="Compact"/>
            </w:pPr>
            <w:r>
              <w:t xml:space="preserve">4</w:t>
            </w:r>
          </w:p>
        </w:tc>
        <w:tc>
          <w:tcPr/>
          <w:p>
            <w:pPr>
              <w:pStyle w:val="Compact"/>
            </w:pPr>
            <w:r>
              <w:t xml:space="preserve">PRIORITY</w:t>
            </w:r>
          </w:p>
        </w:tc>
        <w:tc>
          <w:tcPr/>
          <w:p>
            <w:pPr>
              <w:pStyle w:val="Compact"/>
            </w:pPr>
            <w:r>
              <w:t xml:space="preserve">Composite score; strategic alignment; regulatory risk; budget; resources</w:t>
            </w:r>
          </w:p>
        </w:tc>
        <w:tc>
          <w:tcPr/>
          <w:p>
            <w:pPr>
              <w:pStyle w:val="Compact"/>
            </w:pPr>
            <w:r>
              <w:t xml:space="preserve">Priority GO / Standard GO / Defer / NO-GO variants</w:t>
            </w:r>
          </w:p>
        </w:tc>
      </w:tr>
      <w:tr>
        <w:tc>
          <w:tcPr/>
          <w:p>
            <w:pPr>
              <w:pStyle w:val="Compact"/>
            </w:pPr>
            <w:r>
              <w:t xml:space="preserve">DMN-05</w:t>
            </w:r>
          </w:p>
        </w:tc>
        <w:tc>
          <w:tcPr/>
          <w:p>
            <w:pPr>
              <w:pStyle w:val="Compact"/>
            </w:pPr>
            <w:r>
              <w:t xml:space="preserve">Buy vs. Build Analysis</w:t>
            </w:r>
          </w:p>
        </w:tc>
        <w:tc>
          <w:tcPr/>
          <w:p>
            <w:pPr>
              <w:pStyle w:val="Compact"/>
            </w:pPr>
            <w:r>
              <w:t xml:space="preserve">4</w:t>
            </w:r>
          </w:p>
        </w:tc>
        <w:tc>
          <w:tcPr/>
          <w:p>
            <w:pPr>
              <w:pStyle w:val="Compact"/>
            </w:pPr>
            <w:r>
              <w:t xml:space="preserve">UNIQUE</w:t>
            </w:r>
          </w:p>
        </w:tc>
        <w:tc>
          <w:tcPr/>
          <w:p>
            <w:pPr>
              <w:pStyle w:val="Compact"/>
            </w:pPr>
            <w:r>
              <w:t xml:space="preserve">Market solution; 5yr TCO; IP differentiation; complexity; strategic fit</w:t>
            </w:r>
          </w:p>
        </w:tc>
        <w:tc>
          <w:tcPr/>
          <w:p>
            <w:pPr>
              <w:pStyle w:val="Compact"/>
            </w:pPr>
            <w:r>
              <w:t xml:space="preserve">Buy / Build / Hybrid / Defer</w:t>
            </w:r>
          </w:p>
        </w:tc>
      </w:tr>
      <w:tr>
        <w:tc>
          <w:tcPr/>
          <w:p>
            <w:pPr>
              <w:pStyle w:val="Compact"/>
            </w:pPr>
            <w:r>
              <w:t xml:space="preserve">DMN-06</w:t>
            </w:r>
          </w:p>
        </w:tc>
        <w:tc>
          <w:tcPr/>
          <w:p>
            <w:pPr>
              <w:pStyle w:val="Compact"/>
            </w:pPr>
            <w:r>
              <w:t xml:space="preserve">Vendor Risk Tier Assignment</w:t>
            </w:r>
          </w:p>
        </w:tc>
        <w:tc>
          <w:tcPr/>
          <w:p>
            <w:pPr>
              <w:pStyle w:val="Compact"/>
            </w:pPr>
            <w:r>
              <w:t xml:space="preserve">5B</w:t>
            </w:r>
          </w:p>
        </w:tc>
        <w:tc>
          <w:tcPr/>
          <w:p>
            <w:pPr>
              <w:pStyle w:val="Compact"/>
            </w:pPr>
            <w:r>
              <w:t xml:space="preserve">PRIORITY</w:t>
            </w:r>
          </w:p>
        </w:tc>
        <w:tc>
          <w:tcPr/>
          <w:p>
            <w:pPr>
              <w:pStyle w:val="Compact"/>
            </w:pPr>
            <w:r>
              <w:t xml:space="preserve">Critical activity; data sensitivity; concentration; financial stability; reg exposure</w:t>
            </w:r>
          </w:p>
        </w:tc>
        <w:tc>
          <w:tcPr/>
          <w:p>
            <w:pPr>
              <w:pStyle w:val="Compact"/>
            </w:pPr>
            <w:r>
              <w:t xml:space="preserve">Tier 1–4; TPRM intensity</w:t>
            </w:r>
          </w:p>
        </w:tc>
      </w:tr>
      <w:tr>
        <w:tc>
          <w:tcPr/>
          <w:p>
            <w:pPr>
              <w:pStyle w:val="Compact"/>
            </w:pPr>
            <w:r>
              <w:t xml:space="preserve">DMN-07</w:t>
            </w:r>
          </w:p>
        </w:tc>
        <w:tc>
          <w:tcPr/>
          <w:p>
            <w:pPr>
              <w:pStyle w:val="Compact"/>
            </w:pPr>
            <w:r>
              <w:t xml:space="preserve">Vendor Selection and RAE Gate</w:t>
            </w:r>
          </w:p>
        </w:tc>
        <w:tc>
          <w:tcPr/>
          <w:p>
            <w:pPr>
              <w:pStyle w:val="Compact"/>
            </w:pPr>
            <w:r>
              <w:t xml:space="preserve">5B</w:t>
            </w:r>
          </w:p>
        </w:tc>
        <w:tc>
          <w:tcPr/>
          <w:p>
            <w:pPr>
              <w:pStyle w:val="Compact"/>
            </w:pPr>
            <w:r>
              <w:t xml:space="preserve">UNIQUE</w:t>
            </w:r>
          </w:p>
        </w:tc>
        <w:tc>
          <w:tcPr/>
          <w:p>
            <w:pPr>
              <w:pStyle w:val="Compact"/>
            </w:pPr>
            <w:r>
              <w:t xml:space="preserve">Vendor response count; pilot outcome; RAE findings; AI Gov status</w:t>
            </w:r>
          </w:p>
        </w:tc>
        <w:tc>
          <w:tcPr/>
          <w:p>
            <w:pPr>
              <w:pStyle w:val="Compact"/>
            </w:pPr>
            <w:r>
              <w:t xml:space="preserve">Proceed / Conditional / Restart / No-Go</w:t>
            </w:r>
          </w:p>
        </w:tc>
      </w:tr>
      <w:tr>
        <w:tc>
          <w:tcPr/>
          <w:p>
            <w:pPr>
              <w:pStyle w:val="Compact"/>
            </w:pPr>
            <w:r>
              <w:t xml:space="preserve">DMN-08</w:t>
            </w:r>
          </w:p>
        </w:tc>
        <w:tc>
          <w:tcPr/>
          <w:p>
            <w:pPr>
              <w:pStyle w:val="Compact"/>
            </w:pPr>
            <w:r>
              <w:t xml:space="preserve">Funding Confirmation Gate</w:t>
            </w:r>
          </w:p>
        </w:tc>
        <w:tc>
          <w:tcPr/>
          <w:p>
            <w:pPr>
              <w:pStyle w:val="Compact"/>
            </w:pPr>
            <w:r>
              <w:t xml:space="preserve">5B</w:t>
            </w:r>
          </w:p>
        </w:tc>
        <w:tc>
          <w:tcPr/>
          <w:p>
            <w:pPr>
              <w:pStyle w:val="Compact"/>
            </w:pPr>
            <w:r>
              <w:t xml:space="preserve">UNIQUE</w:t>
            </w:r>
          </w:p>
        </w:tc>
        <w:tc>
          <w:tcPr/>
          <w:p>
            <w:pPr>
              <w:pStyle w:val="Compact"/>
            </w:pPr>
            <w:r>
              <w:t xml:space="preserve">Finance engagement; budget; FP&amp;A completion; budget year</w:t>
            </w:r>
          </w:p>
        </w:tc>
        <w:tc>
          <w:tcPr/>
          <w:p>
            <w:pPr>
              <w:pStyle w:val="Compact"/>
            </w:pPr>
            <w:r>
              <w:t xml:space="preserve">Funded / Deferred / No Funding / Escalate</w:t>
            </w:r>
          </w:p>
        </w:tc>
      </w:tr>
      <w:tr>
        <w:tc>
          <w:tcPr/>
          <w:p>
            <w:pPr>
              <w:pStyle w:val="Compact"/>
            </w:pPr>
            <w:r>
              <w:t xml:space="preserve">DMN-09</w:t>
            </w:r>
          </w:p>
        </w:tc>
        <w:tc>
          <w:tcPr/>
          <w:p>
            <w:pPr>
              <w:pStyle w:val="Compact"/>
            </w:pPr>
            <w:r>
              <w:t xml:space="preserve">AI Risk Tier Classification</w:t>
            </w:r>
          </w:p>
        </w:tc>
        <w:tc>
          <w:tcPr/>
          <w:p>
            <w:pPr>
              <w:pStyle w:val="Compact"/>
            </w:pPr>
            <w:r>
              <w:t xml:space="preserve">1</w:t>
            </w:r>
          </w:p>
        </w:tc>
        <w:tc>
          <w:tcPr/>
          <w:p>
            <w:pPr>
              <w:pStyle w:val="Compact"/>
            </w:pPr>
            <w:r>
              <w:t xml:space="preserve">PRIORITY</w:t>
            </w:r>
          </w:p>
        </w:tc>
        <w:tc>
          <w:tcPr/>
          <w:p>
            <w:pPr>
              <w:pStyle w:val="Compact"/>
            </w:pPr>
            <w:r>
              <w:t xml:space="preserve">Decision materiality; credit/capital impact; model complexity; data sensitivity</w:t>
            </w:r>
          </w:p>
        </w:tc>
        <w:tc>
          <w:tcPr/>
          <w:p>
            <w:pPr>
              <w:pStyle w:val="Compact"/>
            </w:pPr>
            <w:r>
              <w:t xml:space="preserve">Tier 1 / Tier 2 / Tier 3 classification</w:t>
            </w:r>
          </w:p>
        </w:tc>
      </w:tr>
      <w:tr>
        <w:tc>
          <w:tcPr/>
          <w:p>
            <w:pPr>
              <w:pStyle w:val="Compact"/>
            </w:pPr>
            <w:r>
              <w:t xml:space="preserve">DMN-10</w:t>
            </w:r>
          </w:p>
        </w:tc>
        <w:tc>
          <w:tcPr/>
          <w:p>
            <w:pPr>
              <w:pStyle w:val="Compact"/>
            </w:pPr>
            <w:r>
              <w:t xml:space="preserve">Proof of Concept Gate</w:t>
            </w:r>
          </w:p>
        </w:tc>
        <w:tc>
          <w:tcPr/>
          <w:p>
            <w:pPr>
              <w:pStyle w:val="Compact"/>
            </w:pPr>
            <w:r>
              <w:t xml:space="preserve">5A</w:t>
            </w:r>
          </w:p>
        </w:tc>
        <w:tc>
          <w:tcPr/>
          <w:p>
            <w:pPr>
              <w:pStyle w:val="Compact"/>
            </w:pPr>
            <w:r>
              <w:t xml:space="preserve">UNIQUE</w:t>
            </w:r>
          </w:p>
        </w:tc>
        <w:tc>
          <w:tcPr/>
          <w:p>
            <w:pPr>
              <w:pStyle w:val="Compact"/>
            </w:pPr>
            <w:r>
              <w:t xml:space="preserve">PoC rubric score; Architecture sign-off; CyberSec sign-off</w:t>
            </w:r>
          </w:p>
        </w:tc>
        <w:tc>
          <w:tcPr/>
          <w:p>
            <w:pPr>
              <w:pStyle w:val="Compact"/>
            </w:pPr>
            <w:r>
              <w:t xml:space="preserve">Proceed / Refine and retry / Reject</w:t>
            </w:r>
          </w:p>
        </w:tc>
      </w:tr>
      <w:tr>
        <w:tc>
          <w:tcPr/>
          <w:p>
            <w:pPr>
              <w:pStyle w:val="Compact"/>
            </w:pPr>
            <w:r>
              <w:t xml:space="preserve">DMN-11</w:t>
            </w:r>
          </w:p>
        </w:tc>
        <w:tc>
          <w:tcPr/>
          <w:p>
            <w:pPr>
              <w:pStyle w:val="Compact"/>
            </w:pPr>
            <w:r>
              <w:t xml:space="preserve">Technology and Risk Evaluation Gate</w:t>
            </w:r>
          </w:p>
        </w:tc>
        <w:tc>
          <w:tcPr/>
          <w:p>
            <w:pPr>
              <w:pStyle w:val="Compact"/>
            </w:pPr>
            <w:r>
              <w:t xml:space="preserve">5A</w:t>
            </w:r>
          </w:p>
        </w:tc>
        <w:tc>
          <w:tcPr/>
          <w:p>
            <w:pPr>
              <w:pStyle w:val="Compact"/>
            </w:pPr>
            <w:r>
              <w:t xml:space="preserve">ANY</w:t>
            </w:r>
          </w:p>
        </w:tc>
        <w:tc>
          <w:tcPr/>
          <w:p>
            <w:pPr>
              <w:pStyle w:val="Compact"/>
            </w:pPr>
            <w:r>
              <w:t xml:space="preserve">Completeness; AI Gov checklist; Architecture; CyberSec; Compliance</w:t>
            </w:r>
          </w:p>
        </w:tc>
        <w:tc>
          <w:tcPr/>
          <w:p>
            <w:pPr>
              <w:pStyle w:val="Compact"/>
            </w:pPr>
            <w:r>
              <w:t xml:space="preserve">Proceed to UAT / Hold (domain) / Return</w:t>
            </w:r>
          </w:p>
        </w:tc>
      </w:tr>
      <w:tr>
        <w:tc>
          <w:tcPr/>
          <w:p>
            <w:pPr>
              <w:pStyle w:val="Compact"/>
            </w:pPr>
            <w:r>
              <w:t xml:space="preserve">DMN-12</w:t>
            </w:r>
          </w:p>
        </w:tc>
        <w:tc>
          <w:tcPr/>
          <w:p>
            <w:pPr>
              <w:pStyle w:val="Compact"/>
            </w:pPr>
            <w:r>
              <w:t xml:space="preserve">Observability Tier Assignment</w:t>
            </w:r>
          </w:p>
        </w:tc>
        <w:tc>
          <w:tcPr/>
          <w:p>
            <w:pPr>
              <w:pStyle w:val="Compact"/>
            </w:pPr>
            <w:r>
              <w:t xml:space="preserve">5A</w:t>
            </w:r>
          </w:p>
        </w:tc>
        <w:tc>
          <w:tcPr/>
          <w:p>
            <w:pPr>
              <w:pStyle w:val="Compact"/>
            </w:pPr>
            <w:r>
              <w:t xml:space="preserve">PRIORITY</w:t>
            </w:r>
          </w:p>
        </w:tc>
        <w:tc>
          <w:tcPr/>
          <w:p>
            <w:pPr>
              <w:pStyle w:val="Compact"/>
            </w:pPr>
            <w:r>
              <w:t xml:space="preserve">AI risk tier; regulatory classification; decision materiality; user population</w:t>
            </w:r>
          </w:p>
        </w:tc>
        <w:tc>
          <w:tcPr/>
          <w:p>
            <w:pPr>
              <w:pStyle w:val="Compact"/>
            </w:pPr>
            <w:r>
              <w:t xml:space="preserve">Log schema tier; retention; monitoring cadence; alerts</w:t>
            </w:r>
          </w:p>
        </w:tc>
      </w:tr>
      <w:tr>
        <w:tc>
          <w:tcPr/>
          <w:p>
            <w:pPr>
              <w:pStyle w:val="Compact"/>
            </w:pPr>
            <w:r>
              <w:t xml:space="preserve">DMN-13</w:t>
            </w:r>
          </w:p>
        </w:tc>
        <w:tc>
          <w:tcPr/>
          <w:p>
            <w:pPr>
              <w:pStyle w:val="Compact"/>
            </w:pPr>
            <w:r>
              <w:t xml:space="preserve">Fast-Track Eligibility</w:t>
            </w:r>
          </w:p>
        </w:tc>
        <w:tc>
          <w:tcPr/>
          <w:p>
            <w:pPr>
              <w:pStyle w:val="Compact"/>
            </w:pPr>
            <w:r>
              <w:t xml:space="preserve">2</w:t>
            </w:r>
          </w:p>
        </w:tc>
        <w:tc>
          <w:tcPr/>
          <w:p>
            <w:pPr>
              <w:pStyle w:val="Compact"/>
            </w:pPr>
            <w:r>
              <w:t xml:space="preserve">UNIQUE</w:t>
            </w:r>
          </w:p>
        </w:tc>
        <w:tc>
          <w:tcPr/>
          <w:p>
            <w:pPr>
              <w:pStyle w:val="Compact"/>
            </w:pPr>
            <w:r>
              <w:t xml:space="preserve">Internal channel; AI flag; production flag; sensitivity; vendor pre-approval</w:t>
            </w:r>
          </w:p>
        </w:tc>
        <w:tc>
          <w:tcPr/>
          <w:p>
            <w:pPr>
              <w:pStyle w:val="Compact"/>
            </w:pPr>
            <w:r>
              <w:t xml:space="preserve">Fast-track / Standard</w:t>
            </w:r>
          </w:p>
        </w:tc>
      </w:tr>
      <w:tr>
        <w:tc>
          <w:tcPr/>
          <w:p>
            <w:pPr>
              <w:pStyle w:val="Compact"/>
            </w:pPr>
            <w:r>
              <w:t xml:space="preserve">DMN-14</w:t>
            </w:r>
          </w:p>
        </w:tc>
        <w:tc>
          <w:tcPr/>
          <w:p>
            <w:pPr>
              <w:pStyle w:val="Compact"/>
            </w:pPr>
            <w:r>
              <w:t xml:space="preserve">TPRM Monitoring Frequency</w:t>
            </w:r>
          </w:p>
        </w:tc>
        <w:tc>
          <w:tcPr/>
          <w:p>
            <w:pPr>
              <w:pStyle w:val="Compact"/>
            </w:pPr>
            <w:r>
              <w:t xml:space="preserve">5B→Ongoing</w:t>
            </w:r>
          </w:p>
        </w:tc>
        <w:tc>
          <w:tcPr/>
          <w:p>
            <w:pPr>
              <w:pStyle w:val="Compact"/>
            </w:pPr>
            <w:r>
              <w:t xml:space="preserve">UNIQUE</w:t>
            </w:r>
          </w:p>
        </w:tc>
        <w:tc>
          <w:tcPr/>
          <w:p>
            <w:pPr>
              <w:pStyle w:val="Compact"/>
            </w:pPr>
            <w:r>
              <w:t xml:space="preserve">Vendor risk tier; contract value; service criticality; prior outcomes</w:t>
            </w:r>
          </w:p>
        </w:tc>
        <w:tc>
          <w:tcPr/>
          <w:p>
            <w:pPr>
              <w:pStyle w:val="Compact"/>
            </w:pPr>
            <w:r>
              <w:t xml:space="preserve">Monitoring cadence per activity</w:t>
            </w:r>
          </w:p>
        </w:tc>
      </w:tr>
      <w:tr>
        <w:tc>
          <w:tcPr/>
          <w:p>
            <w:pPr>
              <w:pStyle w:val="Compact"/>
            </w:pPr>
            <w:r>
              <w:t xml:space="preserve">DMN-15</w:t>
            </w:r>
          </w:p>
        </w:tc>
        <w:tc>
          <w:tcPr/>
          <w:p>
            <w:pPr>
              <w:pStyle w:val="Compact"/>
            </w:pPr>
            <w:r>
              <w:t xml:space="preserve">Capability Reuse Gate</w:t>
            </w:r>
          </w:p>
        </w:tc>
        <w:tc>
          <w:tcPr/>
          <w:p>
            <w:pPr>
              <w:pStyle w:val="Compact"/>
            </w:pPr>
            <w:r>
              <w:t xml:space="preserve">1</w:t>
            </w:r>
          </w:p>
        </w:tc>
        <w:tc>
          <w:tcPr/>
          <w:p>
            <w:pPr>
              <w:pStyle w:val="Compact"/>
            </w:pPr>
            <w:r>
              <w:t xml:space="preserve">UNIQUE</w:t>
            </w:r>
          </w:p>
        </w:tc>
        <w:tc>
          <w:tcPr/>
          <w:p>
            <w:pPr>
              <w:pStyle w:val="Compact"/>
            </w:pPr>
            <w:r>
              <w:t xml:space="preserve">Registry match; functional fit; license availability; retired match</w:t>
            </w:r>
          </w:p>
        </w:tc>
        <w:tc>
          <w:tcPr/>
          <w:p>
            <w:pPr>
              <w:pStyle w:val="Compact"/>
            </w:pPr>
            <w:r>
              <w:t xml:space="preserve">Reuse-Redirect / Reuse Assessment / Evaluate Expansion / Proceed / Surface Rationale</w:t>
            </w:r>
          </w:p>
        </w:tc>
      </w:tr>
    </w:tbl>
    <w:bookmarkEnd w:id="96"/>
    <w:bookmarkStart w:id="99" w:name="controlled-agent-usage-framework"/>
    <w:p>
      <w:pPr>
        <w:pStyle w:val="Heading2"/>
      </w:pPr>
      <w:r>
        <w:t xml:space="preserve">17. Controlled Agent Usage Framework</w:t>
      </w:r>
    </w:p>
    <w:p>
      <w:pPr>
        <w:pStyle w:val="BlockText"/>
      </w:pPr>
      <w:r>
        <w:rPr>
          <w:i/>
          <w:iCs/>
        </w:rPr>
        <w:t xml:space="preserve">Agents are permitted within this workflow only when they meet all</w:t>
      </w:r>
      <w:r>
        <w:rPr>
          <w:i/>
          <w:iCs/>
        </w:rPr>
        <w:t xml:space="preserve"> </w:t>
      </w:r>
      <w:r>
        <w:rPr>
          <w:i/>
          <w:iCs/>
        </w:rPr>
        <w:t xml:space="preserve">four conditions: (1) outputs are deterministic and reproducible, (2)</w:t>
      </w:r>
      <w:r>
        <w:rPr>
          <w:i/>
          <w:iCs/>
        </w:rPr>
        <w:t xml:space="preserve"> </w:t>
      </w:r>
      <w:r>
        <w:rPr>
          <w:i/>
          <w:iCs/>
        </w:rPr>
        <w:t xml:space="preserve">they use deterministic knowledge bases, (3) decision provenance is</w:t>
      </w:r>
      <w:r>
        <w:rPr>
          <w:i/>
          <w:iCs/>
        </w:rPr>
        <w:t xml:space="preserve"> </w:t>
      </w:r>
      <w:r>
        <w:rPr>
          <w:i/>
          <w:iCs/>
        </w:rPr>
        <w:t xml:space="preserve">logged, and (4) they follow DMN rules. All agent activities are</w:t>
      </w:r>
      <w:r>
        <w:rPr>
          <w:i/>
          <w:iCs/>
        </w:rPr>
        <w:t xml:space="preserve"> </w:t>
      </w:r>
      <w:r>
        <w:rPr>
          <w:i/>
          <w:iCs/>
        </w:rPr>
        <w:t xml:space="preserve">orchestrated and monitored within the BPMN workflow.</w:t>
      </w:r>
    </w:p>
    <w:bookmarkStart w:id="97" w:name="agent-governance-principles"/>
    <w:p>
      <w:pPr>
        <w:pStyle w:val="Heading3"/>
      </w:pPr>
      <w:r>
        <w:t xml:space="preserve">15.1 Agent Governance Principles</w:t>
      </w:r>
    </w:p>
    <w:p>
      <w:pPr>
        <w:numPr>
          <w:ilvl w:val="0"/>
          <w:numId w:val="1025"/>
        </w:numPr>
      </w:pPr>
      <w:r>
        <w:rPr>
          <w:b/>
          <w:bCs/>
        </w:rPr>
        <w:t xml:space="preserve">Deterministic Output Requirement:</w:t>
      </w:r>
      <w:r>
        <w:t xml:space="preserve"> </w:t>
      </w:r>
      <w:r>
        <w:t xml:space="preserve">Every agent invocation must</w:t>
      </w:r>
      <w:r>
        <w:t xml:space="preserve"> </w:t>
      </w:r>
      <w:r>
        <w:t xml:space="preserve">produce the same output given the same inputs and knowledge base</w:t>
      </w:r>
      <w:r>
        <w:t xml:space="preserve"> </w:t>
      </w:r>
      <w:r>
        <w:t xml:space="preserve">version. Non-deterministic outputs (temperature-based LLM generation)</w:t>
      </w:r>
      <w:r>
        <w:t xml:space="preserve"> </w:t>
      </w:r>
      <w:r>
        <w:t xml:space="preserve">are permitted only for human-reviewed drafts, never for decisions.</w:t>
      </w:r>
    </w:p>
    <w:p>
      <w:pPr>
        <w:numPr>
          <w:ilvl w:val="0"/>
          <w:numId w:val="1025"/>
        </w:numPr>
      </w:pPr>
      <w:r>
        <w:rPr>
          <w:b/>
          <w:bCs/>
        </w:rPr>
        <w:t xml:space="preserve">Knowledge Base Binding:</w:t>
      </w:r>
      <w:r>
        <w:t xml:space="preserve"> </w:t>
      </w:r>
      <w:r>
        <w:t xml:space="preserve">Each agent is bound to a specific,</w:t>
      </w:r>
      <w:r>
        <w:t xml:space="preserve"> </w:t>
      </w:r>
      <w:r>
        <w:t xml:space="preserve">versioned deterministic knowledge base. The knowledge base version is</w:t>
      </w:r>
      <w:r>
        <w:t xml:space="preserve"> </w:t>
      </w:r>
      <w:r>
        <w:t xml:space="preserve">logged with every agent invocation.</w:t>
      </w:r>
    </w:p>
    <w:p>
      <w:pPr>
        <w:numPr>
          <w:ilvl w:val="0"/>
          <w:numId w:val="1025"/>
        </w:numPr>
      </w:pPr>
      <w:r>
        <w:rPr>
          <w:b/>
          <w:bCs/>
        </w:rPr>
        <w:t xml:space="preserve">Decision Provenance:</w:t>
      </w:r>
      <w:r>
        <w:t xml:space="preserve"> </w:t>
      </w:r>
      <w:r>
        <w:t xml:space="preserve">Full provenance chain is logged: input data</w:t>
      </w:r>
      <w:r>
        <w:t xml:space="preserve"> </w:t>
      </w:r>
      <w:r>
        <w:t xml:space="preserve">hash, knowledge base version, agent version, DMN rule applied, output,</w:t>
      </w:r>
      <w:r>
        <w:t xml:space="preserve"> </w:t>
      </w:r>
      <w:r>
        <w:t xml:space="preserve">and confidence score.</w:t>
      </w:r>
    </w:p>
    <w:p>
      <w:pPr>
        <w:numPr>
          <w:ilvl w:val="0"/>
          <w:numId w:val="1025"/>
        </w:numPr>
      </w:pPr>
      <w:r>
        <w:rPr>
          <w:b/>
          <w:bCs/>
        </w:rPr>
        <w:t xml:space="preserve">DMN Governance:</w:t>
      </w:r>
      <w:r>
        <w:t xml:space="preserve"> </w:t>
      </w:r>
      <w:r>
        <w:t xml:space="preserve">Agents do not make autonomous decisions outside</w:t>
      </w:r>
      <w:r>
        <w:t xml:space="preserve"> </w:t>
      </w:r>
      <w:r>
        <w:t xml:space="preserve">DMN rules. Agent outputs feed into DMN decision tables, which produce</w:t>
      </w:r>
      <w:r>
        <w:t xml:space="preserve"> </w:t>
      </w:r>
      <w:r>
        <w:t xml:space="preserve">the final routing/classification/approval.</w:t>
      </w:r>
    </w:p>
    <w:p>
      <w:pPr>
        <w:numPr>
          <w:ilvl w:val="0"/>
          <w:numId w:val="1025"/>
        </w:numPr>
      </w:pPr>
      <w:r>
        <w:rPr>
          <w:b/>
          <w:bCs/>
        </w:rPr>
        <w:t xml:space="preserve">Human Escalation:</w:t>
      </w:r>
      <w:r>
        <w:t xml:space="preserve"> </w:t>
      </w:r>
      <w:r>
        <w:t xml:space="preserve">Any agent output below confidence threshold</w:t>
      </w:r>
      <w:r>
        <w:t xml:space="preserve"> </w:t>
      </w:r>
      <w:r>
        <w:t xml:space="preserve">(≥85%) triggers automatic escalation to the appropriate human role.</w:t>
      </w:r>
    </w:p>
    <w:bookmarkEnd w:id="97"/>
    <w:bookmarkStart w:id="98" w:name="agent-inventory-and-assignments"/>
    <w:p>
      <w:pPr>
        <w:pStyle w:val="Heading3"/>
      </w:pPr>
      <w:r>
        <w:t xml:space="preserve">15.2 Agent Inventory and Assignments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Phase(s)</w:t>
            </w:r>
          </w:p>
        </w:tc>
        <w:tc>
          <w:tcPr/>
          <w:p>
            <w:pPr>
              <w:pStyle w:val="Compact"/>
            </w:pPr>
            <w:r>
              <w:t xml:space="preserve">Knowledge Base</w:t>
            </w:r>
          </w:p>
        </w:tc>
        <w:tc>
          <w:tcPr/>
          <w:p>
            <w:pPr>
              <w:pStyle w:val="Compact"/>
            </w:pPr>
            <w:r>
              <w:t xml:space="preserve">DMN Governed By</w:t>
            </w:r>
          </w:p>
        </w:tc>
        <w:tc>
          <w:tcPr/>
          <w:p>
            <w:pPr>
              <w:pStyle w:val="Compact"/>
            </w:pPr>
            <w:r>
              <w:t xml:space="preserve">Human Escalation Trigger</w:t>
            </w:r>
          </w:p>
        </w:tc>
      </w:tr>
      <w:tr>
        <w:tc>
          <w:tcPr/>
          <w:p>
            <w:pPr>
              <w:pStyle w:val="Compact"/>
            </w:pPr>
            <w:r>
              <w:t xml:space="preserve">Intake Bot</w:t>
            </w:r>
          </w:p>
        </w:tc>
        <w:tc>
          <w:tcPr/>
          <w:p>
            <w:pPr>
              <w:pStyle w:val="Compact"/>
            </w:pPr>
            <w:r>
              <w:t xml:space="preserve">Phase 1</w:t>
            </w:r>
          </w:p>
        </w:tc>
        <w:tc>
          <w:tcPr/>
          <w:p>
            <w:pPr>
              <w:pStyle w:val="Compact"/>
            </w:pPr>
            <w:r>
              <w:t xml:space="preserve">Software Registry; Regulatory KB; Data Governance KB</w:t>
            </w:r>
          </w:p>
        </w:tc>
        <w:tc>
          <w:tcPr/>
          <w:p>
            <w:pPr>
              <w:pStyle w:val="Compact"/>
            </w:pPr>
            <w:r>
              <w:t xml:space="preserve">DMN-09, DMN-15</w:t>
            </w:r>
          </w:p>
        </w:tc>
        <w:tc>
          <w:tcPr/>
          <w:p>
            <w:pPr>
              <w:pStyle w:val="Compact"/>
            </w:pPr>
            <w:r>
              <w:t xml:space="preserve">Ambiguous capability; unresolvable field validation</w:t>
            </w:r>
          </w:p>
        </w:tc>
      </w:tr>
      <w:tr>
        <w:tc>
          <w:tcPr/>
          <w:p>
            <w:pPr>
              <w:pStyle w:val="Compact"/>
            </w:pPr>
            <w:r>
              <w:t xml:space="preserve">Routing Engine</w:t>
            </w:r>
          </w:p>
        </w:tc>
        <w:tc>
          <w:tcPr/>
          <w:p>
            <w:pPr>
              <w:pStyle w:val="Compact"/>
            </w:pPr>
            <w:r>
              <w:t xml:space="preserve">Phase 2</w:t>
            </w:r>
          </w:p>
        </w:tc>
        <w:tc>
          <w:tcPr/>
          <w:p>
            <w:pPr>
              <w:pStyle w:val="Compact"/>
            </w:pPr>
            <w:r>
              <w:t xml:space="preserve">Software Registry; Historical routing outcomes</w:t>
            </w:r>
          </w:p>
        </w:tc>
        <w:tc>
          <w:tcPr/>
          <w:p>
            <w:pPr>
              <w:pStyle w:val="Compact"/>
            </w:pPr>
            <w:r>
              <w:t xml:space="preserve">DMN-01, DMN-13</w:t>
            </w:r>
          </w:p>
        </w:tc>
        <w:tc>
          <w:tcPr/>
          <w:p>
            <w:pPr>
              <w:pStyle w:val="Compact"/>
            </w:pPr>
            <w:r>
              <w:t xml:space="preserve">Confidence &lt; 85%</w:t>
            </w:r>
          </w:p>
        </w:tc>
      </w:tr>
      <w:tr>
        <w:tc>
          <w:tcPr/>
          <w:p>
            <w:pPr>
              <w:pStyle w:val="Compact"/>
            </w:pPr>
            <w:r>
              <w:t xml:space="preserve">Compliance Analysis Agent</w:t>
            </w:r>
          </w:p>
        </w:tc>
        <w:tc>
          <w:tcPr/>
          <w:p>
            <w:pPr>
              <w:pStyle w:val="Compact"/>
            </w:pPr>
            <w:r>
              <w:t xml:space="preserve">Phase 1, 3</w:t>
            </w:r>
          </w:p>
        </w:tc>
        <w:tc>
          <w:tcPr/>
          <w:p>
            <w:pPr>
              <w:pStyle w:val="Compact"/>
            </w:pPr>
            <w:r>
              <w:t xml:space="preserve">Regulatory Requirements KB; Data Governance KB</w:t>
            </w:r>
          </w:p>
        </w:tc>
        <w:tc>
          <w:tcPr/>
          <w:p>
            <w:pPr>
              <w:pStyle w:val="Compact"/>
            </w:pPr>
            <w:r>
              <w:t xml:space="preserve">DMN-02</w:t>
            </w:r>
          </w:p>
        </w:tc>
        <w:tc>
          <w:tcPr/>
          <w:p>
            <w:pPr>
              <w:pStyle w:val="Compact"/>
            </w:pPr>
            <w:r>
              <w:t xml:space="preserve">Novel regulatory scenario; cross-border ambiguity</w:t>
            </w:r>
          </w:p>
        </w:tc>
      </w:tr>
      <w:tr>
        <w:tc>
          <w:tcPr/>
          <w:p>
            <w:pPr>
              <w:pStyle w:val="Compact"/>
            </w:pPr>
            <w:r>
              <w:t xml:space="preserve">Legal Clause Assembly Agent</w:t>
            </w:r>
          </w:p>
        </w:tc>
        <w:tc>
          <w:tcPr/>
          <w:p>
            <w:pPr>
              <w:pStyle w:val="Compact"/>
            </w:pPr>
            <w:r>
              <w:t xml:space="preserve">Phase 5B</w:t>
            </w:r>
          </w:p>
        </w:tc>
        <w:tc>
          <w:tcPr/>
          <w:p>
            <w:pPr>
              <w:pStyle w:val="Compact"/>
            </w:pPr>
            <w:r>
              <w:t xml:space="preserve">Legal Knowledge Graph</w:t>
            </w:r>
          </w:p>
        </w:tc>
        <w:tc>
          <w:tcPr/>
          <w:p>
            <w:pPr>
              <w:pStyle w:val="Compact"/>
            </w:pPr>
            <w:r>
              <w:t xml:space="preserve">Graph traversal rules</w:t>
            </w:r>
          </w:p>
        </w:tc>
        <w:tc>
          <w:tcPr/>
          <w:p>
            <w:pPr>
              <w:pStyle w:val="Compact"/>
            </w:pPr>
            <w:r>
              <w:t xml:space="preserve">Conflicting clauses; novel contract type</w:t>
            </w:r>
          </w:p>
        </w:tc>
      </w:tr>
      <w:tr>
        <w:tc>
          <w:tcPr/>
          <w:p>
            <w:pPr>
              <w:pStyle w:val="Compact"/>
            </w:pPr>
            <w:r>
              <w:t xml:space="preserve">Contract Redline Agent</w:t>
            </w:r>
          </w:p>
        </w:tc>
        <w:tc>
          <w:tcPr/>
          <w:p>
            <w:pPr>
              <w:pStyle w:val="Compact"/>
            </w:pPr>
            <w:r>
              <w:t xml:space="preserve">Phase 5B</w:t>
            </w:r>
          </w:p>
        </w:tc>
        <w:tc>
          <w:tcPr/>
          <w:p>
            <w:pPr>
              <w:pStyle w:val="Compact"/>
            </w:pPr>
            <w:r>
              <w:t xml:space="preserve">Legal Knowledge Graph; Precedent outcomes</w:t>
            </w:r>
          </w:p>
        </w:tc>
        <w:tc>
          <w:tcPr/>
          <w:p>
            <w:pPr>
              <w:pStyle w:val="Compact"/>
            </w:pPr>
            <w:r>
              <w:t xml:space="preserve">Institutional standards rules</w:t>
            </w:r>
          </w:p>
        </w:tc>
        <w:tc>
          <w:tcPr/>
          <w:p>
            <w:pPr>
              <w:pStyle w:val="Compact"/>
            </w:pPr>
            <w:r>
              <w:t xml:space="preserve">Non-standard deviation &gt; threshold</w:t>
            </w:r>
          </w:p>
        </w:tc>
      </w:tr>
      <w:tr>
        <w:tc>
          <w:tcPr/>
          <w:p>
            <w:pPr>
              <w:pStyle w:val="Compact"/>
            </w:pPr>
            <w:r>
              <w:t xml:space="preserve">Knowledge Staging Agent</w:t>
            </w:r>
          </w:p>
        </w:tc>
        <w:tc>
          <w:tcPr/>
          <w:p>
            <w:pPr>
              <w:pStyle w:val="Compact"/>
            </w:pPr>
            <w:r>
              <w:t xml:space="preserve">All phases</w:t>
            </w:r>
          </w:p>
        </w:tc>
        <w:tc>
          <w:tcPr/>
          <w:p>
            <w:pPr>
              <w:pStyle w:val="Compact"/>
            </w:pPr>
            <w:r>
              <w:t xml:space="preserve">All knowledge bases (write access)</w:t>
            </w:r>
          </w:p>
        </w:tc>
        <w:tc>
          <w:tcPr/>
          <w:p>
            <w:pPr>
              <w:pStyle w:val="Compact"/>
            </w:pPr>
            <w:r>
              <w:t xml:space="preserve">Validation rules per KB schema</w:t>
            </w:r>
          </w:p>
        </w:tc>
        <w:tc>
          <w:tcPr/>
          <w:p>
            <w:pPr>
              <w:pStyle w:val="Compact"/>
            </w:pPr>
            <w:r>
              <w:t xml:space="preserve">Schema validation failure</w:t>
            </w:r>
          </w:p>
        </w:tc>
      </w:tr>
      <w:tr>
        <w:tc>
          <w:tcPr/>
          <w:p>
            <w:pPr>
              <w:pStyle w:val="Compact"/>
            </w:pPr>
            <w:r>
              <w:t xml:space="preserve">Monitoring and Alerting Agent</w:t>
            </w:r>
          </w:p>
        </w:tc>
        <w:tc>
          <w:tcPr/>
          <w:p>
            <w:pPr>
              <w:pStyle w:val="Compact"/>
            </w:pPr>
            <w:r>
              <w:t xml:space="preserve">Phase 6</w:t>
            </w:r>
          </w:p>
        </w:tc>
        <w:tc>
          <w:tcPr/>
          <w:p>
            <w:pPr>
              <w:pStyle w:val="Compact"/>
            </w:pPr>
            <w:r>
              <w:t xml:space="preserve">Performance baselines; drift thresholds</w:t>
            </w:r>
          </w:p>
        </w:tc>
        <w:tc>
          <w:tcPr/>
          <w:p>
            <w:pPr>
              <w:pStyle w:val="Compact"/>
            </w:pPr>
            <w:r>
              <w:t xml:space="preserve">DMN-12, DMN-14</w:t>
            </w:r>
          </w:p>
        </w:tc>
        <w:tc>
          <w:tcPr/>
          <w:p>
            <w:pPr>
              <w:pStyle w:val="Compact"/>
            </w:pPr>
            <w:r>
              <w:t xml:space="preserve">Alert threshold breach</w:t>
            </w:r>
          </w:p>
        </w:tc>
      </w:tr>
    </w:tbl>
    <w:p>
      <w:r>
        <w:pict>
          <v:rect style="width:0;height:1.5pt" o:hralign="center" o:hrstd="t" o:hr="t"/>
        </w:pict>
      </w:r>
    </w:p>
    <w:bookmarkEnd w:id="98"/>
    <w:bookmarkEnd w:id="99"/>
    <w:bookmarkEnd w:id="100"/>
    <w:bookmarkStart w:id="107" w:name="part-vi-knowledge-architecture"/>
    <w:p>
      <w:pPr>
        <w:pStyle w:val="Heading1"/>
      </w:pPr>
      <w:r>
        <w:t xml:space="preserve">Part VI: Knowledge Architecture</w:t>
      </w:r>
    </w:p>
    <w:bookmarkStart w:id="103" w:name="deterministic-knowledge-integration"/>
    <w:p>
      <w:pPr>
        <w:pStyle w:val="Heading2"/>
      </w:pPr>
      <w:r>
        <w:t xml:space="preserve">18. Deterministic Knowledge Integration</w:t>
      </w:r>
    </w:p>
    <w:p>
      <w:pPr>
        <w:pStyle w:val="BlockText"/>
      </w:pPr>
      <w:r>
        <w:rPr>
          <w:i/>
          <w:iCs/>
        </w:rPr>
        <w:t xml:space="preserve">The workflow identifies where knowledge is generated, stages</w:t>
      </w:r>
      <w:r>
        <w:rPr>
          <w:i/>
          <w:iCs/>
        </w:rPr>
        <w:t xml:space="preserve"> </w:t>
      </w:r>
      <w:r>
        <w:rPr>
          <w:i/>
          <w:iCs/>
        </w:rPr>
        <w:t xml:space="preserve">validated knowledge into deterministic knowledge bases, and replaces</w:t>
      </w:r>
      <w:r>
        <w:rPr>
          <w:i/>
          <w:iCs/>
        </w:rPr>
        <w:t xml:space="preserve"> </w:t>
      </w:r>
      <w:r>
        <w:rPr>
          <w:i/>
          <w:iCs/>
        </w:rPr>
        <w:t xml:space="preserve">manual follow-ups with structured retrieval and rule execution.</w:t>
      </w:r>
      <w:r>
        <w:rPr>
          <w:i/>
          <w:iCs/>
        </w:rPr>
        <w:t xml:space="preserve"> </w:t>
      </w:r>
      <w:r>
        <w:rPr>
          <w:i/>
          <w:iCs/>
        </w:rPr>
        <w:t xml:space="preserve">Objective: Reduce person-to-person dependency, increase reuse,</w:t>
      </w:r>
      <w:r>
        <w:rPr>
          <w:i/>
          <w:iCs/>
        </w:rPr>
        <w:t xml:space="preserve"> </w:t>
      </w:r>
      <w:r>
        <w:rPr>
          <w:i/>
          <w:iCs/>
        </w:rPr>
        <w:t xml:space="preserve">eliminate shadow work.</w:t>
      </w:r>
    </w:p>
    <w:bookmarkStart w:id="101" w:name="knowledge-base-registry"/>
    <w:p>
      <w:pPr>
        <w:pStyle w:val="Heading3"/>
      </w:pPr>
      <w:r>
        <w:t xml:space="preserve">16.1 Knowledge Base Registry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Knowledge Base</w:t>
            </w:r>
          </w:p>
        </w:tc>
        <w:tc>
          <w:tcPr/>
          <w:p>
            <w:pPr>
              <w:pStyle w:val="Compact"/>
            </w:pPr>
            <w:r>
              <w:t xml:space="preserve">Content</w:t>
            </w:r>
          </w:p>
        </w:tc>
        <w:tc>
          <w:tcPr/>
          <w:p>
            <w:pPr>
              <w:pStyle w:val="Compact"/>
            </w:pPr>
            <w:r>
              <w:t xml:space="preserve">Update Source</w:t>
            </w:r>
          </w:p>
        </w:tc>
        <w:tc>
          <w:tcPr/>
          <w:p>
            <w:pPr>
              <w:pStyle w:val="Compact"/>
            </w:pPr>
            <w:r>
              <w:t xml:space="preserve">Update Mechanism</w:t>
            </w:r>
          </w:p>
        </w:tc>
        <w:tc>
          <w:tcPr/>
          <w:p>
            <w:pPr>
              <w:pStyle w:val="Compact"/>
            </w:pPr>
            <w:r>
              <w:t xml:space="preserve">Governance</w:t>
            </w:r>
          </w:p>
        </w:tc>
      </w:tr>
      <w:tr>
        <w:tc>
          <w:tcPr/>
          <w:p>
            <w:pPr>
              <w:pStyle w:val="Compact"/>
            </w:pPr>
            <w:r>
              <w:t xml:space="preserve">Software Registry</w:t>
            </w:r>
          </w:p>
        </w:tc>
        <w:tc>
          <w:tcPr/>
          <w:p>
            <w:pPr>
              <w:pStyle w:val="Compact"/>
            </w:pPr>
            <w:r>
              <w:t xml:space="preserve">All software assets: purchased, built, contracted, in-flight, retired</w:t>
            </w:r>
          </w:p>
        </w:tc>
        <w:tc>
          <w:tcPr/>
          <w:p>
            <w:pPr>
              <w:pStyle w:val="Compact"/>
            </w:pPr>
            <w:r>
              <w:t xml:space="preserve">CMDB, SAM, Git, SaaS analytics, vendor contracts, backlogs</w:t>
            </w:r>
          </w:p>
        </w:tc>
        <w:tc>
          <w:tcPr/>
          <w:p>
            <w:pPr>
              <w:pStyle w:val="Compact"/>
            </w:pPr>
            <w:r>
              <w:t xml:space="preserve">Automated nightly reconciliation (A); manual corrections (H)</w:t>
            </w:r>
          </w:p>
        </w:tc>
        <w:tc>
          <w:tcPr/>
          <w:p>
            <w:pPr>
              <w:pStyle w:val="Compact"/>
            </w:pPr>
            <w:r>
              <w:t xml:space="preserve">Software Asset Manager owns; quarterly audit</w:t>
            </w:r>
          </w:p>
        </w:tc>
      </w:tr>
      <w:tr>
        <w:tc>
          <w:tcPr/>
          <w:p>
            <w:pPr>
              <w:pStyle w:val="Compact"/>
            </w:pPr>
            <w:r>
              <w:t xml:space="preserve">Regulatory Requirements KB</w:t>
            </w:r>
          </w:p>
        </w:tc>
        <w:tc>
          <w:tcPr/>
          <w:p>
            <w:pPr>
              <w:pStyle w:val="Compact"/>
            </w:pPr>
            <w:r>
              <w:t xml:space="preserve">All applicable regulations, clauses, citations, and control requirements by domain and jurisdiction</w:t>
            </w:r>
          </w:p>
        </w:tc>
        <w:tc>
          <w:tcPr/>
          <w:p>
            <w:pPr>
              <w:pStyle w:val="Compact"/>
            </w:pPr>
            <w:r>
              <w:t xml:space="preserve">Regulatory change feeds; compliance governance input</w:t>
            </w:r>
          </w:p>
        </w:tc>
        <w:tc>
          <w:tcPr/>
          <w:p>
            <w:pPr>
              <w:pStyle w:val="Compact"/>
            </w:pPr>
            <w:r>
              <w:t xml:space="preserve">Agent monitors regulatory feeds (DA); Compliance validates (H)</w:t>
            </w:r>
          </w:p>
        </w:tc>
        <w:tc>
          <w:tcPr/>
          <w:p>
            <w:pPr>
              <w:pStyle w:val="Compact"/>
            </w:pPr>
            <w:r>
              <w:t xml:space="preserve">Compliance Governance owns; 60-day update SLA on material changes</w:t>
            </w:r>
          </w:p>
        </w:tc>
      </w:tr>
      <w:tr>
        <w:tc>
          <w:tcPr/>
          <w:p>
            <w:pPr>
              <w:pStyle w:val="Compact"/>
            </w:pPr>
            <w:r>
              <w:t xml:space="preserve">Data Governance KB</w:t>
            </w:r>
          </w:p>
        </w:tc>
        <w:tc>
          <w:tcPr/>
          <w:p>
            <w:pPr>
              <w:pStyle w:val="Compact"/>
            </w:pPr>
            <w:r>
              <w:t xml:space="preserve">Data classification rules, residency requirements, retention obligations, privacy regulation mappings</w:t>
            </w:r>
          </w:p>
        </w:tc>
        <w:tc>
          <w:tcPr/>
          <w:p>
            <w:pPr>
              <w:pStyle w:val="Compact"/>
            </w:pPr>
            <w:r>
              <w:t xml:space="preserve">Data governance office; regulatory updates</w:t>
            </w:r>
          </w:p>
        </w:tc>
        <w:tc>
          <w:tcPr/>
          <w:p>
            <w:pPr>
              <w:pStyle w:val="Compact"/>
            </w:pPr>
            <w:r>
              <w:t xml:space="preserve">Structured updates via validation workflow (H)</w:t>
            </w:r>
          </w:p>
        </w:tc>
        <w:tc>
          <w:tcPr/>
          <w:p>
            <w:pPr>
              <w:pStyle w:val="Compact"/>
            </w:pPr>
            <w:r>
              <w:t xml:space="preserve">Data Governance function owns; annual review</w:t>
            </w:r>
          </w:p>
        </w:tc>
      </w:tr>
      <w:tr>
        <w:tc>
          <w:tcPr/>
          <w:p>
            <w:pPr>
              <w:pStyle w:val="Compact"/>
            </w:pPr>
            <w:r>
              <w:t xml:space="preserve">Legal Knowledge Graph</w:t>
            </w:r>
          </w:p>
        </w:tc>
        <w:tc>
          <w:tcPr/>
          <w:p>
            <w:pPr>
              <w:pStyle w:val="Compact"/>
            </w:pPr>
            <w:r>
              <w:t xml:space="preserve">Legal clauses (versioned), contract types, regulatory mappings, precedent outcomes</w:t>
            </w:r>
          </w:p>
        </w:tc>
        <w:tc>
          <w:tcPr/>
          <w:p>
            <w:pPr>
              <w:pStyle w:val="Compact"/>
            </w:pPr>
            <w:r>
              <w:t xml:space="preserve">Legal Counsel modifications; regulatory updates</w:t>
            </w:r>
          </w:p>
        </w:tc>
        <w:tc>
          <w:tcPr/>
          <w:p>
            <w:pPr>
              <w:pStyle w:val="Compact"/>
            </w:pPr>
            <w:r>
              <w:t xml:space="preserve">Agent ingests modifications (DA); Legal Counsel approves (H)</w:t>
            </w:r>
          </w:p>
        </w:tc>
        <w:tc>
          <w:tcPr/>
          <w:p>
            <w:pPr>
              <w:pStyle w:val="Compact"/>
            </w:pPr>
            <w:r>
              <w:t xml:space="preserve">Legal Counsel owns; annual full review</w:t>
            </w:r>
          </w:p>
        </w:tc>
      </w:tr>
      <w:tr>
        <w:tc>
          <w:tcPr/>
          <w:p>
            <w:pPr>
              <w:pStyle w:val="Compact"/>
            </w:pPr>
            <w:r>
              <w:t xml:space="preserve">AI Governance KB</w:t>
            </w:r>
          </w:p>
        </w:tc>
        <w:tc>
          <w:tcPr/>
          <w:p>
            <w:pPr>
              <w:pStyle w:val="Compact"/>
            </w:pPr>
            <w:r>
              <w:t xml:space="preserve">Model cards, validation evidence, bias testing results, drift thresholds, monitoring configurations</w:t>
            </w:r>
          </w:p>
        </w:tc>
        <w:tc>
          <w:tcPr/>
          <w:p>
            <w:pPr>
              <w:pStyle w:val="Compact"/>
            </w:pPr>
            <w:r>
              <w:t xml:space="preserve">Model development teams; independent validation; monitoring outputs</w:t>
            </w:r>
          </w:p>
        </w:tc>
        <w:tc>
          <w:tcPr/>
          <w:p>
            <w:pPr>
              <w:pStyle w:val="Compact"/>
            </w:pPr>
            <w:r>
              <w:t xml:space="preserve">Knowledge Staging Agent captures (DA); AI/MRM Governance validates (H)</w:t>
            </w:r>
          </w:p>
        </w:tc>
        <w:tc>
          <w:tcPr/>
          <w:p>
            <w:pPr>
              <w:pStyle w:val="Compact"/>
            </w:pPr>
            <w:r>
              <w:t xml:space="preserve">AI/Model Risk Governance owns; per-model lifecycle</w:t>
            </w:r>
          </w:p>
        </w:tc>
      </w:tr>
      <w:tr>
        <w:tc>
          <w:tcPr/>
          <w:p>
            <w:pPr>
              <w:pStyle w:val="Compact"/>
            </w:pPr>
            <w:r>
              <w:t xml:space="preserve">Decision Audit Log</w:t>
            </w:r>
          </w:p>
        </w:tc>
        <w:tc>
          <w:tcPr/>
          <w:p>
            <w:pPr>
              <w:pStyle w:val="Compact"/>
            </w:pPr>
            <w:r>
              <w:t xml:space="preserve">All decision events with full provenance</w:t>
            </w:r>
          </w:p>
        </w:tc>
        <w:tc>
          <w:tcPr/>
          <w:p>
            <w:pPr>
              <w:pStyle w:val="Compact"/>
            </w:pPr>
            <w:r>
              <w:t xml:space="preserve">All phases—every DMN, agent, and human decision</w:t>
            </w:r>
          </w:p>
        </w:tc>
        <w:tc>
          <w:tcPr/>
          <w:p>
            <w:pPr>
              <w:pStyle w:val="Compact"/>
            </w:pPr>
            <w:r>
              <w:t xml:space="preserve">Automated append-only write (A)</w:t>
            </w:r>
          </w:p>
        </w:tc>
        <w:tc>
          <w:tcPr/>
          <w:p>
            <w:pPr>
              <w:pStyle w:val="Compact"/>
            </w:pPr>
            <w:r>
              <w:t xml:space="preserve">WORM storage; Internal Audit has read access; 7-year retention</w:t>
            </w:r>
          </w:p>
        </w:tc>
      </w:tr>
      <w:tr>
        <w:tc>
          <w:tcPr/>
          <w:p>
            <w:pPr>
              <w:pStyle w:val="Compact"/>
            </w:pPr>
            <w:r>
              <w:t xml:space="preserve">Vendor Intelligence KB</w:t>
            </w:r>
          </w:p>
        </w:tc>
        <w:tc>
          <w:tcPr/>
          <w:p>
            <w:pPr>
              <w:pStyle w:val="Compact"/>
            </w:pPr>
            <w:r>
              <w:t xml:space="preserve">Vendor risk assessments, due diligence results, monitoring outcomes, incident history, termination rationale</w:t>
            </w:r>
          </w:p>
        </w:tc>
        <w:tc>
          <w:tcPr/>
          <w:p>
            <w:pPr>
              <w:pStyle w:val="Compact"/>
            </w:pPr>
            <w:r>
              <w:t xml:space="preserve">TPRM processes; monitoring agents; incident management</w:t>
            </w:r>
          </w:p>
        </w:tc>
        <w:tc>
          <w:tcPr/>
          <w:p>
            <w:pPr>
              <w:pStyle w:val="Compact"/>
            </w:pPr>
            <w:r>
              <w:t xml:space="preserve">Agent captures monitoring data (DA); TPRM validates (H)</w:t>
            </w:r>
          </w:p>
        </w:tc>
        <w:tc>
          <w:tcPr/>
          <w:p>
            <w:pPr>
              <w:pStyle w:val="Compact"/>
            </w:pPr>
            <w:r>
              <w:t xml:space="preserve">Third-Party Risk Manager owns; per-vendor lifecycle</w:t>
            </w:r>
          </w:p>
        </w:tc>
      </w:tr>
    </w:tbl>
    <w:bookmarkEnd w:id="101"/>
    <w:bookmarkStart w:id="102" w:name="knowledge-staging-workflow"/>
    <w:p>
      <w:pPr>
        <w:pStyle w:val="Heading3"/>
      </w:pPr>
      <w:r>
        <w:t xml:space="preserve">16.2 Knowledge Staging Workflow</w:t>
      </w:r>
    </w:p>
    <w:p>
      <w:pPr>
        <w:pStyle w:val="FirstParagraph"/>
      </w:pPr>
      <w:r>
        <w:t xml:space="preserve">The Knowledge Staging Agent operates continuously across all phases:</w:t>
      </w:r>
    </w:p>
    <w:p>
      <w:pPr>
        <w:numPr>
          <w:ilvl w:val="0"/>
          <w:numId w:val="1026"/>
        </w:numPr>
      </w:pPr>
      <w:r>
        <w:rPr>
          <w:b/>
          <w:bCs/>
        </w:rPr>
        <w:t xml:space="preserve">Phase 1:</w:t>
      </w:r>
      <w:r>
        <w:t xml:space="preserve"> </w:t>
      </w:r>
      <w:r>
        <w:t xml:space="preserve">Stages reuse decision rationale, compliance scan results,</w:t>
      </w:r>
      <w:r>
        <w:t xml:space="preserve"> </w:t>
      </w:r>
      <w:r>
        <w:t xml:space="preserve">and risk classification into Software Registry and Regulatory KB.</w:t>
      </w:r>
    </w:p>
    <w:p>
      <w:pPr>
        <w:numPr>
          <w:ilvl w:val="0"/>
          <w:numId w:val="1026"/>
        </w:numPr>
      </w:pPr>
      <w:r>
        <w:rPr>
          <w:b/>
          <w:bCs/>
        </w:rPr>
        <w:t xml:space="preserve">Phase 3:</w:t>
      </w:r>
      <w:r>
        <w:t xml:space="preserve"> </w:t>
      </w:r>
      <w:r>
        <w:t xml:space="preserve">Stages deduplication decisions, enrichment data, and</w:t>
      </w:r>
      <w:r>
        <w:t xml:space="preserve"> </w:t>
      </w:r>
      <w:r>
        <w:t xml:space="preserve">Product Owner validations into Software Registry.</w:t>
      </w:r>
    </w:p>
    <w:p>
      <w:pPr>
        <w:numPr>
          <w:ilvl w:val="0"/>
          <w:numId w:val="1026"/>
        </w:numPr>
      </w:pPr>
      <w:r>
        <w:rPr>
          <w:b/>
          <w:bCs/>
        </w:rPr>
        <w:t xml:space="preserve">Phase 4:</w:t>
      </w:r>
      <w:r>
        <w:t xml:space="preserve"> </w:t>
      </w:r>
      <w:r>
        <w:t xml:space="preserve">Stages Go/No-Go rationale, Buy/Build decisions, and</w:t>
      </w:r>
      <w:r>
        <w:t xml:space="preserve"> </w:t>
      </w:r>
      <w:r>
        <w:t xml:space="preserve">portfolio sequencing into Decision Audit Log.</w:t>
      </w:r>
    </w:p>
    <w:p>
      <w:pPr>
        <w:numPr>
          <w:ilvl w:val="0"/>
          <w:numId w:val="1026"/>
        </w:numPr>
      </w:pPr>
      <w:r>
        <w:rPr>
          <w:b/>
          <w:bCs/>
        </w:rPr>
        <w:t xml:space="preserve">Phase 5A:</w:t>
      </w:r>
      <w:r>
        <w:t xml:space="preserve"> </w:t>
      </w:r>
      <w:r>
        <w:t xml:space="preserve">Stages HLDD, observability design, PoC outcomes, and AI</w:t>
      </w:r>
      <w:r>
        <w:t xml:space="preserve"> </w:t>
      </w:r>
      <w:r>
        <w:t xml:space="preserve">governance checklist into AI Governance KB and Software Registry.</w:t>
      </w:r>
    </w:p>
    <w:p>
      <w:pPr>
        <w:numPr>
          <w:ilvl w:val="0"/>
          <w:numId w:val="1026"/>
        </w:numPr>
      </w:pPr>
      <w:r>
        <w:rPr>
          <w:b/>
          <w:bCs/>
        </w:rPr>
        <w:t xml:space="preserve">Phase 5B:</w:t>
      </w:r>
      <w:r>
        <w:t xml:space="preserve"> </w:t>
      </w:r>
      <w:r>
        <w:t xml:space="preserve">Stages vendor risk assessments, due diligence results,</w:t>
      </w:r>
      <w:r>
        <w:t xml:space="preserve"> </w:t>
      </w:r>
      <w:r>
        <w:t xml:space="preserve">contract terms, and Legal KG updates into Vendor Intelligence KB and</w:t>
      </w:r>
      <w:r>
        <w:t xml:space="preserve"> </w:t>
      </w:r>
      <w:r>
        <w:t xml:space="preserve">Legal Knowledge Graph.</w:t>
      </w:r>
    </w:p>
    <w:p>
      <w:pPr>
        <w:numPr>
          <w:ilvl w:val="0"/>
          <w:numId w:val="1026"/>
        </w:numPr>
      </w:pPr>
      <w:r>
        <w:rPr>
          <w:b/>
          <w:bCs/>
        </w:rPr>
        <w:t xml:space="preserve">Phase 6:</w:t>
      </w:r>
      <w:r>
        <w:t xml:space="preserve"> </w:t>
      </w:r>
      <w:r>
        <w:t xml:space="preserve">Stages monitoring outcomes, drift alerts, incident</w:t>
      </w:r>
      <w:r>
        <w:t xml:space="preserve"> </w:t>
      </w:r>
      <w:r>
        <w:t xml:space="preserve">reports, and termination rationale into all applicable knowledge</w:t>
      </w:r>
      <w:r>
        <w:t xml:space="preserve"> </w:t>
      </w:r>
      <w:r>
        <w:t xml:space="preserve">bases.</w:t>
      </w:r>
    </w:p>
    <w:p>
      <w:pPr>
        <w:pStyle w:val="BlockText"/>
      </w:pPr>
      <w:r>
        <w:rPr>
          <w:i/>
          <w:iCs/>
        </w:rPr>
        <w:t xml:space="preserve">Shadow Work Elimination: Every knowledge staging event replaces what</w:t>
      </w:r>
      <w:r>
        <w:rPr>
          <w:i/>
          <w:iCs/>
        </w:rPr>
        <w:t xml:space="preserve"> </w:t>
      </w:r>
      <w:r>
        <w:rPr>
          <w:i/>
          <w:iCs/>
        </w:rPr>
        <w:t xml:space="preserve">would otherwise be an email, a spreadsheet update, or an ad hoc</w:t>
      </w:r>
      <w:r>
        <w:rPr>
          <w:i/>
          <w:iCs/>
        </w:rPr>
        <w:t xml:space="preserve"> </w:t>
      </w:r>
      <w:r>
        <w:rPr>
          <w:i/>
          <w:iCs/>
        </w:rPr>
        <w:t xml:space="preserve">follow-up meeting. The Knowledge Staging Agent ensures that knowledge</w:t>
      </w:r>
      <w:r>
        <w:rPr>
          <w:i/>
          <w:iCs/>
        </w:rPr>
        <w:t xml:space="preserve"> </w:t>
      </w:r>
      <w:r>
        <w:rPr>
          <w:i/>
          <w:iCs/>
        </w:rPr>
        <w:t xml:space="preserve">flows from its point of generation into its point of consumption</w:t>
      </w:r>
      <w:r>
        <w:rPr>
          <w:i/>
          <w:iCs/>
        </w:rPr>
        <w:t xml:space="preserve"> </w:t>
      </w:r>
      <w:r>
        <w:rPr>
          <w:i/>
          <w:iCs/>
        </w:rPr>
        <w:t xml:space="preserve">without human intermediation.</w:t>
      </w:r>
    </w:p>
    <w:bookmarkEnd w:id="102"/>
    <w:bookmarkEnd w:id="103"/>
    <w:bookmarkStart w:id="106" w:name="Xd4c39eb1a06f5ff74a746b6abb2c6fdd38e54e1"/>
    <w:p>
      <w:pPr>
        <w:pStyle w:val="Heading2"/>
      </w:pPr>
      <w:r>
        <w:t xml:space="preserve">19. Front-Loaded Information Harvesting Model</w:t>
      </w:r>
    </w:p>
    <w:p>
      <w:pPr>
        <w:pStyle w:val="FirstParagraph"/>
      </w:pPr>
      <w:r>
        <w:t xml:space="preserve">One of the most significant sources of cycle time waste in traditional</w:t>
      </w:r>
      <w:r>
        <w:t xml:space="preserve"> </w:t>
      </w:r>
      <w:r>
        <w:t xml:space="preserve">TPRM and governance processes is the serial collection of</w:t>
      </w:r>
      <w:r>
        <w:t xml:space="preserve"> </w:t>
      </w:r>
      <w:r>
        <w:t xml:space="preserve">information—where data needed in Phase 5 is only requested after Phase</w:t>
      </w:r>
      <w:r>
        <w:t xml:space="preserve"> </w:t>
      </w:r>
      <w:r>
        <w:t xml:space="preserve">4 completes. This section redesigns the information flow to harvest</w:t>
      </w:r>
      <w:r>
        <w:t xml:space="preserve"> </w:t>
      </w:r>
      <w:r>
        <w:t xml:space="preserve">high-value information upstream, compressing downstream cycle times by</w:t>
      </w:r>
      <w:r>
        <w:t xml:space="preserve"> </w:t>
      </w:r>
      <w:r>
        <w:t xml:space="preserve">40–60%.</w:t>
      </w:r>
    </w:p>
    <w:bookmarkStart w:id="104" w:name="X2442ce96acdab8b286a68bd2cec1fbace7afdb1"/>
    <w:p>
      <w:pPr>
        <w:pStyle w:val="Heading3"/>
      </w:pPr>
      <w:r>
        <w:t xml:space="preserve">6.1 Information Demand Analysis: What Is Ultimately Required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Information Element</w:t>
            </w:r>
          </w:p>
        </w:tc>
        <w:tc>
          <w:tcPr/>
          <w:p>
            <w:pPr>
              <w:pStyle w:val="Compact"/>
            </w:pPr>
            <w:r>
              <w:t xml:space="preserve">Currently Collected In</w:t>
            </w:r>
          </w:p>
        </w:tc>
        <w:tc>
          <w:tcPr/>
          <w:p>
            <w:pPr>
              <w:pStyle w:val="Compact"/>
            </w:pPr>
            <w:r>
              <w:t xml:space="preserve">Optimized Collection In</w:t>
            </w:r>
          </w:p>
        </w:tc>
        <w:tc>
          <w:tcPr/>
          <w:p>
            <w:pPr>
              <w:pStyle w:val="Compact"/>
            </w:pPr>
            <w:r>
              <w:t xml:space="preserve">Time Saved</w:t>
            </w:r>
          </w:p>
        </w:tc>
        <w:tc>
          <w:tcPr/>
          <w:p>
            <w:pPr>
              <w:pStyle w:val="Compact"/>
            </w:pPr>
            <w:r>
              <w:t xml:space="preserve">Downstream Impact</w:t>
            </w:r>
          </w:p>
        </w:tc>
        <w:tc>
          <w:tcPr/>
          <w:p>
            <w:pPr>
              <w:pStyle w:val="Compact"/>
            </w:pPr>
            <w:r>
              <w:t xml:space="preserve">Pre-Structuring Method</w:t>
            </w:r>
          </w:p>
        </w:tc>
      </w:tr>
      <w:tr>
        <w:tc>
          <w:tcPr/>
          <w:p>
            <w:pPr>
              <w:pStyle w:val="Compact"/>
            </w:pPr>
            <w:r>
              <w:t xml:space="preserve">Vendor SOC 2 / SOC 2 Type II Reports</w:t>
            </w:r>
          </w:p>
        </w:tc>
        <w:tc>
          <w:tcPr/>
          <w:p>
            <w:pPr>
              <w:pStyle w:val="Compact"/>
            </w:pPr>
            <w:r>
              <w:t xml:space="preserve">Phase 3 (Due Diligence)</w:t>
            </w:r>
          </w:p>
        </w:tc>
        <w:tc>
          <w:tcPr/>
          <w:p>
            <w:pPr>
              <w:pStyle w:val="Compact"/>
            </w:pPr>
            <w:r>
              <w:t xml:space="preserve">Phase 1 (Intake)</w:t>
            </w:r>
          </w:p>
        </w:tc>
        <w:tc>
          <w:tcPr/>
          <w:p>
            <w:pPr>
              <w:pStyle w:val="Compact"/>
            </w:pPr>
            <w:r>
              <w:t xml:space="preserve">2–3 days</w:t>
            </w:r>
          </w:p>
        </w:tc>
        <w:tc>
          <w:tcPr/>
          <w:p>
            <w:pPr>
              <w:pStyle w:val="Compact"/>
            </w:pPr>
            <w:r>
              <w:t xml:space="preserve">Enables parallel agent swarm analysis during planning</w:t>
            </w:r>
          </w:p>
        </w:tc>
        <w:tc>
          <w:tcPr/>
          <w:p>
            <w:pPr>
              <w:pStyle w:val="Compact"/>
            </w:pPr>
            <w:r>
              <w:t xml:space="preserve">Trust Center API auto-ingestion at intake trigger</w:t>
            </w:r>
          </w:p>
        </w:tc>
      </w:tr>
      <w:tr>
        <w:tc>
          <w:tcPr/>
          <w:p>
            <w:pPr>
              <w:pStyle w:val="Compact"/>
            </w:pPr>
            <w:r>
              <w:t xml:space="preserve">Data Processing Addendum (DPA) Terms</w:t>
            </w:r>
          </w:p>
        </w:tc>
        <w:tc>
          <w:tcPr/>
          <w:p>
            <w:pPr>
              <w:pStyle w:val="Compact"/>
            </w:pPr>
            <w:r>
              <w:t xml:space="preserve">Phase 5 (Contracting)</w:t>
            </w:r>
          </w:p>
        </w:tc>
        <w:tc>
          <w:tcPr/>
          <w:p>
            <w:pPr>
              <w:pStyle w:val="Compact"/>
            </w:pPr>
            <w:r>
              <w:t xml:space="preserve">Phase 1 (Intake)</w:t>
            </w:r>
          </w:p>
        </w:tc>
        <w:tc>
          <w:tcPr/>
          <w:p>
            <w:pPr>
              <w:pStyle w:val="Compact"/>
            </w:pPr>
            <w:r>
              <w:t xml:space="preserve">3–5 days</w:t>
            </w:r>
          </w:p>
        </w:tc>
        <w:tc>
          <w:tcPr/>
          <w:p>
            <w:pPr>
              <w:pStyle w:val="Compact"/>
            </w:pPr>
            <w:r>
              <w:t xml:space="preserve">Pre-qualifies contractual readiness; eliminates negotiation loops</w:t>
            </w:r>
          </w:p>
        </w:tc>
        <w:tc>
          <w:tcPr/>
          <w:p>
            <w:pPr>
              <w:pStyle w:val="Compact"/>
            </w:pPr>
            <w:r>
              <w:t xml:space="preserve">Standard DPA template with vendor self-attestation</w:t>
            </w:r>
          </w:p>
        </w:tc>
      </w:tr>
      <w:tr>
        <w:tc>
          <w:tcPr/>
          <w:p>
            <w:pPr>
              <w:pStyle w:val="Compact"/>
            </w:pPr>
            <w:r>
              <w:t xml:space="preserve">AI Model Cards and Training Data Provenance</w:t>
            </w:r>
          </w:p>
        </w:tc>
        <w:tc>
          <w:tcPr/>
          <w:p>
            <w:pPr>
              <w:pStyle w:val="Compact"/>
            </w:pPr>
            <w:r>
              <w:t xml:space="preserve">Phase 3 (Due Diligence)</w:t>
            </w:r>
          </w:p>
        </w:tc>
        <w:tc>
          <w:tcPr/>
          <w:p>
            <w:pPr>
              <w:pStyle w:val="Compact"/>
            </w:pPr>
            <w:r>
              <w:t xml:space="preserve">Phase 1 (Intake)</w:t>
            </w:r>
          </w:p>
        </w:tc>
        <w:tc>
          <w:tcPr/>
          <w:p>
            <w:pPr>
              <w:pStyle w:val="Compact"/>
            </w:pPr>
            <w:r>
              <w:t xml:space="preserve">2–3 days</w:t>
            </w:r>
          </w:p>
        </w:tc>
        <w:tc>
          <w:tcPr/>
          <w:p>
            <w:pPr>
              <w:pStyle w:val="Compact"/>
            </w:pPr>
            <w:r>
              <w:t xml:space="preserve">Enables risk scoring to include AI-specific factors from the start</w:t>
            </w:r>
          </w:p>
        </w:tc>
        <w:tc>
          <w:tcPr/>
          <w:p>
            <w:pPr>
              <w:pStyle w:val="Compact"/>
            </w:pPr>
            <w:r>
              <w:t xml:space="preserve">Standardized model card template in intake form</w:t>
            </w:r>
          </w:p>
        </w:tc>
      </w:tr>
      <w:tr>
        <w:tc>
          <w:tcPr/>
          <w:p>
            <w:pPr>
              <w:pStyle w:val="Compact"/>
            </w:pPr>
            <w:r>
              <w:t xml:space="preserve">Regulatory Framework Applicability</w:t>
            </w:r>
          </w:p>
        </w:tc>
        <w:tc>
          <w:tcPr/>
          <w:p>
            <w:pPr>
              <w:pStyle w:val="Compact"/>
            </w:pPr>
            <w:r>
              <w:t xml:space="preserve">Phase 2 (Planning)</w:t>
            </w:r>
          </w:p>
        </w:tc>
        <w:tc>
          <w:tcPr/>
          <w:p>
            <w:pPr>
              <w:pStyle w:val="Compact"/>
            </w:pPr>
            <w:r>
              <w:t xml:space="preserve">Phase 1 (Intake)</w:t>
            </w:r>
          </w:p>
        </w:tc>
        <w:tc>
          <w:tcPr/>
          <w:p>
            <w:pPr>
              <w:pStyle w:val="Compact"/>
            </w:pPr>
            <w:r>
              <w:t xml:space="preserve">1–2 days</w:t>
            </w:r>
          </w:p>
        </w:tc>
        <w:tc>
          <w:tcPr/>
          <w:p>
            <w:pPr>
              <w:pStyle w:val="Compact"/>
            </w:pPr>
            <w:r>
              <w:t xml:space="preserve">Deterministic rule engine maps regulations automatically at intake</w:t>
            </w:r>
          </w:p>
        </w:tc>
        <w:tc>
          <w:tcPr/>
          <w:p>
            <w:pPr>
              <w:pStyle w:val="Compact"/>
            </w:pPr>
            <w:r>
              <w:t xml:space="preserve">Data type + geography + industry = auto-mapped frameworks</w:t>
            </w:r>
          </w:p>
        </w:tc>
      </w:tr>
      <w:tr>
        <w:tc>
          <w:tcPr/>
          <w:p>
            <w:pPr>
              <w:pStyle w:val="Compact"/>
            </w:pPr>
            <w:r>
              <w:t xml:space="preserve">Financial Statements and Insurance Certificates</w:t>
            </w:r>
          </w:p>
        </w:tc>
        <w:tc>
          <w:tcPr/>
          <w:p>
            <w:pPr>
              <w:pStyle w:val="Compact"/>
            </w:pPr>
            <w:r>
              <w:t xml:space="preserve">Phase 3 (Due Diligence)</w:t>
            </w:r>
          </w:p>
        </w:tc>
        <w:tc>
          <w:tcPr/>
          <w:p>
            <w:pPr>
              <w:pStyle w:val="Compact"/>
            </w:pPr>
            <w:r>
              <w:t xml:space="preserve">Phase 1 (Intake)</w:t>
            </w:r>
          </w:p>
        </w:tc>
        <w:tc>
          <w:tcPr/>
          <w:p>
            <w:pPr>
              <w:pStyle w:val="Compact"/>
            </w:pPr>
            <w:r>
              <w:t xml:space="preserve">1–2 days</w:t>
            </w:r>
          </w:p>
        </w:tc>
        <w:tc>
          <w:tcPr/>
          <w:p>
            <w:pPr>
              <w:pStyle w:val="Compact"/>
            </w:pPr>
            <w:r>
              <w:t xml:space="preserve">Allows financial stability check to run in parallel with technical assessment</w:t>
            </w:r>
          </w:p>
        </w:tc>
        <w:tc>
          <w:tcPr/>
          <w:p>
            <w:pPr>
              <w:pStyle w:val="Compact"/>
            </w:pPr>
            <w:r>
              <w:t xml:space="preserve">Vendor portal upload requirements at intake</w:t>
            </w:r>
          </w:p>
        </w:tc>
      </w:tr>
      <w:tr>
        <w:tc>
          <w:tcPr/>
          <w:p>
            <w:pPr>
              <w:pStyle w:val="Compact"/>
            </w:pPr>
            <w:r>
              <w:t xml:space="preserve">Penetration Test Results</w:t>
            </w:r>
          </w:p>
        </w:tc>
        <w:tc>
          <w:tcPr/>
          <w:p>
            <w:pPr>
              <w:pStyle w:val="Compact"/>
            </w:pPr>
            <w:r>
              <w:t xml:space="preserve">Phase 3 (Due Diligence)</w:t>
            </w:r>
          </w:p>
        </w:tc>
        <w:tc>
          <w:tcPr/>
          <w:p>
            <w:pPr>
              <w:pStyle w:val="Compact"/>
            </w:pPr>
            <w:r>
              <w:t xml:space="preserve">Phase 1 (Intake)</w:t>
            </w:r>
          </w:p>
        </w:tc>
        <w:tc>
          <w:tcPr/>
          <w:p>
            <w:pPr>
              <w:pStyle w:val="Compact"/>
            </w:pPr>
            <w:r>
              <w:t xml:space="preserve">2–3 days</w:t>
            </w:r>
          </w:p>
        </w:tc>
        <w:tc>
          <w:tcPr/>
          <w:p>
            <w:pPr>
              <w:pStyle w:val="Compact"/>
            </w:pPr>
            <w:r>
              <w:t xml:space="preserve">Enables immediate cybersecurity assessment without waiting for due diligence phase</w:t>
            </w:r>
          </w:p>
        </w:tc>
        <w:tc>
          <w:tcPr/>
          <w:p>
            <w:pPr>
              <w:pStyle w:val="Compact"/>
            </w:pPr>
            <w:r>
              <w:t xml:space="preserve">Trust Center auto-pull or vendor self-service upload at intake</w:t>
            </w:r>
          </w:p>
        </w:tc>
      </w:tr>
      <w:tr>
        <w:tc>
          <w:tcPr/>
          <w:p>
            <w:pPr>
              <w:pStyle w:val="Compact"/>
            </w:pPr>
            <w:r>
              <w:t xml:space="preserve">Subcontractor/Nth-Party Dependency Map</w:t>
            </w:r>
          </w:p>
        </w:tc>
        <w:tc>
          <w:tcPr/>
          <w:p>
            <w:pPr>
              <w:pStyle w:val="Compact"/>
            </w:pPr>
            <w:r>
              <w:t xml:space="preserve">Phase 3 (Due Diligence)</w:t>
            </w:r>
          </w:p>
        </w:tc>
        <w:tc>
          <w:tcPr/>
          <w:p>
            <w:pPr>
              <w:pStyle w:val="Compact"/>
            </w:pPr>
            <w:r>
              <w:t xml:space="preserve">Phase 2 (Planning)</w:t>
            </w:r>
          </w:p>
        </w:tc>
        <w:tc>
          <w:tcPr/>
          <w:p>
            <w:pPr>
              <w:pStyle w:val="Compact"/>
            </w:pPr>
            <w:r>
              <w:t xml:space="preserve">1–2 days</w:t>
            </w:r>
          </w:p>
        </w:tc>
        <w:tc>
          <w:tcPr/>
          <w:p>
            <w:pPr>
              <w:pStyle w:val="Compact"/>
            </w:pPr>
            <w:r>
              <w:t xml:space="preserve">Enables scope expansion to include Nth-party risks in initial assessment</w:t>
            </w:r>
          </w:p>
        </w:tc>
        <w:tc>
          <w:tcPr/>
          <w:p>
            <w:pPr>
              <w:pStyle w:val="Compact"/>
            </w:pPr>
            <w:r>
              <w:t xml:space="preserve">Structured questionnaire with vendor dependency disclosure</w:t>
            </w:r>
          </w:p>
        </w:tc>
      </w:tr>
    </w:tbl>
    <w:bookmarkEnd w:id="104"/>
    <w:bookmarkStart w:id="105" w:name="deterministic-knowledge-foundations"/>
    <w:p>
      <w:pPr>
        <w:pStyle w:val="Heading3"/>
      </w:pPr>
      <w:r>
        <w:t xml:space="preserve">6.2 Deterministic Knowledge Foundations</w:t>
      </w:r>
    </w:p>
    <w:p>
      <w:pPr>
        <w:pStyle w:val="FirstParagraph"/>
      </w:pPr>
      <w:r>
        <w:t xml:space="preserve">The front-loaded information harvesting model is anchored to</w:t>
      </w:r>
      <w:r>
        <w:t xml:space="preserve"> </w:t>
      </w:r>
      <w:r>
        <w:t xml:space="preserve">deterministic knowledge foundations that ensure required data elements</w:t>
      </w:r>
      <w:r>
        <w:t xml:space="preserve"> </w:t>
      </w:r>
      <w:r>
        <w:t xml:space="preserve">are known in advance, the knowledge base is pre-structured, and</w:t>
      </w:r>
      <w:r>
        <w:t xml:space="preserve"> </w:t>
      </w:r>
      <w:r>
        <w:t xml:space="preserve">governance logic can be applied programmatically. This transforms TPRM</w:t>
      </w:r>
      <w:r>
        <w:t xml:space="preserve"> </w:t>
      </w:r>
      <w:r>
        <w:t xml:space="preserve">from a reactive document-chase process to a proactive, data-driven</w:t>
      </w:r>
      <w:r>
        <w:t xml:space="preserve"> </w:t>
      </w:r>
      <w:r>
        <w:t xml:space="preserve">operating model.</w:t>
      </w:r>
    </w:p>
    <w:p>
      <w:pPr>
        <w:pStyle w:val="BodyText"/>
      </w:pPr>
      <w:r>
        <w:rPr>
          <w:b/>
          <w:bCs/>
        </w:rPr>
        <w:t xml:space="preserve">Pre-Defined Data Taxonomy:</w:t>
      </w:r>
      <w:r>
        <w:t xml:space="preserve"> </w:t>
      </w:r>
      <w:r>
        <w:t xml:space="preserve">Every information element required across</w:t>
      </w:r>
      <w:r>
        <w:t xml:space="preserve"> </w:t>
      </w:r>
      <w:r>
        <w:t xml:space="preserve">all 8 phases is catalogued in a master data taxonomy. At intake, the</w:t>
      </w:r>
      <w:r>
        <w:t xml:space="preserve"> </w:t>
      </w:r>
      <w:r>
        <w:t xml:space="preserve">system knows exactly what it will need for every downstream phase and</w:t>
      </w:r>
      <w:r>
        <w:t xml:space="preserve"> </w:t>
      </w:r>
      <w:r>
        <w:t xml:space="preserve">begins collection immediately.</w:t>
      </w:r>
    </w:p>
    <w:p>
      <w:pPr>
        <w:pStyle w:val="BodyText"/>
      </w:pPr>
      <w:r>
        <w:rPr>
          <w:b/>
          <w:bCs/>
        </w:rPr>
        <w:t xml:space="preserve">Pre-Structured Knowledge Base:</w:t>
      </w:r>
      <w:r>
        <w:t xml:space="preserve"> </w:t>
      </w:r>
      <w:r>
        <w:t xml:space="preserve">The knowledge base schema mirrors the</w:t>
      </w:r>
      <w:r>
        <w:t xml:space="preserve"> </w:t>
      </w:r>
      <w:r>
        <w:t xml:space="preserve">governance and compliance framework structure. When evidence is</w:t>
      </w:r>
      <w:r>
        <w:t xml:space="preserve"> </w:t>
      </w:r>
      <w:r>
        <w:t xml:space="preserve">collected, it is automatically classified and stored in the correct</w:t>
      </w:r>
      <w:r>
        <w:t xml:space="preserve"> </w:t>
      </w:r>
      <w:r>
        <w:t xml:space="preserve">location for downstream consumption.</w:t>
      </w:r>
    </w:p>
    <w:p>
      <w:pPr>
        <w:pStyle w:val="BodyText"/>
      </w:pPr>
      <w:r>
        <w:rPr>
          <w:b/>
          <w:bCs/>
        </w:rPr>
        <w:t xml:space="preserve">Programmatic Governance Logic:</w:t>
      </w:r>
      <w:r>
        <w:t xml:space="preserve"> </w:t>
      </w:r>
      <w:r>
        <w:t xml:space="preserve">Control requirements, approval</w:t>
      </w:r>
      <w:r>
        <w:t xml:space="preserve"> </w:t>
      </w:r>
      <w:r>
        <w:t xml:space="preserve">thresholds, escalation rules, and SLA timelines are encoded as</w:t>
      </w:r>
      <w:r>
        <w:t xml:space="preserve"> </w:t>
      </w:r>
      <w:r>
        <w:t xml:space="preserve">executable rules in the BPM engine. This eliminates interpretation</w:t>
      </w:r>
      <w:r>
        <w:t xml:space="preserve"> </w:t>
      </w:r>
      <w:r>
        <w:t xml:space="preserve">variance and ensures consistent application of governance standards.</w:t>
      </w:r>
    </w:p>
    <w:p>
      <w:pPr>
        <w:pStyle w:val="BodyText"/>
      </w:pPr>
      <w:r>
        <w:rPr>
          <w:b/>
          <w:bCs/>
        </w:rPr>
        <w:t xml:space="preserve">Cumulative Knowledge Effect:</w:t>
      </w:r>
      <w:r>
        <w:t xml:space="preserve"> </w:t>
      </w:r>
      <w:r>
        <w:t xml:space="preserve">Each completed assessment enriches the</w:t>
      </w:r>
      <w:r>
        <w:t xml:space="preserve"> </w:t>
      </w:r>
      <w:r>
        <w:t xml:space="preserve">knowledge base. Subsequent assessments for similar vendor profiles</w:t>
      </w:r>
      <w:r>
        <w:t xml:space="preserve"> </w:t>
      </w:r>
      <w:r>
        <w:t xml:space="preserve">benefit from prior evidence patterns, benchmark data, and established</w:t>
      </w:r>
      <w:r>
        <w:t xml:space="preserve"> </w:t>
      </w:r>
      <w:r>
        <w:t xml:space="preserve">risk profiles—reducing incremental assessment effort by 30–50% over</w:t>
      </w:r>
      <w:r>
        <w:t xml:space="preserve"> </w:t>
      </w:r>
      <w:r>
        <w:t xml:space="preserve">time.</w:t>
      </w:r>
    </w:p>
    <w:p>
      <w:r>
        <w:pict>
          <v:rect style="width:0;height:1.5pt" o:hralign="center" o:hrstd="t" o:hr="t"/>
        </w:pict>
      </w:r>
    </w:p>
    <w:bookmarkEnd w:id="105"/>
    <w:bookmarkEnd w:id="106"/>
    <w:bookmarkEnd w:id="107"/>
    <w:bookmarkStart w:id="125" w:name="part-vii-observability-and-operations"/>
    <w:p>
      <w:pPr>
        <w:pStyle w:val="Heading1"/>
      </w:pPr>
      <w:r>
        <w:t xml:space="preserve">Part VII: Observability and Operations</w:t>
      </w:r>
    </w:p>
    <w:bookmarkStart w:id="112" w:name="Xfe8478f037a7b9daa12176a7391581d1d1832a0"/>
    <w:p>
      <w:pPr>
        <w:pStyle w:val="Heading2"/>
      </w:pPr>
      <w:r>
        <w:t xml:space="preserve">20. Phase 6: Post-Deployment Observability and Audit Governance</w:t>
      </w:r>
    </w:p>
    <w:p>
      <w:pPr>
        <w:pStyle w:val="BlockText"/>
      </w:pPr>
      <w:r>
        <w:rPr>
          <w:b/>
          <w:bCs/>
        </w:rPr>
        <w:t xml:space="preserve">P6 Post-Deployment Observability and Audit Governance</w:t>
      </w:r>
    </w:p>
    <w:p>
      <w:pPr>
        <w:pStyle w:val="BlockText"/>
      </w:pPr>
      <w:r>
        <w:rPr>
          <w:i/>
          <w:iCs/>
        </w:rPr>
        <w:t xml:space="preserve">Continuous. Designed in Phase 5A. Activated at Go-to-Market. Required</w:t>
      </w:r>
      <w:r>
        <w:rPr>
          <w:i/>
          <w:iCs/>
        </w:rPr>
        <w:t xml:space="preserve"> </w:t>
      </w:r>
      <w:r>
        <w:rPr>
          <w:i/>
          <w:iCs/>
        </w:rPr>
        <w:t xml:space="preserve">by SR 11-7, SEC, and FINRA.</w:t>
      </w:r>
    </w:p>
    <w:bookmarkStart w:id="108" w:name="regulatory-imperative"/>
    <w:p>
      <w:pPr>
        <w:pStyle w:val="Heading3"/>
      </w:pPr>
      <w:r>
        <w:t xml:space="preserve">13.1 Regulatory Imperative</w:t>
      </w:r>
    </w:p>
    <w:p>
      <w:pPr>
        <w:pStyle w:val="FirstParagraph"/>
      </w:pPr>
      <w:r>
        <w:t xml:space="preserve">The SEC Cybersecurity Disclosure Rule (2023), SR 11-7, FINRA Rule 4511,</w:t>
      </w:r>
      <w:r>
        <w:t xml:space="preserve"> </w:t>
      </w:r>
      <w:r>
        <w:t xml:space="preserve">and SEC Rule 17a-4 collectively require comprehensive, structured, and</w:t>
      </w:r>
      <w:r>
        <w:t xml:space="preserve"> </w:t>
      </w:r>
      <w:r>
        <w:t xml:space="preserve">retrievable audit trails for all material decisions—including those</w:t>
      </w:r>
      <w:r>
        <w:t xml:space="preserve"> </w:t>
      </w:r>
      <w:r>
        <w:t xml:space="preserve">augmented by AI or agents. These requirements must be designed into</w:t>
      </w:r>
      <w:r>
        <w:t xml:space="preserve"> </w:t>
      </w:r>
      <w:r>
        <w:t xml:space="preserve">systems before deployment.</w:t>
      </w:r>
    </w:p>
    <w:bookmarkEnd w:id="108"/>
    <w:bookmarkStart w:id="109" w:name="mandatory-observability-event-schema"/>
    <w:p>
      <w:pPr>
        <w:pStyle w:val="Heading3"/>
      </w:pPr>
      <w:r>
        <w:t xml:space="preserve">13.2 Mandatory Observability Event Schema</w:t>
      </w:r>
    </w:p>
    <w:p>
      <w:pPr>
        <w:pStyle w:val="FirstParagraph"/>
      </w:pPr>
      <w:r>
        <w:t xml:space="preserve">Every AI-assisted, agent-enabled, or automated decision must generate an</w:t>
      </w:r>
      <w:r>
        <w:t xml:space="preserve"> </w:t>
      </w:r>
      <w:r>
        <w:t xml:space="preserve">immutable event record written to an append-only audit log. Task type:</w:t>
      </w:r>
      <w:r>
        <w:t xml:space="preserve"> </w:t>
      </w:r>
      <w:r>
        <w:rPr>
          <w:b/>
          <w:bCs/>
        </w:rPr>
        <w:t xml:space="preserve">Automated (A)</w:t>
      </w:r>
      <w:r>
        <w:t xml:space="preserve">.</w:t>
      </w:r>
    </w:p>
    <w:p>
      <w:pPr>
        <w:numPr>
          <w:ilvl w:val="0"/>
          <w:numId w:val="1027"/>
        </w:numPr>
      </w:pPr>
      <w:r>
        <w:rPr>
          <w:b/>
          <w:bCs/>
        </w:rPr>
        <w:t xml:space="preserve">decision_id (UUID):</w:t>
      </w:r>
      <w:r>
        <w:t xml:space="preserve"> </w:t>
      </w:r>
      <w:r>
        <w:t xml:space="preserve">Globally unique identifier. Primary</w:t>
      </w:r>
      <w:r>
        <w:t xml:space="preserve"> </w:t>
      </w:r>
      <w:r>
        <w:t xml:space="preserve">correlation key for audit lookups.</w:t>
      </w:r>
    </w:p>
    <w:p>
      <w:pPr>
        <w:numPr>
          <w:ilvl w:val="0"/>
          <w:numId w:val="1027"/>
        </w:numPr>
      </w:pPr>
      <w:r>
        <w:rPr>
          <w:b/>
          <w:bCs/>
        </w:rPr>
        <w:t xml:space="preserve">request_id:</w:t>
      </w:r>
      <w:r>
        <w:t xml:space="preserve"> </w:t>
      </w:r>
      <w:r>
        <w:t xml:space="preserve">Correlation to originating intake request; full</w:t>
      </w:r>
      <w:r>
        <w:t xml:space="preserve"> </w:t>
      </w:r>
      <w:r>
        <w:t xml:space="preserve">lifecycle trace.</w:t>
      </w:r>
    </w:p>
    <w:p>
      <w:pPr>
        <w:numPr>
          <w:ilvl w:val="0"/>
          <w:numId w:val="1027"/>
        </w:numPr>
      </w:pPr>
      <w:r>
        <w:rPr>
          <w:b/>
          <w:bCs/>
        </w:rPr>
        <w:t xml:space="preserve">process_phase:</w:t>
      </w:r>
      <w:r>
        <w:t xml:space="preserve"> </w:t>
      </w:r>
      <w:r>
        <w:t xml:space="preserve">Enumerated value (Phase 0–6).</w:t>
      </w:r>
    </w:p>
    <w:p>
      <w:pPr>
        <w:numPr>
          <w:ilvl w:val="0"/>
          <w:numId w:val="1027"/>
        </w:numPr>
      </w:pPr>
      <w:r>
        <w:rPr>
          <w:b/>
          <w:bCs/>
        </w:rPr>
        <w:t xml:space="preserve">decision_type:</w:t>
      </w:r>
      <w:r>
        <w:t xml:space="preserve"> </w:t>
      </w:r>
      <w:r>
        <w:t xml:space="preserve">DMN_RULE | AGENT_CLASSIFICATION | HUMAN_OVERRIDE</w:t>
      </w:r>
      <w:r>
        <w:t xml:space="preserve"> </w:t>
      </w:r>
      <w:r>
        <w:t xml:space="preserve">| AUTOMATED_TRIGGER.</w:t>
      </w:r>
    </w:p>
    <w:p>
      <w:pPr>
        <w:numPr>
          <w:ilvl w:val="0"/>
          <w:numId w:val="1027"/>
        </w:numPr>
      </w:pPr>
      <w:r>
        <w:rPr>
          <w:b/>
          <w:bCs/>
        </w:rPr>
        <w:t xml:space="preserve">rule_id or model_version:</w:t>
      </w:r>
      <w:r>
        <w:t xml:space="preserve"> </w:t>
      </w:r>
      <w:r>
        <w:t xml:space="preserve">Specific DMN rule ID or AI model version</w:t>
      </w:r>
      <w:r>
        <w:t xml:space="preserve"> </w:t>
      </w:r>
      <w:r>
        <w:t xml:space="preserve">and build hash.</w:t>
      </w:r>
    </w:p>
    <w:p>
      <w:pPr>
        <w:numPr>
          <w:ilvl w:val="0"/>
          <w:numId w:val="1027"/>
        </w:numPr>
      </w:pPr>
      <w:r>
        <w:rPr>
          <w:b/>
          <w:bCs/>
        </w:rPr>
        <w:t xml:space="preserve">knowledge_base_version:</w:t>
      </w:r>
      <w:r>
        <w:t xml:space="preserve"> </w:t>
      </w:r>
      <w:r>
        <w:t xml:space="preserve">Version of the deterministic knowledge</w:t>
      </w:r>
      <w:r>
        <w:t xml:space="preserve"> </w:t>
      </w:r>
      <w:r>
        <w:t xml:space="preserve">base used by agent (if applicable).</w:t>
      </w:r>
    </w:p>
    <w:p>
      <w:pPr>
        <w:numPr>
          <w:ilvl w:val="0"/>
          <w:numId w:val="1027"/>
        </w:numPr>
      </w:pPr>
      <w:r>
        <w:rPr>
          <w:b/>
          <w:bCs/>
        </w:rPr>
        <w:t xml:space="preserve">input_hash (SHA-256):</w:t>
      </w:r>
      <w:r>
        <w:t xml:space="preserve"> </w:t>
      </w:r>
      <w:r>
        <w:t xml:space="preserve">Cryptographic hash of full input</w:t>
      </w:r>
      <w:r>
        <w:t xml:space="preserve"> </w:t>
      </w:r>
      <w:r>
        <w:t xml:space="preserve">payload—tamper detection.</w:t>
      </w:r>
    </w:p>
    <w:p>
      <w:pPr>
        <w:numPr>
          <w:ilvl w:val="0"/>
          <w:numId w:val="1027"/>
        </w:numPr>
      </w:pPr>
      <w:r>
        <w:rPr>
          <w:b/>
          <w:bCs/>
        </w:rPr>
        <w:t xml:space="preserve">output:</w:t>
      </w:r>
      <w:r>
        <w:t xml:space="preserve"> </w:t>
      </w:r>
      <w:r>
        <w:t xml:space="preserve">Decision outcome (pathway, score, routing, approval,</w:t>
      </w:r>
      <w:r>
        <w:t xml:space="preserve"> </w:t>
      </w:r>
      <w:r>
        <w:t xml:space="preserve">rejection, escalation).</w:t>
      </w:r>
    </w:p>
    <w:p>
      <w:pPr>
        <w:numPr>
          <w:ilvl w:val="0"/>
          <w:numId w:val="1027"/>
        </w:numPr>
      </w:pPr>
      <w:r>
        <w:rPr>
          <w:b/>
          <w:bCs/>
        </w:rPr>
        <w:t xml:space="preserve">confidence_score:</w:t>
      </w:r>
      <w:r>
        <w:t xml:space="preserve"> </w:t>
      </w:r>
      <w:r>
        <w:t xml:space="preserve">For agent-based decisions (0–100%); N/A for</w:t>
      </w:r>
      <w:r>
        <w:t xml:space="preserve"> </w:t>
      </w:r>
      <w:r>
        <w:t xml:space="preserve">deterministic DMN.</w:t>
      </w:r>
    </w:p>
    <w:p>
      <w:pPr>
        <w:numPr>
          <w:ilvl w:val="0"/>
          <w:numId w:val="1027"/>
        </w:numPr>
      </w:pPr>
      <w:r>
        <w:rPr>
          <w:b/>
          <w:bCs/>
        </w:rPr>
        <w:t xml:space="preserve">human_reviewer_role:</w:t>
      </w:r>
      <w:r>
        <w:t xml:space="preserve"> </w:t>
      </w:r>
      <w:r>
        <w:t xml:space="preserve">If human override—reviewer role (not</w:t>
      </w:r>
      <w:r>
        <w:t xml:space="preserve"> </w:t>
      </w:r>
      <w:r>
        <w:t xml:space="preserve">identity); rationale (min 50 characters).</w:t>
      </w:r>
    </w:p>
    <w:p>
      <w:pPr>
        <w:numPr>
          <w:ilvl w:val="0"/>
          <w:numId w:val="1027"/>
        </w:numPr>
      </w:pPr>
      <w:r>
        <w:rPr>
          <w:b/>
          <w:bCs/>
        </w:rPr>
        <w:t xml:space="preserve">timestamp_utc (ISO 8601):</w:t>
      </w:r>
      <w:r>
        <w:t xml:space="preserve"> </w:t>
      </w:r>
      <w:r>
        <w:t xml:space="preserve">Millisecond resolution.</w:t>
      </w:r>
    </w:p>
    <w:p>
      <w:pPr>
        <w:numPr>
          <w:ilvl w:val="0"/>
          <w:numId w:val="1027"/>
        </w:numPr>
      </w:pPr>
      <w:r>
        <w:rPr>
          <w:b/>
          <w:bCs/>
        </w:rPr>
        <w:t xml:space="preserve">session_id:</w:t>
      </w:r>
      <w:r>
        <w:t xml:space="preserve"> </w:t>
      </w:r>
      <w:r>
        <w:t xml:space="preserve">Intake session correlation for multi-step chains.</w:t>
      </w:r>
    </w:p>
    <w:p>
      <w:pPr>
        <w:pStyle w:val="FirstParagraph"/>
      </w:pPr>
      <w:r>
        <w:rPr>
          <w:b/>
          <w:bCs/>
        </w:rPr>
        <w:t xml:space="preserve">Data Retention:</w:t>
      </w:r>
      <w:r>
        <w:t xml:space="preserve"> </w:t>
      </w:r>
      <w:r>
        <w:t xml:space="preserve">Regulated financial decisions: 7 years minimum</w:t>
      </w:r>
      <w:r>
        <w:t xml:space="preserve"> </w:t>
      </w:r>
      <w:r>
        <w:t xml:space="preserve">(FINRA 4511; SEC 17a-4). Operational decisions: 3 years minimum; 7 years</w:t>
      </w:r>
      <w:r>
        <w:t xml:space="preserve"> </w:t>
      </w:r>
      <w:r>
        <w:t xml:space="preserve">if subject to regulatory examination. All logs in WORM-compliant</w:t>
      </w:r>
      <w:r>
        <w:t xml:space="preserve"> </w:t>
      </w:r>
      <w:r>
        <w:t xml:space="preserve">storage.</w:t>
      </w:r>
    </w:p>
    <w:bookmarkEnd w:id="109"/>
    <w:bookmarkStart w:id="110" w:name="ai-model-monitoring-requirements-sr-11-7"/>
    <w:p>
      <w:pPr>
        <w:pStyle w:val="Heading3"/>
      </w:pPr>
      <w:r>
        <w:t xml:space="preserve">13.3 AI Model Monitoring Requirements (SR 11-7)</w:t>
      </w:r>
    </w:p>
    <w:p>
      <w:pPr>
        <w:pStyle w:val="FirstParagraph"/>
      </w:pPr>
      <w:r>
        <w:t xml:space="preserve">Task type:</w:t>
      </w:r>
      <w:r>
        <w:t xml:space="preserve"> </w:t>
      </w:r>
      <w:r>
        <w:rPr>
          <w:b/>
          <w:bCs/>
        </w:rPr>
        <w:t xml:space="preserve">Automated (A)</w:t>
      </w:r>
      <w:r>
        <w:t xml:space="preserve"> </w:t>
      </w:r>
      <w:r>
        <w:t xml:space="preserve">for monitoring;</w:t>
      </w:r>
      <w:r>
        <w:t xml:space="preserve"> </w:t>
      </w:r>
      <w:r>
        <w:rPr>
          <w:b/>
          <w:bCs/>
        </w:rPr>
        <w:t xml:space="preserve">Human-in-the-Loop (H)</w:t>
      </w:r>
      <w:r>
        <w:t xml:space="preserve"> </w:t>
      </w:r>
      <w:r>
        <w:t xml:space="preserve">for escalation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Method</w:t>
            </w:r>
          </w:p>
        </w:tc>
        <w:tc>
          <w:tcPr/>
          <w:p>
            <w:pPr>
              <w:pStyle w:val="Compact"/>
            </w:pPr>
            <w:r>
              <w:t xml:space="preserve">Frequency</w:t>
            </w:r>
          </w:p>
        </w:tc>
        <w:tc>
          <w:tcPr/>
          <w:p>
            <w:pPr>
              <w:pStyle w:val="Compact"/>
            </w:pPr>
            <w:r>
              <w:t xml:space="preserve">Alert Threshold</w:t>
            </w:r>
          </w:p>
        </w:tc>
        <w:tc>
          <w:tcPr/>
          <w:p>
            <w:pPr>
              <w:pStyle w:val="Compact"/>
            </w:pPr>
            <w:r>
              <w:t xml:space="preserve">Escalation</w:t>
            </w:r>
          </w:p>
        </w:tc>
      </w:tr>
      <w:tr>
        <w:tc>
          <w:tcPr/>
          <w:p>
            <w:pPr>
              <w:pStyle w:val="Compact"/>
            </w:pPr>
            <w:r>
              <w:t xml:space="preserve">Input distribution drift</w:t>
            </w:r>
          </w:p>
        </w:tc>
        <w:tc>
          <w:tcPr/>
          <w:p>
            <w:pPr>
              <w:pStyle w:val="Compact"/>
            </w:pPr>
            <w:r>
              <w:t xml:space="preserve">Kolmogorov-Smirnov (KS) test; Population Stability Index (PSI)</w:t>
            </w:r>
          </w:p>
        </w:tc>
        <w:tc>
          <w:tcPr/>
          <w:p>
            <w:pPr>
              <w:pStyle w:val="Compact"/>
            </w:pPr>
            <w:r>
              <w:t xml:space="preserve">Weekly (A)</w:t>
            </w:r>
          </w:p>
        </w:tc>
        <w:tc>
          <w:tcPr/>
          <w:p>
            <w:pPr>
              <w:pStyle w:val="Compact"/>
            </w:pPr>
            <w:r>
              <w:t xml:space="preserve">PSI &gt; 0.20 or KS p &lt; 0.05</w:t>
            </w:r>
          </w:p>
        </w:tc>
        <w:tc>
          <w:tcPr/>
          <w:p>
            <w:pPr>
              <w:pStyle w:val="Compact"/>
            </w:pPr>
            <w:r>
              <w:t xml:space="preserve">Product Owner + AI/MRM Governance; model review within 10 days</w:t>
            </w:r>
          </w:p>
        </w:tc>
      </w:tr>
      <w:tr>
        <w:tc>
          <w:tcPr/>
          <w:p>
            <w:pPr>
              <w:pStyle w:val="Compact"/>
            </w:pPr>
            <w:r>
              <w:t xml:space="preserve">Output distribution drift</w:t>
            </w:r>
          </w:p>
        </w:tc>
        <w:tc>
          <w:tcPr/>
          <w:p>
            <w:pPr>
              <w:pStyle w:val="Compact"/>
            </w:pPr>
            <w:r>
              <w:t xml:space="preserve">Pathway distribution monitoring; rolling 30-day comparison</w:t>
            </w:r>
          </w:p>
        </w:tc>
        <w:tc>
          <w:tcPr/>
          <w:p>
            <w:pPr>
              <w:pStyle w:val="Compact"/>
            </w:pPr>
            <w:r>
              <w:t xml:space="preserve">Weekly (A)</w:t>
            </w:r>
          </w:p>
        </w:tc>
        <w:tc>
          <w:tcPr/>
          <w:p>
            <w:pPr>
              <w:pStyle w:val="Compact"/>
            </w:pPr>
            <w:r>
              <w:t xml:space="preserve">&gt;15% shift in distribution</w:t>
            </w:r>
          </w:p>
        </w:tc>
        <w:tc>
          <w:tcPr/>
          <w:p>
            <w:pPr>
              <w:pStyle w:val="Compact"/>
            </w:pPr>
            <w:r>
              <w:t xml:space="preserve">AI/MRM Governance; investigation within 5 days</w:t>
            </w:r>
          </w:p>
        </w:tc>
      </w:tr>
      <w:tr>
        <w:tc>
          <w:tcPr/>
          <w:p>
            <w:pPr>
              <w:pStyle w:val="Compact"/>
            </w:pPr>
            <w:r>
              <w:t xml:space="preserve">Bias / fairness metrics</w:t>
            </w:r>
          </w:p>
        </w:tc>
        <w:tc>
          <w:tcPr/>
          <w:p>
            <w:pPr>
              <w:pStyle w:val="Compact"/>
            </w:pPr>
            <w:r>
              <w:t xml:space="preserve">Disparate impact ratio across protected-class-correlated cohorts</w:t>
            </w:r>
          </w:p>
        </w:tc>
        <w:tc>
          <w:tcPr/>
          <w:p>
            <w:pPr>
              <w:pStyle w:val="Compact"/>
            </w:pPr>
            <w:r>
              <w:t xml:space="preserve">Quarterly (DA)</w:t>
            </w:r>
          </w:p>
        </w:tc>
        <w:tc>
          <w:tcPr/>
          <w:p>
            <w:pPr>
              <w:pStyle w:val="Compact"/>
            </w:pPr>
            <w:r>
              <w:t xml:space="preserve">Ratio outside 0.80–1.25</w:t>
            </w:r>
          </w:p>
        </w:tc>
        <w:tc>
          <w:tcPr/>
          <w:p>
            <w:pPr>
              <w:pStyle w:val="Compact"/>
            </w:pPr>
            <w:r>
              <w:t xml:space="preserve">AI/MRM Governance + Compliance; corrective action within 30 days</w:t>
            </w:r>
          </w:p>
        </w:tc>
      </w:tr>
      <w:tr>
        <w:tc>
          <w:tcPr/>
          <w:p>
            <w:pPr>
              <w:pStyle w:val="Compact"/>
            </w:pPr>
            <w:r>
              <w:t xml:space="preserve">GenAI / LLM hallucination</w:t>
            </w:r>
          </w:p>
        </w:tc>
        <w:tc>
          <w:tcPr/>
          <w:p>
            <w:pPr>
              <w:pStyle w:val="Compact"/>
            </w:pPr>
            <w:r>
              <w:t xml:space="preserve">Random sample review of AI-generated content</w:t>
            </w:r>
          </w:p>
        </w:tc>
        <w:tc>
          <w:tcPr/>
          <w:p>
            <w:pPr>
              <w:pStyle w:val="Compact"/>
            </w:pPr>
            <w:r>
              <w:t xml:space="preserve">Monthly (H) 5% sample</w:t>
            </w:r>
          </w:p>
        </w:tc>
        <w:tc>
          <w:tcPr/>
          <w:p>
            <w:pPr>
              <w:pStyle w:val="Compact"/>
            </w:pPr>
            <w:r>
              <w:t xml:space="preserve">&gt;5% factual error rate</w:t>
            </w:r>
          </w:p>
        </w:tc>
        <w:tc>
          <w:tcPr/>
          <w:p>
            <w:pPr>
              <w:pStyle w:val="Compact"/>
            </w:pPr>
            <w:r>
              <w:t xml:space="preserve">Product Owner; AI/MRM Governance; model re-evaluation</w:t>
            </w:r>
          </w:p>
        </w:tc>
      </w:tr>
      <w:tr>
        <w:tc>
          <w:tcPr/>
          <w:p>
            <w:pPr>
              <w:pStyle w:val="Compact"/>
            </w:pPr>
            <w:r>
              <w:t xml:space="preserve">Model accuracy</w:t>
            </w:r>
          </w:p>
        </w:tc>
        <w:tc>
          <w:tcPr/>
          <w:p>
            <w:pPr>
              <w:pStyle w:val="Compact"/>
            </w:pPr>
            <w:r>
              <w:t xml:space="preserve">Back-testing against validated outcomes; benchmark comparison</w:t>
            </w:r>
          </w:p>
        </w:tc>
        <w:tc>
          <w:tcPr/>
          <w:p>
            <w:pPr>
              <w:pStyle w:val="Compact"/>
            </w:pPr>
            <w:r>
              <w:t xml:space="preserve">Quarterly (DA)</w:t>
            </w:r>
          </w:p>
        </w:tc>
        <w:tc>
          <w:tcPr/>
          <w:p>
            <w:pPr>
              <w:pStyle w:val="Compact"/>
            </w:pPr>
            <w:r>
              <w:t xml:space="preserve">&gt;10% degradation from baseline</w:t>
            </w:r>
          </w:p>
        </w:tc>
        <w:tc>
          <w:tcPr/>
          <w:p>
            <w:pPr>
              <w:pStyle w:val="Compact"/>
            </w:pPr>
            <w:r>
              <w:t xml:space="preserve">Independent validation triggered; model use restricted</w:t>
            </w:r>
          </w:p>
        </w:tc>
      </w:tr>
    </w:tbl>
    <w:bookmarkEnd w:id="110"/>
    <w:bookmarkStart w:id="111" w:name="reporting-cadences"/>
    <w:p>
      <w:pPr>
        <w:pStyle w:val="Heading3"/>
      </w:pPr>
      <w:r>
        <w:t xml:space="preserve">13.4 Reporting Cadences</w:t>
      </w:r>
    </w:p>
    <w:p>
      <w:pPr>
        <w:numPr>
          <w:ilvl w:val="0"/>
          <w:numId w:val="1028"/>
        </w:numPr>
      </w:pPr>
      <w:r>
        <w:rPr>
          <w:b/>
          <w:bCs/>
        </w:rPr>
        <w:t xml:space="preserve">Internal Audit:</w:t>
      </w:r>
      <w:r>
        <w:t xml:space="preserve"> </w:t>
      </w:r>
      <w:r>
        <w:t xml:space="preserve">Read-only access to decision event log via</w:t>
      </w:r>
      <w:r>
        <w:t xml:space="preserve"> </w:t>
      </w:r>
      <w:r>
        <w:t xml:space="preserve">structured query; periodic audit of AI governance controls; findings</w:t>
      </w:r>
      <w:r>
        <w:t xml:space="preserve"> </w:t>
      </w:r>
      <w:r>
        <w:t xml:space="preserve">to Audit Committee.</w:t>
      </w:r>
      <w:r>
        <w:t xml:space="preserve"> </w:t>
      </w:r>
      <w:r>
        <w:rPr>
          <w:b/>
          <w:bCs/>
        </w:rPr>
        <w:t xml:space="preserve">(H)</w:t>
      </w:r>
    </w:p>
    <w:p>
      <w:pPr>
        <w:numPr>
          <w:ilvl w:val="0"/>
          <w:numId w:val="1028"/>
        </w:numPr>
      </w:pPr>
      <w:r>
        <w:rPr>
          <w:b/>
          <w:bCs/>
        </w:rPr>
        <w:t xml:space="preserve">MRM Committee:</w:t>
      </w:r>
      <w:r>
        <w:t xml:space="preserve"> </w:t>
      </w:r>
      <w:r>
        <w:t xml:space="preserve">Monthly dashboard of Tier 1/2 AI model performance,</w:t>
      </w:r>
      <w:r>
        <w:t xml:space="preserve"> </w:t>
      </w:r>
      <w:r>
        <w:t xml:space="preserve">drift metrics, and pending validations.</w:t>
      </w:r>
      <w:r>
        <w:t xml:space="preserve"> </w:t>
      </w:r>
      <w:r>
        <w:rPr>
          <w:b/>
          <w:bCs/>
        </w:rPr>
        <w:t xml:space="preserve">(DA)</w:t>
      </w:r>
    </w:p>
    <w:p>
      <w:pPr>
        <w:numPr>
          <w:ilvl w:val="0"/>
          <w:numId w:val="1028"/>
        </w:numPr>
      </w:pPr>
      <w:r>
        <w:rPr>
          <w:b/>
          <w:bCs/>
        </w:rPr>
        <w:t xml:space="preserve">Board / Risk Committee:</w:t>
      </w:r>
      <w:r>
        <w:t xml:space="preserve"> </w:t>
      </w:r>
      <w:r>
        <w:t xml:space="preserve">Aggregate model risk exposure, significant</w:t>
      </w:r>
      <w:r>
        <w:t xml:space="preserve"> </w:t>
      </w:r>
      <w:r>
        <w:t xml:space="preserve">findings, and TPRM program health reported quarterly per SR 11-7.</w:t>
      </w:r>
      <w:r>
        <w:t xml:space="preserve"> </w:t>
      </w:r>
      <w:r>
        <w:rPr>
          <w:b/>
          <w:bCs/>
        </w:rPr>
        <w:t xml:space="preserve">(H)</w:t>
      </w:r>
    </w:p>
    <w:p>
      <w:pPr>
        <w:numPr>
          <w:ilvl w:val="0"/>
          <w:numId w:val="1028"/>
        </w:numPr>
      </w:pPr>
      <w:r>
        <w:rPr>
          <w:b/>
          <w:bCs/>
        </w:rPr>
        <w:t xml:space="preserve">Regulatory exam package:</w:t>
      </w:r>
      <w:r>
        <w:t xml:space="preserve"> </w:t>
      </w:r>
      <w:r>
        <w:t xml:space="preserve">Pre-built report template assembles all</w:t>
      </w:r>
      <w:r>
        <w:t xml:space="preserve"> </w:t>
      </w:r>
      <w:r>
        <w:t xml:space="preserve">decision events for specified request ID or date range—formatted for</w:t>
      </w:r>
      <w:r>
        <w:t xml:space="preserve"> </w:t>
      </w:r>
      <w:r>
        <w:t xml:space="preserve">examiner access within 24 hours.</w:t>
      </w:r>
      <w:r>
        <w:t xml:space="preserve"> </w:t>
      </w:r>
      <w:r>
        <w:rPr>
          <w:b/>
          <w:bCs/>
        </w:rPr>
        <w:t xml:space="preserve">(A)</w:t>
      </w:r>
    </w:p>
    <w:bookmarkEnd w:id="111"/>
    <w:bookmarkEnd w:id="112"/>
    <w:bookmarkStart w:id="115" w:name="X9408f87f633ae2a2f6fba1bfd6755a58ae64609"/>
    <w:p>
      <w:pPr>
        <w:pStyle w:val="Heading2"/>
      </w:pPr>
      <w:r>
        <w:t xml:space="preserve">21. AI Governance and Enterprise Controls Integration</w:t>
      </w:r>
    </w:p>
    <w:p>
      <w:pPr>
        <w:pStyle w:val="FirstParagraph"/>
      </w:pPr>
      <w:r>
        <w:t xml:space="preserve">This section ensures complete integration of AI governance requirements</w:t>
      </w:r>
      <w:r>
        <w:t xml:space="preserve"> </w:t>
      </w:r>
      <w:r>
        <w:t xml:space="preserve">with TPRM, legal, risk, compliance, security, and regulatory</w:t>
      </w:r>
      <w:r>
        <w:t xml:space="preserve"> </w:t>
      </w:r>
      <w:r>
        <w:t xml:space="preserve">obligations. The model maps all governance requirements down to the task</w:t>
      </w:r>
      <w:r>
        <w:t xml:space="preserve"> </w:t>
      </w:r>
      <w:r>
        <w:t xml:space="preserve">and sub-task level to ensure no control gaps exist.</w:t>
      </w:r>
    </w:p>
    <w:bookmarkStart w:id="113" w:name="control-framework-alignment-matrix"/>
    <w:p>
      <w:pPr>
        <w:pStyle w:val="Heading3"/>
      </w:pPr>
      <w:r>
        <w:t xml:space="preserve">7.1 Control Framework Alignment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 Domain</w:t>
            </w:r>
          </w:p>
        </w:tc>
        <w:tc>
          <w:tcPr/>
          <w:p>
            <w:pPr>
              <w:pStyle w:val="Compact"/>
            </w:pPr>
            <w:r>
              <w:t xml:space="preserve">NIST CSF 2.0</w:t>
            </w:r>
          </w:p>
        </w:tc>
        <w:tc>
          <w:tcPr/>
          <w:p>
            <w:pPr>
              <w:pStyle w:val="Compact"/>
            </w:pPr>
            <w:r>
              <w:t xml:space="preserve">ISO 27001</w:t>
            </w:r>
          </w:p>
        </w:tc>
        <w:tc>
          <w:tcPr/>
          <w:p>
            <w:pPr>
              <w:pStyle w:val="Compact"/>
            </w:pPr>
            <w:r>
              <w:t xml:space="preserve">DORA</w:t>
            </w:r>
          </w:p>
        </w:tc>
        <w:tc>
          <w:tcPr/>
          <w:p>
            <w:pPr>
              <w:pStyle w:val="Compact"/>
            </w:pPr>
            <w:r>
              <w:t xml:space="preserve">FS AI RMF</w:t>
            </w:r>
          </w:p>
        </w:tc>
        <w:tc>
          <w:tcPr/>
          <w:p>
            <w:pPr>
              <w:pStyle w:val="Compact"/>
            </w:pPr>
            <w:r>
              <w:t xml:space="preserve">Lifecycle Phase(s)</w:t>
            </w:r>
          </w:p>
        </w:tc>
      </w:tr>
      <w:tr>
        <w:tc>
          <w:tcPr/>
          <w:p>
            <w:pPr>
              <w:pStyle w:val="Compact"/>
            </w:pPr>
            <w:r>
              <w:t xml:space="preserve">Access Control and Identity Management</w:t>
            </w:r>
          </w:p>
        </w:tc>
        <w:tc>
          <w:tcPr/>
          <w:p>
            <w:pPr>
              <w:pStyle w:val="Compact"/>
            </w:pPr>
            <w:r>
              <w:t xml:space="preserve">PR.AA, PR.DS</w:t>
            </w:r>
          </w:p>
        </w:tc>
        <w:tc>
          <w:tcPr/>
          <w:p>
            <w:pPr>
              <w:pStyle w:val="Compact"/>
            </w:pPr>
            <w:r>
              <w:t xml:space="preserve">A.9.1–A.9.4</w:t>
            </w:r>
          </w:p>
        </w:tc>
        <w:tc>
          <w:tcPr/>
          <w:p>
            <w:pPr>
              <w:pStyle w:val="Compact"/>
            </w:pPr>
            <w:r>
              <w:t xml:space="preserve">Art. 9</w:t>
            </w:r>
          </w:p>
        </w:tc>
        <w:tc>
          <w:tcPr/>
          <w:p>
            <w:pPr>
              <w:pStyle w:val="Compact"/>
            </w:pPr>
            <w:r>
              <w:t xml:space="preserve">MAP 3.1–3.4</w:t>
            </w:r>
          </w:p>
        </w:tc>
        <w:tc>
          <w:tcPr/>
          <w:p>
            <w:pPr>
              <w:pStyle w:val="Compact"/>
            </w:pPr>
            <w:r>
              <w:t xml:space="preserve">3, 5, 6, 8</w:t>
            </w:r>
          </w:p>
        </w:tc>
      </w:tr>
      <w:tr>
        <w:tc>
          <w:tcPr/>
          <w:p>
            <w:pPr>
              <w:pStyle w:val="Compact"/>
            </w:pPr>
            <w:r>
              <w:t xml:space="preserve">Data Protection and Privacy</w:t>
            </w:r>
          </w:p>
        </w:tc>
        <w:tc>
          <w:tcPr/>
          <w:p>
            <w:pPr>
              <w:pStyle w:val="Compact"/>
            </w:pPr>
            <w:r>
              <w:t xml:space="preserve">PR.DS</w:t>
            </w:r>
          </w:p>
        </w:tc>
        <w:tc>
          <w:tcPr/>
          <w:p>
            <w:pPr>
              <w:pStyle w:val="Compact"/>
            </w:pPr>
            <w:r>
              <w:t xml:space="preserve">A.8.2, A.18.1</w:t>
            </w:r>
          </w:p>
        </w:tc>
        <w:tc>
          <w:tcPr/>
          <w:p>
            <w:pPr>
              <w:pStyle w:val="Compact"/>
            </w:pPr>
            <w:r>
              <w:t xml:space="preserve">Art. 10–11</w:t>
            </w:r>
          </w:p>
        </w:tc>
        <w:tc>
          <w:tcPr/>
          <w:p>
            <w:pPr>
              <w:pStyle w:val="Compact"/>
            </w:pPr>
            <w:r>
              <w:t xml:space="preserve">GOV 5.1–5.3</w:t>
            </w:r>
          </w:p>
        </w:tc>
        <w:tc>
          <w:tcPr/>
          <w:p>
            <w:pPr>
              <w:pStyle w:val="Compact"/>
            </w:pPr>
            <w:r>
              <w:t xml:space="preserve">1, 2, 3, 5, 8</w:t>
            </w:r>
          </w:p>
        </w:tc>
      </w:tr>
      <w:tr>
        <w:tc>
          <w:tcPr/>
          <w:p>
            <w:pPr>
              <w:pStyle w:val="Compact"/>
            </w:pPr>
            <w:r>
              <w:t xml:space="preserve">AI Model Transparency and Explainability</w:t>
            </w:r>
          </w:p>
        </w:tc>
        <w:tc>
          <w:tcPr/>
          <w:p>
            <w:pPr>
              <w:pStyle w:val="Compact"/>
            </w:pPr>
            <w:r>
              <w:t xml:space="preserve">ID.GV</w:t>
            </w:r>
          </w:p>
        </w:tc>
        <w:tc>
          <w:tcPr/>
          <w:p>
            <w:pPr>
              <w:pStyle w:val="Compact"/>
            </w:pPr>
            <w:r>
              <w:t xml:space="preserve">N/A (ext.)</w:t>
            </w:r>
          </w:p>
        </w:tc>
        <w:tc>
          <w:tcPr/>
          <w:p>
            <w:pPr>
              <w:pStyle w:val="Compact"/>
            </w:pPr>
            <w:r>
              <w:t xml:space="preserve">Art. 12</w:t>
            </w:r>
          </w:p>
        </w:tc>
        <w:tc>
          <w:tcPr/>
          <w:p>
            <w:pPr>
              <w:pStyle w:val="Compact"/>
            </w:pPr>
            <w:r>
              <w:t xml:space="preserve">MAP 1.1–1.6, MFN 2.1–2.6</w:t>
            </w:r>
          </w:p>
        </w:tc>
        <w:tc>
          <w:tcPr/>
          <w:p>
            <w:pPr>
              <w:pStyle w:val="Compact"/>
            </w:pPr>
            <w:r>
              <w:t xml:space="preserve">2, 3, 4, 6, 8</w:t>
            </w:r>
          </w:p>
        </w:tc>
      </w:tr>
      <w:tr>
        <w:tc>
          <w:tcPr/>
          <w:p>
            <w:pPr>
              <w:pStyle w:val="Compact"/>
            </w:pPr>
            <w:r>
              <w:t xml:space="preserve">AI Bias and Fairness Testing</w:t>
            </w:r>
          </w:p>
        </w:tc>
        <w:tc>
          <w:tcPr/>
          <w:p>
            <w:pPr>
              <w:pStyle w:val="Compact"/>
            </w:pPr>
            <w:r>
              <w:t xml:space="preserve">ID.GV</w:t>
            </w:r>
          </w:p>
        </w:tc>
        <w:tc>
          <w:tcPr/>
          <w:p>
            <w:pPr>
              <w:pStyle w:val="Compact"/>
            </w:pPr>
            <w:r>
              <w:t xml:space="preserve">N/A (ext.)</w:t>
            </w:r>
          </w:p>
        </w:tc>
        <w:tc>
          <w:tcPr/>
          <w:p>
            <w:pPr>
              <w:pStyle w:val="Compact"/>
            </w:pPr>
            <w:r>
              <w:t xml:space="preserve">Art. 12</w:t>
            </w:r>
          </w:p>
        </w:tc>
        <w:tc>
          <w:tcPr/>
          <w:p>
            <w:pPr>
              <w:pStyle w:val="Compact"/>
            </w:pPr>
            <w:r>
              <w:t xml:space="preserve">MFN 3.1–3.3, MGT 4.1–4.2</w:t>
            </w:r>
          </w:p>
        </w:tc>
        <w:tc>
          <w:tcPr/>
          <w:p>
            <w:pPr>
              <w:pStyle w:val="Compact"/>
            </w:pPr>
            <w:r>
              <w:t xml:space="preserve">3, 6, 8</w:t>
            </w:r>
          </w:p>
        </w:tc>
      </w:tr>
      <w:tr>
        <w:tc>
          <w:tcPr/>
          <w:p>
            <w:pPr>
              <w:pStyle w:val="Compact"/>
            </w:pPr>
            <w:r>
              <w:t xml:space="preserve">Incident Response and Business Continuity</w:t>
            </w:r>
          </w:p>
        </w:tc>
        <w:tc>
          <w:tcPr/>
          <w:p>
            <w:pPr>
              <w:pStyle w:val="Compact"/>
            </w:pPr>
            <w:r>
              <w:t xml:space="preserve">RS.RP, RC.RP</w:t>
            </w:r>
          </w:p>
        </w:tc>
        <w:tc>
          <w:tcPr/>
          <w:p>
            <w:pPr>
              <w:pStyle w:val="Compact"/>
            </w:pPr>
            <w:r>
              <w:t xml:space="preserve">A.16.1, A.17.1</w:t>
            </w:r>
          </w:p>
        </w:tc>
        <w:tc>
          <w:tcPr/>
          <w:p>
            <w:pPr>
              <w:pStyle w:val="Compact"/>
            </w:pPr>
            <w:r>
              <w:t xml:space="preserve">Art. 17–18</w:t>
            </w:r>
          </w:p>
        </w:tc>
        <w:tc>
          <w:tcPr/>
          <w:p>
            <w:pPr>
              <w:pStyle w:val="Compact"/>
            </w:pPr>
            <w:r>
              <w:t xml:space="preserve">MGT 3.1–3.4</w:t>
            </w:r>
          </w:p>
        </w:tc>
        <w:tc>
          <w:tcPr/>
          <w:p>
            <w:pPr>
              <w:pStyle w:val="Compact"/>
            </w:pPr>
            <w:r>
              <w:t xml:space="preserve">3, 5, 8</w:t>
            </w:r>
          </w:p>
        </w:tc>
      </w:tr>
      <w:tr>
        <w:tc>
          <w:tcPr/>
          <w:p>
            <w:pPr>
              <w:pStyle w:val="Compact"/>
            </w:pPr>
            <w:r>
              <w:t xml:space="preserve">Third-Party and Nth-Party Risk</w:t>
            </w:r>
          </w:p>
        </w:tc>
        <w:tc>
          <w:tcPr/>
          <w:p>
            <w:pPr>
              <w:pStyle w:val="Compact"/>
            </w:pPr>
            <w:r>
              <w:t xml:space="preserve">ID.SC</w:t>
            </w:r>
          </w:p>
        </w:tc>
        <w:tc>
          <w:tcPr/>
          <w:p>
            <w:pPr>
              <w:pStyle w:val="Compact"/>
            </w:pPr>
            <w:r>
              <w:t xml:space="preserve">A.15.1–A.15.2</w:t>
            </w:r>
          </w:p>
        </w:tc>
        <w:tc>
          <w:tcPr/>
          <w:p>
            <w:pPr>
              <w:pStyle w:val="Compact"/>
            </w:pPr>
            <w:r>
              <w:t xml:space="preserve">Art. 28–30</w:t>
            </w:r>
          </w:p>
        </w:tc>
        <w:tc>
          <w:tcPr/>
          <w:p>
            <w:pPr>
              <w:pStyle w:val="Compact"/>
            </w:pPr>
            <w:r>
              <w:t xml:space="preserve">GOV 1.1–1.7</w:t>
            </w:r>
          </w:p>
        </w:tc>
        <w:tc>
          <w:tcPr/>
          <w:p>
            <w:pPr>
              <w:pStyle w:val="Compact"/>
            </w:pPr>
            <w:r>
              <w:t xml:space="preserve">2, 3, 4, 5, 8</w:t>
            </w:r>
          </w:p>
        </w:tc>
      </w:tr>
      <w:tr>
        <w:tc>
          <w:tcPr/>
          <w:p>
            <w:pPr>
              <w:pStyle w:val="Compact"/>
            </w:pPr>
            <w:r>
              <w:t xml:space="preserve">Audit Logging and Recordkeeping</w:t>
            </w:r>
          </w:p>
        </w:tc>
        <w:tc>
          <w:tcPr/>
          <w:p>
            <w:pPr>
              <w:pStyle w:val="Compact"/>
            </w:pPr>
            <w:r>
              <w:t xml:space="preserve">DE.AE, PR.DS</w:t>
            </w:r>
          </w:p>
        </w:tc>
        <w:tc>
          <w:tcPr/>
          <w:p>
            <w:pPr>
              <w:pStyle w:val="Compact"/>
            </w:pPr>
            <w:r>
              <w:t xml:space="preserve">A.12.4</w:t>
            </w:r>
          </w:p>
        </w:tc>
        <w:tc>
          <w:tcPr/>
          <w:p>
            <w:pPr>
              <w:pStyle w:val="Compact"/>
            </w:pPr>
            <w:r>
              <w:t xml:space="preserve">Art. 19–20</w:t>
            </w:r>
          </w:p>
        </w:tc>
        <w:tc>
          <w:tcPr/>
          <w:p>
            <w:pPr>
              <w:pStyle w:val="Compact"/>
            </w:pPr>
            <w:r>
              <w:t xml:space="preserve">MGT 2.1–2.4</w:t>
            </w:r>
          </w:p>
        </w:tc>
        <w:tc>
          <w:tcPr/>
          <w:p>
            <w:pPr>
              <w:pStyle w:val="Compact"/>
            </w:pPr>
            <w:r>
              <w:t xml:space="preserve">All phases</w:t>
            </w:r>
          </w:p>
        </w:tc>
      </w:tr>
      <w:tr>
        <w:tc>
          <w:tcPr/>
          <w:p>
            <w:pPr>
              <w:pStyle w:val="Compact"/>
            </w:pPr>
            <w:r>
              <w:t xml:space="preserve">Change Management and Configuration</w:t>
            </w:r>
          </w:p>
        </w:tc>
        <w:tc>
          <w:tcPr/>
          <w:p>
            <w:pPr>
              <w:pStyle w:val="Compact"/>
            </w:pPr>
            <w:r>
              <w:t xml:space="preserve">PR.IP</w:t>
            </w:r>
          </w:p>
        </w:tc>
        <w:tc>
          <w:tcPr/>
          <w:p>
            <w:pPr>
              <w:pStyle w:val="Compact"/>
            </w:pPr>
            <w:r>
              <w:t xml:space="preserve">A.12.1, A.14.2</w:t>
            </w:r>
          </w:p>
        </w:tc>
        <w:tc>
          <w:tcPr/>
          <w:p>
            <w:pPr>
              <w:pStyle w:val="Compact"/>
            </w:pPr>
            <w:r>
              <w:t xml:space="preserve">Art. 8–9</w:t>
            </w:r>
          </w:p>
        </w:tc>
        <w:tc>
          <w:tcPr/>
          <w:p>
            <w:pPr>
              <w:pStyle w:val="Compact"/>
            </w:pPr>
            <w:r>
              <w:t xml:space="preserve">MGT 1.1–1.3</w:t>
            </w:r>
          </w:p>
        </w:tc>
        <w:tc>
          <w:tcPr/>
          <w:p>
            <w:pPr>
              <w:pStyle w:val="Compact"/>
            </w:pPr>
            <w:r>
              <w:t xml:space="preserve">6, 8</w:t>
            </w:r>
          </w:p>
        </w:tc>
      </w:tr>
      <w:tr>
        <w:tc>
          <w:tcPr/>
          <w:p>
            <w:pPr>
              <w:pStyle w:val="Compact"/>
            </w:pPr>
            <w:r>
              <w:t xml:space="preserve">Regulatory Reporting and Compliance</w:t>
            </w:r>
          </w:p>
        </w:tc>
        <w:tc>
          <w:tcPr/>
          <w:p>
            <w:pPr>
              <w:pStyle w:val="Compact"/>
            </w:pPr>
            <w:r>
              <w:t xml:space="preserve">ID.GV</w:t>
            </w:r>
          </w:p>
        </w:tc>
        <w:tc>
          <w:tcPr/>
          <w:p>
            <w:pPr>
              <w:pStyle w:val="Compact"/>
            </w:pPr>
            <w:r>
              <w:t xml:space="preserve">A.18.1–A.18.2</w:t>
            </w:r>
          </w:p>
        </w:tc>
        <w:tc>
          <w:tcPr/>
          <w:p>
            <w:pPr>
              <w:pStyle w:val="Compact"/>
            </w:pPr>
            <w:r>
              <w:t xml:space="preserve">Art. 22–24</w:t>
            </w:r>
          </w:p>
        </w:tc>
        <w:tc>
          <w:tcPr/>
          <w:p>
            <w:pPr>
              <w:pStyle w:val="Compact"/>
            </w:pPr>
            <w:r>
              <w:t xml:space="preserve">GOV 2.1–2.3</w:t>
            </w:r>
          </w:p>
        </w:tc>
        <w:tc>
          <w:tcPr/>
          <w:p>
            <w:pPr>
              <w:pStyle w:val="Compact"/>
            </w:pPr>
            <w:r>
              <w:t xml:space="preserve">4, 5, 8</w:t>
            </w:r>
          </w:p>
        </w:tc>
      </w:tr>
    </w:tbl>
    <w:bookmarkEnd w:id="113"/>
    <w:bookmarkStart w:id="114" w:name="governance-gap-analysis-methodology"/>
    <w:p>
      <w:pPr>
        <w:pStyle w:val="Heading3"/>
      </w:pPr>
      <w:r>
        <w:t xml:space="preserve">7.2 Governance Gap Analysis Methodology</w:t>
      </w:r>
    </w:p>
    <w:p>
      <w:pPr>
        <w:pStyle w:val="FirstParagraph"/>
      </w:pPr>
      <w:r>
        <w:t xml:space="preserve">To ensure no control gaps exist, the framework applies a systematic gap</w:t>
      </w:r>
      <w:r>
        <w:t xml:space="preserve"> </w:t>
      </w:r>
      <w:r>
        <w:t xml:space="preserve">analysis methodology at three levels:</w:t>
      </w:r>
    </w:p>
    <w:p>
      <w:pPr>
        <w:pStyle w:val="BodyText"/>
      </w:pPr>
      <w:r>
        <w:rPr>
          <w:b/>
          <w:bCs/>
        </w:rPr>
        <w:t xml:space="preserve">Level 1 – Framework Coverage:</w:t>
      </w:r>
      <w:r>
        <w:t xml:space="preserve"> </w:t>
      </w:r>
      <w:r>
        <w:t xml:space="preserve">Every regulatory framework applicable</w:t>
      </w:r>
      <w:r>
        <w:t xml:space="preserve"> </w:t>
      </w:r>
      <w:r>
        <w:t xml:space="preserve">to the institution is mapped to the control taxonomy. Any control</w:t>
      </w:r>
      <w:r>
        <w:t xml:space="preserve"> </w:t>
      </w:r>
      <w:r>
        <w:t xml:space="preserve">objective not covered by at least one internal control is flagged as a</w:t>
      </w:r>
      <w:r>
        <w:t xml:space="preserve"> </w:t>
      </w:r>
      <w:r>
        <w:t xml:space="preserve">gap.</w:t>
      </w:r>
    </w:p>
    <w:p>
      <w:pPr>
        <w:pStyle w:val="BodyText"/>
      </w:pPr>
      <w:r>
        <w:rPr>
          <w:b/>
          <w:bCs/>
        </w:rPr>
        <w:t xml:space="preserve">Level 2 – Lifecycle Coverage:</w:t>
      </w:r>
      <w:r>
        <w:t xml:space="preserve"> </w:t>
      </w:r>
      <w:r>
        <w:t xml:space="preserve">Every control in the taxonomy is</w:t>
      </w:r>
      <w:r>
        <w:t xml:space="preserve"> </w:t>
      </w:r>
      <w:r>
        <w:t xml:space="preserve">mapped to at least one lifecycle phase. Controls not actively tested or</w:t>
      </w:r>
      <w:r>
        <w:t xml:space="preserve"> </w:t>
      </w:r>
      <w:r>
        <w:t xml:space="preserve">monitored in any phase are flagged as implementation gaps.</w:t>
      </w:r>
    </w:p>
    <w:p>
      <w:pPr>
        <w:pStyle w:val="BodyText"/>
      </w:pPr>
      <w:r>
        <w:rPr>
          <w:b/>
          <w:bCs/>
        </w:rPr>
        <w:t xml:space="preserve">Level 3 – Evidence Coverage:</w:t>
      </w:r>
      <w:r>
        <w:t xml:space="preserve"> </w:t>
      </w:r>
      <w:r>
        <w:t xml:space="preserve">Every control mapped to a lifecycle</w:t>
      </w:r>
      <w:r>
        <w:t xml:space="preserve"> </w:t>
      </w:r>
      <w:r>
        <w:t xml:space="preserve">phase must have at least one defined evidence source and collection</w:t>
      </w:r>
      <w:r>
        <w:t xml:space="preserve"> </w:t>
      </w:r>
      <w:r>
        <w:t xml:space="preserve">mechanism. Controls without evidence collection are flagged as</w:t>
      </w:r>
      <w:r>
        <w:t xml:space="preserve"> </w:t>
      </w:r>
      <w:r>
        <w:t xml:space="preserve">observability gaps.</w:t>
      </w:r>
    </w:p>
    <w:p>
      <w:pPr>
        <w:pStyle w:val="BodyText"/>
      </w:pPr>
      <w:r>
        <w:t xml:space="preserve">This three-level methodology ensures complete traceability from</w:t>
      </w:r>
      <w:r>
        <w:t xml:space="preserve"> </w:t>
      </w:r>
      <w:r>
        <w:t xml:space="preserve">regulatory requirement to control objective to lifecycle phase to</w:t>
      </w:r>
      <w:r>
        <w:t xml:space="preserve"> </w:t>
      </w:r>
      <w:r>
        <w:t xml:space="preserve">evidence collection to audit trail.</w:t>
      </w:r>
    </w:p>
    <w:bookmarkEnd w:id="114"/>
    <w:bookmarkEnd w:id="115"/>
    <w:bookmarkStart w:id="121" w:name="observability-and-sla-management"/>
    <w:p>
      <w:pPr>
        <w:pStyle w:val="Heading2"/>
      </w:pPr>
      <w:r>
        <w:t xml:space="preserve">22. Observability and SLA Management</w:t>
      </w:r>
    </w:p>
    <w:p>
      <w:pPr>
        <w:pStyle w:val="BlockText"/>
      </w:pPr>
      <w:r>
        <w:rPr>
          <w:i/>
          <w:iCs/>
        </w:rPr>
        <w:t xml:space="preserve">The BPMN model includes SLAs for major task categories, queue and</w:t>
      </w:r>
      <w:r>
        <w:rPr>
          <w:i/>
          <w:iCs/>
        </w:rPr>
        <w:t xml:space="preserve"> </w:t>
      </w:r>
      <w:r>
        <w:rPr>
          <w:i/>
          <w:iCs/>
        </w:rPr>
        <w:t xml:space="preserve">backlog visibility, time-based escalation, and bottleneck detection.</w:t>
      </w:r>
      <w:r>
        <w:rPr>
          <w:i/>
          <w:iCs/>
        </w:rPr>
        <w:t xml:space="preserve"> </w:t>
      </w:r>
      <w:r>
        <w:rPr>
          <w:i/>
          <w:iCs/>
        </w:rPr>
        <w:t xml:space="preserve">This enables continuous process improvement and targeted automation.</w:t>
      </w:r>
    </w:p>
    <w:bookmarkStart w:id="116" w:name="sla-standards"/>
    <w:p>
      <w:pPr>
        <w:pStyle w:val="Heading3"/>
      </w:pPr>
      <w:r>
        <w:t xml:space="preserve">17.1 SLA Standards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 / SLA</w:t>
            </w:r>
          </w:p>
        </w:tc>
        <w:tc>
          <w:tcPr/>
          <w:p>
            <w:pPr>
              <w:pStyle w:val="Compact"/>
            </w:pPr>
            <w:r>
              <w:t xml:space="preserve">Target</w:t>
            </w:r>
          </w:p>
        </w:tc>
        <w:tc>
          <w:tcPr/>
          <w:p>
            <w:pPr>
              <w:pStyle w:val="Compact"/>
            </w:pPr>
            <w:r>
              <w:t xml:space="preserve">Measurement Method</w:t>
            </w:r>
          </w:p>
        </w:tc>
        <w:tc>
          <w:tcPr/>
          <w:p>
            <w:pPr>
              <w:pStyle w:val="Compact"/>
            </w:pPr>
            <w:r>
              <w:t xml:space="preserve">Cadence</w:t>
            </w:r>
          </w:p>
        </w:tc>
        <w:tc>
          <w:tcPr/>
          <w:p>
            <w:pPr>
              <w:pStyle w:val="Compact"/>
            </w:pPr>
            <w:r>
              <w:t xml:space="preserve">Task Type</w:t>
            </w:r>
          </w:p>
        </w:tc>
      </w:tr>
      <w:tr>
        <w:tc>
          <w:tcPr/>
          <w:p>
            <w:pPr>
              <w:pStyle w:val="Compact"/>
            </w:pPr>
            <w:r>
              <w:t xml:space="preserve">Intake-to-routing completion</w:t>
            </w:r>
          </w:p>
        </w:tc>
        <w:tc>
          <w:tcPr/>
          <w:p>
            <w:pPr>
              <w:pStyle w:val="Compact"/>
            </w:pPr>
            <w:r>
              <w:t xml:space="preserve">≤ 2 business days</w:t>
            </w:r>
          </w:p>
        </w:tc>
        <w:tc>
          <w:tcPr/>
          <w:p>
            <w:pPr>
              <w:pStyle w:val="Compact"/>
            </w:pPr>
            <w:r>
              <w:t xml:space="preserve">Time from intake bot session start to DMN-01 pathway assignment</w:t>
            </w:r>
          </w:p>
        </w:tc>
        <w:tc>
          <w:tcPr/>
          <w:p>
            <w:pPr>
              <w:pStyle w:val="Compact"/>
            </w:pPr>
            <w:r>
              <w:t xml:space="preserve">Weekly</w:t>
            </w:r>
          </w:p>
        </w:tc>
        <w:tc>
          <w:tcPr/>
          <w:p>
            <w:pPr>
              <w:pStyle w:val="Compact"/>
            </w:pPr>
            <w:r>
              <w:t xml:space="preserve">A</w:t>
            </w:r>
          </w:p>
        </w:tc>
      </w:tr>
      <w:tr>
        <w:tc>
          <w:tcPr/>
          <w:p>
            <w:pPr>
              <w:pStyle w:val="Compact"/>
            </w:pPr>
            <w:r>
              <w:t xml:space="preserve">Completeness rate at first submission</w:t>
            </w:r>
          </w:p>
        </w:tc>
        <w:tc>
          <w:tcPr/>
          <w:p>
            <w:pPr>
              <w:pStyle w:val="Compact"/>
            </w:pPr>
            <w:r>
              <w:t xml:space="preserve">≥ 85%</w:t>
            </w:r>
          </w:p>
        </w:tc>
        <w:tc>
          <w:tcPr/>
          <w:p>
            <w:pPr>
              <w:pStyle w:val="Compact"/>
            </w:pPr>
            <w:r>
              <w:t xml:space="preserve">% of intakes passing DMN-02 without return loop</w:t>
            </w:r>
          </w:p>
        </w:tc>
        <w:tc>
          <w:tcPr/>
          <w:p>
            <w:pPr>
              <w:pStyle w:val="Compact"/>
            </w:pPr>
            <w:r>
              <w:t xml:space="preserve">Monthly</w:t>
            </w:r>
          </w:p>
        </w:tc>
        <w:tc>
          <w:tcPr/>
          <w:p>
            <w:pPr>
              <w:pStyle w:val="Compact"/>
            </w:pPr>
            <w:r>
              <w:t xml:space="preserve">A</w:t>
            </w:r>
          </w:p>
        </w:tc>
      </w:tr>
      <w:tr>
        <w:tc>
          <w:tcPr/>
          <w:p>
            <w:pPr>
              <w:pStyle w:val="Compact"/>
            </w:pPr>
            <w:r>
              <w:t xml:space="preserve">Duplicate/reuse detection rate</w:t>
            </w:r>
          </w:p>
        </w:tc>
        <w:tc>
          <w:tcPr/>
          <w:p>
            <w:pPr>
              <w:pStyle w:val="Compact"/>
            </w:pPr>
            <w:r>
              <w:t xml:space="preserve">≥ 30% resolved via Registry</w:t>
            </w:r>
          </w:p>
        </w:tc>
        <w:tc>
          <w:tcPr/>
          <w:p>
            <w:pPr>
              <w:pStyle w:val="Compact"/>
            </w:pPr>
            <w:r>
              <w:t xml:space="preserve">% of intakes closed via DMN-03/DMN-15 before portfolio entry</w:t>
            </w:r>
          </w:p>
        </w:tc>
        <w:tc>
          <w:tcPr/>
          <w:p>
            <w:pPr>
              <w:pStyle w:val="Compact"/>
            </w:pPr>
            <w:r>
              <w:t xml:space="preserve">Quarterly</w:t>
            </w:r>
          </w:p>
        </w:tc>
        <w:tc>
          <w:tcPr/>
          <w:p>
            <w:pPr>
              <w:pStyle w:val="Compact"/>
            </w:pPr>
            <w:r>
              <w:t xml:space="preserve">A</w:t>
            </w:r>
          </w:p>
        </w:tc>
      </w:tr>
      <w:tr>
        <w:tc>
          <w:tcPr/>
          <w:p>
            <w:pPr>
              <w:pStyle w:val="Compact"/>
            </w:pPr>
            <w:r>
              <w:t xml:space="preserve">Go/No-Go decision cycle</w:t>
            </w:r>
          </w:p>
        </w:tc>
        <w:tc>
          <w:tcPr/>
          <w:p>
            <w:pPr>
              <w:pStyle w:val="Compact"/>
            </w:pPr>
            <w:r>
              <w:t xml:space="preserve">≤ 5 business days</w:t>
            </w:r>
          </w:p>
        </w:tc>
        <w:tc>
          <w:tcPr/>
          <w:p>
            <w:pPr>
              <w:pStyle w:val="Compact"/>
            </w:pPr>
            <w:r>
              <w:t xml:space="preserve">Calendar time from portfolio submission to Council decision</w:t>
            </w:r>
          </w:p>
        </w:tc>
        <w:tc>
          <w:tcPr/>
          <w:p>
            <w:pPr>
              <w:pStyle w:val="Compact"/>
            </w:pPr>
            <w:r>
              <w:t xml:space="preserve">Weekly</w:t>
            </w:r>
          </w:p>
        </w:tc>
        <w:tc>
          <w:tcPr/>
          <w:p>
            <w:pPr>
              <w:pStyle w:val="Compact"/>
            </w:pPr>
            <w:r>
              <w:t xml:space="preserve">H</w:t>
            </w:r>
          </w:p>
        </w:tc>
      </w:tr>
      <w:tr>
        <w:tc>
          <w:tcPr/>
          <w:p>
            <w:pPr>
              <w:pStyle w:val="Compact"/>
            </w:pPr>
            <w:r>
              <w:t xml:space="preserve">Buy pathway: RFP-to-vendor-selection</w:t>
            </w:r>
          </w:p>
        </w:tc>
        <w:tc>
          <w:tcPr/>
          <w:p>
            <w:pPr>
              <w:pStyle w:val="Compact"/>
            </w:pPr>
            <w:r>
              <w:t xml:space="preserve">≤ 30 days (Tier 3–4); ≤ 60 (Tier 1–2)</w:t>
            </w:r>
          </w:p>
        </w:tc>
        <w:tc>
          <w:tcPr/>
          <w:p>
            <w:pPr>
              <w:pStyle w:val="Compact"/>
            </w:pPr>
            <w:r>
              <w:t xml:space="preserve">Calendar time from RFP issuance to selection recommendation</w:t>
            </w:r>
          </w:p>
        </w:tc>
        <w:tc>
          <w:tcPr/>
          <w:p>
            <w:pPr>
              <w:pStyle w:val="Compact"/>
            </w:pPr>
            <w:r>
              <w:t xml:space="preserve">Monthly</w:t>
            </w:r>
          </w:p>
        </w:tc>
        <w:tc>
          <w:tcPr/>
          <w:p>
            <w:pPr>
              <w:pStyle w:val="Compact"/>
            </w:pPr>
            <w:r>
              <w:t xml:space="preserve">H</w:t>
            </w:r>
          </w:p>
        </w:tc>
      </w:tr>
      <w:tr>
        <w:tc>
          <w:tcPr/>
          <w:p>
            <w:pPr>
              <w:pStyle w:val="Compact"/>
            </w:pPr>
            <w:r>
              <w:t xml:space="preserve">TPRM due diligence completion</w:t>
            </w:r>
          </w:p>
        </w:tc>
        <w:tc>
          <w:tcPr/>
          <w:p>
            <w:pPr>
              <w:pStyle w:val="Compact"/>
            </w:pPr>
            <w:r>
              <w:t xml:space="preserve">100% tiered and DD-completed before contract</w:t>
            </w:r>
          </w:p>
        </w:tc>
        <w:tc>
          <w:tcPr/>
          <w:p>
            <w:pPr>
              <w:pStyle w:val="Compact"/>
            </w:pPr>
            <w:r>
              <w:t xml:space="preserve">Audit of vendor onboarding records; zero exceptions</w:t>
            </w:r>
          </w:p>
        </w:tc>
        <w:tc>
          <w:tcPr/>
          <w:p>
            <w:pPr>
              <w:pStyle w:val="Compact"/>
            </w:pPr>
            <w:r>
              <w:t xml:space="preserve">Monthly</w:t>
            </w:r>
          </w:p>
        </w:tc>
        <w:tc>
          <w:tcPr/>
          <w:p>
            <w:pPr>
              <w:pStyle w:val="Compact"/>
            </w:pPr>
            <w:r>
              <w:t xml:space="preserve">H</w:t>
            </w:r>
          </w:p>
        </w:tc>
      </w:tr>
      <w:tr>
        <w:tc>
          <w:tcPr/>
          <w:p>
            <w:pPr>
              <w:pStyle w:val="Compact"/>
            </w:pPr>
            <w:r>
              <w:t xml:space="preserve">AI Gov checklist completion</w:t>
            </w:r>
          </w:p>
        </w:tc>
        <w:tc>
          <w:tcPr/>
          <w:p>
            <w:pPr>
              <w:pStyle w:val="Compact"/>
            </w:pPr>
            <w:r>
              <w:t xml:space="preserve">100% Tier 1/2 with approved checklist before production</w:t>
            </w:r>
          </w:p>
        </w:tc>
        <w:tc>
          <w:tcPr/>
          <w:p>
            <w:pPr>
              <w:pStyle w:val="Compact"/>
            </w:pPr>
            <w:r>
              <w:t xml:space="preserve">Audit of model inventory against deployed AI assets</w:t>
            </w:r>
          </w:p>
        </w:tc>
        <w:tc>
          <w:tcPr/>
          <w:p>
            <w:pPr>
              <w:pStyle w:val="Compact"/>
            </w:pPr>
            <w:r>
              <w:t xml:space="preserve">Quarterly</w:t>
            </w:r>
          </w:p>
        </w:tc>
        <w:tc>
          <w:tcPr/>
          <w:p>
            <w:pPr>
              <w:pStyle w:val="Compact"/>
            </w:pPr>
            <w:r>
              <w:t xml:space="preserve">H</w:t>
            </w:r>
          </w:p>
        </w:tc>
      </w:tr>
      <w:tr>
        <w:tc>
          <w:tcPr/>
          <w:p>
            <w:pPr>
              <w:pStyle w:val="Compact"/>
            </w:pPr>
            <w:r>
              <w:t xml:space="preserve">Vendor monitoring SLA adherence</w:t>
            </w:r>
          </w:p>
        </w:tc>
        <w:tc>
          <w:tcPr/>
          <w:p>
            <w:pPr>
              <w:pStyle w:val="Compact"/>
            </w:pPr>
            <w:r>
              <w:t xml:space="preserve">≥ 95% on schedule per DMN-14</w:t>
            </w:r>
          </w:p>
        </w:tc>
        <w:tc>
          <w:tcPr/>
          <w:p>
            <w:pPr>
              <w:pStyle w:val="Compact"/>
            </w:pPr>
            <w:r>
              <w:t xml:space="preserve">TPRM monitoring schedule completion rate</w:t>
            </w:r>
          </w:p>
        </w:tc>
        <w:tc>
          <w:tcPr/>
          <w:p>
            <w:pPr>
              <w:pStyle w:val="Compact"/>
            </w:pPr>
            <w:r>
              <w:t xml:space="preserve">Monthly</w:t>
            </w:r>
          </w:p>
        </w:tc>
        <w:tc>
          <w:tcPr/>
          <w:p>
            <w:pPr>
              <w:pStyle w:val="Compact"/>
            </w:pPr>
            <w:r>
              <w:t xml:space="preserve">A / H</w:t>
            </w:r>
          </w:p>
        </w:tc>
      </w:tr>
      <w:tr>
        <w:tc>
          <w:tcPr/>
          <w:p>
            <w:pPr>
              <w:pStyle w:val="Compact"/>
            </w:pPr>
            <w:r>
              <w:t xml:space="preserve">Regulatory audit readiness</w:t>
            </w:r>
          </w:p>
        </w:tc>
        <w:tc>
          <w:tcPr/>
          <w:p>
            <w:pPr>
              <w:pStyle w:val="Compact"/>
            </w:pPr>
            <w:r>
              <w:t xml:space="preserve">Full log retrievable within 24 hours</w:t>
            </w:r>
          </w:p>
        </w:tc>
        <w:tc>
          <w:tcPr/>
          <w:p>
            <w:pPr>
              <w:pStyle w:val="Compact"/>
            </w:pPr>
            <w:r>
              <w:t xml:space="preserve">Periodic internal audit drill</w:t>
            </w:r>
          </w:p>
        </w:tc>
        <w:tc>
          <w:tcPr/>
          <w:p>
            <w:pPr>
              <w:pStyle w:val="Compact"/>
            </w:pPr>
            <w:r>
              <w:t xml:space="preserve">Annual drill</w:t>
            </w:r>
          </w:p>
        </w:tc>
        <w:tc>
          <w:tcPr/>
          <w:p>
            <w:pPr>
              <w:pStyle w:val="Compact"/>
            </w:pPr>
            <w:r>
              <w:t xml:space="preserve">A</w:t>
            </w:r>
          </w:p>
        </w:tc>
      </w:tr>
      <w:tr>
        <w:tc>
          <w:tcPr/>
          <w:p>
            <w:pPr>
              <w:pStyle w:val="Compact"/>
            </w:pPr>
            <w:r>
              <w:t xml:space="preserve">AI model performance within bounds</w:t>
            </w:r>
          </w:p>
        </w:tc>
        <w:tc>
          <w:tcPr/>
          <w:p>
            <w:pPr>
              <w:pStyle w:val="Compact"/>
            </w:pPr>
            <w:r>
              <w:t xml:space="preserve">100% Tier 1/2 within drift thresholds</w:t>
            </w:r>
          </w:p>
        </w:tc>
        <w:tc>
          <w:tcPr/>
          <w:p>
            <w:pPr>
              <w:pStyle w:val="Compact"/>
            </w:pPr>
            <w:r>
              <w:t xml:space="preserve">Automated monitoring; monthly MRM Committee review</w:t>
            </w:r>
          </w:p>
        </w:tc>
        <w:tc>
          <w:tcPr/>
          <w:p>
            <w:pPr>
              <w:pStyle w:val="Compact"/>
            </w:pPr>
            <w:r>
              <w:t xml:space="preserve">Monthly</w:t>
            </w:r>
          </w:p>
        </w:tc>
        <w:tc>
          <w:tcPr/>
          <w:p>
            <w:pPr>
              <w:pStyle w:val="Compact"/>
            </w:pPr>
            <w:r>
              <w:t xml:space="preserve">A / DA</w:t>
            </w:r>
          </w:p>
        </w:tc>
      </w:tr>
      <w:tr>
        <w:tc>
          <w:tcPr/>
          <w:p>
            <w:pPr>
              <w:pStyle w:val="Compact"/>
            </w:pPr>
            <w:r>
              <w:t xml:space="preserve">Shadow IT detection-to-triage</w:t>
            </w:r>
          </w:p>
        </w:tc>
        <w:tc>
          <w:tcPr/>
          <w:p>
            <w:pPr>
              <w:pStyle w:val="Compact"/>
            </w:pPr>
            <w:r>
              <w:t xml:space="preserve">≤ 5 business days</w:t>
            </w:r>
          </w:p>
        </w:tc>
        <w:tc>
          <w:tcPr/>
          <w:p>
            <w:pPr>
              <w:pStyle w:val="Compact"/>
            </w:pPr>
            <w:r>
              <w:t xml:space="preserve">SSO/spend detection to DMN triage completion</w:t>
            </w:r>
          </w:p>
        </w:tc>
        <w:tc>
          <w:tcPr/>
          <w:p>
            <w:pPr>
              <w:pStyle w:val="Compact"/>
            </w:pPr>
            <w:r>
              <w:t xml:space="preserve">Weekly</w:t>
            </w:r>
          </w:p>
        </w:tc>
        <w:tc>
          <w:tcPr/>
          <w:p>
            <w:pPr>
              <w:pStyle w:val="Compact"/>
            </w:pPr>
            <w:r>
              <w:t xml:space="preserve">A</w:t>
            </w:r>
          </w:p>
        </w:tc>
      </w:tr>
      <w:tr>
        <w:tc>
          <w:tcPr/>
          <w:p>
            <w:pPr>
              <w:pStyle w:val="Compact"/>
            </w:pPr>
            <w:r>
              <w:t xml:space="preserve">Fast-track cycle time</w:t>
            </w:r>
          </w:p>
        </w:tc>
        <w:tc>
          <w:tcPr/>
          <w:p>
            <w:pPr>
              <w:pStyle w:val="Compact"/>
            </w:pPr>
            <w:r>
              <w:t xml:space="preserve">≤ 5 business days</w:t>
            </w:r>
          </w:p>
        </w:tc>
        <w:tc>
          <w:tcPr/>
          <w:p>
            <w:pPr>
              <w:pStyle w:val="Compact"/>
            </w:pPr>
            <w:r>
              <w:t xml:space="preserve">Intake to ITSM fulfillment for fast-track pathway</w:t>
            </w:r>
          </w:p>
        </w:tc>
        <w:tc>
          <w:tcPr/>
          <w:p>
            <w:pPr>
              <w:pStyle w:val="Compact"/>
            </w:pPr>
            <w:r>
              <w:t xml:space="preserve">Weekly</w:t>
            </w:r>
          </w:p>
        </w:tc>
        <w:tc>
          <w:tcPr/>
          <w:p>
            <w:pPr>
              <w:pStyle w:val="Compact"/>
            </w:pPr>
            <w:r>
              <w:t xml:space="preserve">A</w:t>
            </w:r>
          </w:p>
        </w:tc>
      </w:tr>
    </w:tbl>
    <w:bookmarkEnd w:id="116"/>
    <w:bookmarkStart w:id="117" w:name="queue-and-backlog-visibility"/>
    <w:p>
      <w:pPr>
        <w:pStyle w:val="Heading3"/>
      </w:pPr>
      <w:r>
        <w:t xml:space="preserve">17.2 Queue and Backlog Visibility</w:t>
      </w:r>
    </w:p>
    <w:p>
      <w:pPr>
        <w:pStyle w:val="FirstParagraph"/>
      </w:pPr>
      <w:r>
        <w:t xml:space="preserve">All requestors, approvers, and reviewers have real-time visibility into:</w:t>
      </w:r>
    </w:p>
    <w:p>
      <w:pPr>
        <w:numPr>
          <w:ilvl w:val="0"/>
          <w:numId w:val="1029"/>
        </w:numPr>
      </w:pPr>
      <w:r>
        <w:t xml:space="preserve">Request status, pipeline position, and pending actions via a shared</w:t>
      </w:r>
      <w:r>
        <w:t xml:space="preserve"> </w:t>
      </w:r>
      <w:r>
        <w:t xml:space="preserve">portal. SLA clocks are visible.</w:t>
      </w:r>
    </w:p>
    <w:p>
      <w:pPr>
        <w:numPr>
          <w:ilvl w:val="0"/>
          <w:numId w:val="1029"/>
        </w:numPr>
      </w:pPr>
      <w:r>
        <w:t xml:space="preserve">Portfolio Governance Council queue depth, average wait time, and</w:t>
      </w:r>
      <w:r>
        <w:t xml:space="preserve"> </w:t>
      </w:r>
      <w:r>
        <w:t xml:space="preserve">upcoming review cycle dates.</w:t>
      </w:r>
    </w:p>
    <w:p>
      <w:pPr>
        <w:numPr>
          <w:ilvl w:val="0"/>
          <w:numId w:val="1029"/>
        </w:numPr>
      </w:pPr>
      <w:r>
        <w:t xml:space="preserve">Procurement pipeline: RFP status, vendor evaluation progress, and</w:t>
      </w:r>
      <w:r>
        <w:t xml:space="preserve"> </w:t>
      </w:r>
      <w:r>
        <w:t xml:space="preserve">contracting milestones.</w:t>
      </w:r>
    </w:p>
    <w:p>
      <w:pPr>
        <w:numPr>
          <w:ilvl w:val="0"/>
          <w:numId w:val="1029"/>
        </w:numPr>
      </w:pPr>
      <w:r>
        <w:t xml:space="preserve">Build pipeline: sprint assignments, PoC status, gate outcomes, and</w:t>
      </w:r>
      <w:r>
        <w:t xml:space="preserve"> </w:t>
      </w:r>
      <w:r>
        <w:t xml:space="preserve">release readiness.</w:t>
      </w:r>
    </w:p>
    <w:bookmarkEnd w:id="117"/>
    <w:bookmarkStart w:id="118" w:name="time-based-escalation-rules"/>
    <w:p>
      <w:pPr>
        <w:pStyle w:val="Heading3"/>
      </w:pPr>
      <w:r>
        <w:t xml:space="preserve">17.3 Time-Based Escalation Rules</w:t>
      </w:r>
    </w:p>
    <w:p>
      <w:pPr>
        <w:pStyle w:val="FirstParagraph"/>
      </w:pPr>
      <w:r>
        <w:t xml:space="preserve">Escalation rules are embedded in the BPMN as timer boundary events:</w:t>
      </w:r>
    </w:p>
    <w:p>
      <w:pPr>
        <w:numPr>
          <w:ilvl w:val="0"/>
          <w:numId w:val="1030"/>
        </w:numPr>
      </w:pPr>
      <w:r>
        <w:rPr>
          <w:b/>
          <w:bCs/>
        </w:rPr>
        <w:t xml:space="preserve">SLA breach warning (80% elapsed):</w:t>
      </w:r>
      <w:r>
        <w:t xml:space="preserve"> </w:t>
      </w:r>
      <w:r>
        <w:t xml:space="preserve">Automated notification to task</w:t>
      </w:r>
      <w:r>
        <w:t xml:space="preserve"> </w:t>
      </w:r>
      <w:r>
        <w:t xml:space="preserve">owner and their manager role.</w:t>
      </w:r>
      <w:r>
        <w:t xml:space="preserve"> </w:t>
      </w:r>
      <w:r>
        <w:rPr>
          <w:b/>
          <w:bCs/>
        </w:rPr>
        <w:t xml:space="preserve">(A)</w:t>
      </w:r>
    </w:p>
    <w:p>
      <w:pPr>
        <w:numPr>
          <w:ilvl w:val="0"/>
          <w:numId w:val="1030"/>
        </w:numPr>
      </w:pPr>
      <w:r>
        <w:rPr>
          <w:b/>
          <w:bCs/>
        </w:rPr>
        <w:t xml:space="preserve">SLA breach (100% elapsed):</w:t>
      </w:r>
      <w:r>
        <w:t xml:space="preserve"> </w:t>
      </w:r>
      <w:r>
        <w:t xml:space="preserve">Escalation to next governance level;</w:t>
      </w:r>
      <w:r>
        <w:t xml:space="preserve"> </w:t>
      </w:r>
      <w:r>
        <w:t xml:space="preserve">request flagged in portfolio dashboard.</w:t>
      </w:r>
      <w:r>
        <w:t xml:space="preserve"> </w:t>
      </w:r>
      <w:r>
        <w:rPr>
          <w:b/>
          <w:bCs/>
        </w:rPr>
        <w:t xml:space="preserve">(A)</w:t>
      </w:r>
    </w:p>
    <w:p>
      <w:pPr>
        <w:numPr>
          <w:ilvl w:val="0"/>
          <w:numId w:val="1030"/>
        </w:numPr>
      </w:pPr>
      <w:r>
        <w:rPr>
          <w:b/>
          <w:bCs/>
        </w:rPr>
        <w:t xml:space="preserve">Chronic SLA breach (3+ consecutive):</w:t>
      </w:r>
      <w:r>
        <w:t xml:space="preserve"> </w:t>
      </w:r>
      <w:r>
        <w:t xml:space="preserve">Process improvement review</w:t>
      </w:r>
      <w:r>
        <w:t xml:space="preserve"> </w:t>
      </w:r>
      <w:r>
        <w:t xml:space="preserve">triggered; bottleneck analysis report auto-generated.</w:t>
      </w:r>
      <w:r>
        <w:t xml:space="preserve"> </w:t>
      </w:r>
      <w:r>
        <w:rPr>
          <w:b/>
          <w:bCs/>
        </w:rPr>
        <w:t xml:space="preserve">(DA)</w:t>
      </w:r>
    </w:p>
    <w:bookmarkEnd w:id="118"/>
    <w:bookmarkStart w:id="119" w:name="bottleneck-detection"/>
    <w:p>
      <w:pPr>
        <w:pStyle w:val="Heading3"/>
      </w:pPr>
      <w:r>
        <w:t xml:space="preserve">17.4 Bottleneck Detection</w:t>
      </w:r>
    </w:p>
    <w:p>
      <w:pPr>
        <w:pStyle w:val="FirstParagraph"/>
      </w:pPr>
      <w:r>
        <w:t xml:space="preserve">The Monitoring and Alerting Agent continuously analyzes process</w:t>
      </w:r>
      <w:r>
        <w:t xml:space="preserve"> </w:t>
      </w:r>
      <w:r>
        <w:t xml:space="preserve">execution data to identify:</w:t>
      </w:r>
    </w:p>
    <w:p>
      <w:pPr>
        <w:numPr>
          <w:ilvl w:val="0"/>
          <w:numId w:val="1031"/>
        </w:numPr>
      </w:pPr>
      <w:r>
        <w:t xml:space="preserve">Tasks with average completion time exceeding SLA by &gt;50%.</w:t>
      </w:r>
      <w:r>
        <w:t xml:space="preserve"> </w:t>
      </w:r>
      <w:r>
        <w:rPr>
          <w:b/>
          <w:bCs/>
        </w:rPr>
        <w:t xml:space="preserve">(DA)</w:t>
      </w:r>
    </w:p>
    <w:p>
      <w:pPr>
        <w:numPr>
          <w:ilvl w:val="0"/>
          <w:numId w:val="1031"/>
        </w:numPr>
      </w:pPr>
      <w:r>
        <w:t xml:space="preserve">Queue depth anomalies (&gt;2 standard deviations from rolling 30-day</w:t>
      </w:r>
      <w:r>
        <w:t xml:space="preserve"> </w:t>
      </w:r>
      <w:r>
        <w:t xml:space="preserve">average).</w:t>
      </w:r>
      <w:r>
        <w:t xml:space="preserve"> </w:t>
      </w:r>
      <w:r>
        <w:rPr>
          <w:b/>
          <w:bCs/>
        </w:rPr>
        <w:t xml:space="preserve">(A)</w:t>
      </w:r>
    </w:p>
    <w:p>
      <w:pPr>
        <w:numPr>
          <w:ilvl w:val="0"/>
          <w:numId w:val="1031"/>
        </w:numPr>
      </w:pPr>
      <w:r>
        <w:t xml:space="preserve">Role-based bottlenecks: roles consistently appearing as the</w:t>
      </w:r>
      <w:r>
        <w:t xml:space="preserve"> </w:t>
      </w:r>
      <w:r>
        <w:t xml:space="preserve">longest-duration step in the critical path.</w:t>
      </w:r>
      <w:r>
        <w:t xml:space="preserve"> </w:t>
      </w:r>
      <w:r>
        <w:rPr>
          <w:b/>
          <w:bCs/>
        </w:rPr>
        <w:t xml:space="preserve">(DA)</w:t>
      </w:r>
    </w:p>
    <w:p>
      <w:pPr>
        <w:numPr>
          <w:ilvl w:val="0"/>
          <w:numId w:val="1031"/>
        </w:numPr>
      </w:pPr>
      <w:r>
        <w:t xml:space="preserve">Seasonal or cyclical patterns that predict future bottlenecks.</w:t>
      </w:r>
      <w:r>
        <w:t xml:space="preserve"> </w:t>
      </w:r>
      <w:r>
        <w:rPr>
          <w:b/>
          <w:bCs/>
        </w:rPr>
        <w:t xml:space="preserve">(DA)</w:t>
      </w:r>
    </w:p>
    <w:p>
      <w:pPr>
        <w:pStyle w:val="FirstParagraph"/>
      </w:pPr>
      <w:r>
        <w:t xml:space="preserve">Bottleneck detection outputs feed directly into the Phased Automation</w:t>
      </w:r>
      <w:r>
        <w:t xml:space="preserve"> </w:t>
      </w:r>
      <w:r>
        <w:t xml:space="preserve">roadmap (Section 18).</w:t>
      </w:r>
    </w:p>
    <w:bookmarkEnd w:id="119"/>
    <w:bookmarkStart w:id="120" w:name="service-level-agreement-framework"/>
    <w:p>
      <w:pPr>
        <w:pStyle w:val="Heading3"/>
      </w:pPr>
      <w:r>
        <w:t xml:space="preserve">Service Level Agreement Framework</w:t>
      </w:r>
    </w:p>
    <w:p>
      <w:pPr>
        <w:pStyle w:val="FirstParagraph"/>
      </w:pPr>
      <w:r>
        <w:t xml:space="preserve">The following SLA framework establishes measurable targets at the</w:t>
      </w:r>
      <w:r>
        <w:t xml:space="preserve"> </w:t>
      </w:r>
      <w:r>
        <w:t xml:space="preserve">functional, phase, and overall lifecycle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SLA Level</w:t>
            </w:r>
          </w:p>
        </w:tc>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Overall Lifecycle (Standard Risk)</w:t>
            </w:r>
          </w:p>
        </w:tc>
        <w:tc>
          <w:tcPr/>
          <w:p>
            <w:pPr>
              <w:pStyle w:val="Compact"/>
            </w:pPr>
            <w:r>
              <w:t xml:space="preserve">End-to-end from intake to go-live</w:t>
            </w:r>
          </w:p>
        </w:tc>
        <w:tc>
          <w:tcPr/>
          <w:p>
            <w:pPr>
              <w:pStyle w:val="Compact"/>
            </w:pPr>
            <w:r>
              <w:t xml:space="preserve">35–50 business days</w:t>
            </w:r>
          </w:p>
        </w:tc>
        <w:tc>
          <w:tcPr/>
          <w:p>
            <w:pPr>
              <w:pStyle w:val="Compact"/>
            </w:pPr>
            <w:r>
              <w:t xml:space="preserve">Calendar days from intake submission to production cutover</w:t>
            </w:r>
          </w:p>
        </w:tc>
      </w:tr>
      <w:tr>
        <w:tc>
          <w:tcPr/>
          <w:p>
            <w:pPr>
              <w:pStyle w:val="Compact"/>
            </w:pPr>
            <w:r>
              <w:t xml:space="preserve">Overall Lifecycle (High Risk)</w:t>
            </w:r>
          </w:p>
        </w:tc>
        <w:tc>
          <w:tcPr/>
          <w:p>
            <w:pPr>
              <w:pStyle w:val="Compact"/>
            </w:pPr>
            <w:r>
              <w:t xml:space="preserve">End-to-end from intake to go-live</w:t>
            </w:r>
          </w:p>
        </w:tc>
        <w:tc>
          <w:tcPr/>
          <w:p>
            <w:pPr>
              <w:pStyle w:val="Compact"/>
            </w:pPr>
            <w:r>
              <w:t xml:space="preserve">46–74 business days</w:t>
            </w:r>
          </w:p>
        </w:tc>
        <w:tc>
          <w:tcPr/>
          <w:p>
            <w:pPr>
              <w:pStyle w:val="Compact"/>
            </w:pPr>
            <w:r>
              <w:t xml:space="preserve">Calendar days from intake submission to production cutover</w:t>
            </w:r>
          </w:p>
        </w:tc>
      </w:tr>
      <w:tr>
        <w:tc>
          <w:tcPr/>
          <w:p>
            <w:pPr>
              <w:pStyle w:val="Compact"/>
            </w:pPr>
            <w:r>
              <w:t xml:space="preserve">Overall Lifecycle (Minimal Risk)</w:t>
            </w:r>
          </w:p>
        </w:tc>
        <w:tc>
          <w:tcPr/>
          <w:p>
            <w:pPr>
              <w:pStyle w:val="Compact"/>
            </w:pPr>
            <w:r>
              <w:t xml:space="preserve">End-to-end from intake to go-live</w:t>
            </w:r>
          </w:p>
        </w:tc>
        <w:tc>
          <w:tcPr/>
          <w:p>
            <w:pPr>
              <w:pStyle w:val="Compact"/>
            </w:pPr>
            <w:r>
              <w:t xml:space="preserve">13.5–23 business days</w:t>
            </w:r>
          </w:p>
        </w:tc>
        <w:tc>
          <w:tcPr/>
          <w:p>
            <w:pPr>
              <w:pStyle w:val="Compact"/>
            </w:pPr>
            <w:r>
              <w:t xml:space="preserve">Calendar days from intake submission to production cutover</w:t>
            </w:r>
          </w:p>
        </w:tc>
      </w:tr>
      <w:tr>
        <w:tc>
          <w:tcPr/>
          <w:p>
            <w:pPr>
              <w:pStyle w:val="Compact"/>
            </w:pPr>
            <w:r>
              <w:t xml:space="preserve">Phase Gate Compliance</w:t>
            </w:r>
          </w:p>
        </w:tc>
        <w:tc>
          <w:tcPr/>
          <w:p>
            <w:pPr>
              <w:pStyle w:val="Compact"/>
            </w:pPr>
            <w:r>
              <w:t xml:space="preserve">% of phases completing within SLA</w:t>
            </w:r>
          </w:p>
        </w:tc>
        <w:tc>
          <w:tcPr/>
          <w:p>
            <w:pPr>
              <w:pStyle w:val="Compact"/>
            </w:pPr>
            <w:r>
              <w:t xml:space="preserve">&gt; 90%</w:t>
            </w:r>
          </w:p>
        </w:tc>
        <w:tc>
          <w:tcPr/>
          <w:p>
            <w:pPr>
              <w:pStyle w:val="Compact"/>
            </w:pPr>
            <w:r>
              <w:t xml:space="preserve">Monthly dashboard reporting per phase</w:t>
            </w:r>
          </w:p>
        </w:tc>
      </w:tr>
      <w:tr>
        <w:tc>
          <w:tcPr/>
          <w:p>
            <w:pPr>
              <w:pStyle w:val="Compact"/>
            </w:pPr>
            <w:r>
              <w:t xml:space="preserve">Automation Utilization</w:t>
            </w:r>
          </w:p>
        </w:tc>
        <w:tc>
          <w:tcPr/>
          <w:p>
            <w:pPr>
              <w:pStyle w:val="Compact"/>
            </w:pPr>
            <w:r>
              <w:t xml:space="preserve">% of tasks using automation (Full or Partial)</w:t>
            </w:r>
          </w:p>
        </w:tc>
        <w:tc>
          <w:tcPr/>
          <w:p>
            <w:pPr>
              <w:pStyle w:val="Compact"/>
            </w:pPr>
            <w:r>
              <w:t xml:space="preserve">&gt; 60%</w:t>
            </w:r>
          </w:p>
        </w:tc>
        <w:tc>
          <w:tcPr/>
          <w:p>
            <w:pPr>
              <w:pStyle w:val="Compact"/>
            </w:pPr>
            <w:r>
              <w:t xml:space="preserve">Automated task count / total task count per initiative</w:t>
            </w:r>
          </w:p>
        </w:tc>
      </w:tr>
      <w:tr>
        <w:tc>
          <w:tcPr/>
          <w:p>
            <w:pPr>
              <w:pStyle w:val="Compact"/>
            </w:pPr>
            <w:r>
              <w:t xml:space="preserve">First-Pass Approval Rate</w:t>
            </w:r>
          </w:p>
        </w:tc>
        <w:tc>
          <w:tcPr/>
          <w:p>
            <w:pPr>
              <w:pStyle w:val="Compact"/>
            </w:pPr>
            <w:r>
              <w:t xml:space="preserve">% of initiatives approved without rework at governance gate</w:t>
            </w:r>
          </w:p>
        </w:tc>
        <w:tc>
          <w:tcPr/>
          <w:p>
            <w:pPr>
              <w:pStyle w:val="Compact"/>
            </w:pPr>
            <w:r>
              <w:t xml:space="preserve">&gt; 80%</w:t>
            </w:r>
          </w:p>
        </w:tc>
        <w:tc>
          <w:tcPr/>
          <w:p>
            <w:pPr>
              <w:pStyle w:val="Compact"/>
            </w:pPr>
            <w:r>
              <w:t xml:space="preserve">Approved on first submission / total submissions</w:t>
            </w:r>
          </w:p>
        </w:tc>
      </w:tr>
      <w:tr>
        <w:tc>
          <w:tcPr/>
          <w:p>
            <w:pPr>
              <w:pStyle w:val="Compact"/>
            </w:pPr>
            <w:r>
              <w:t xml:space="preserve">Evidence Collection Timeliness</w:t>
            </w:r>
          </w:p>
        </w:tc>
        <w:tc>
          <w:tcPr/>
          <w:p>
            <w:pPr>
              <w:pStyle w:val="Compact"/>
            </w:pPr>
            <w:r>
              <w:t xml:space="preserve">% of evidence items collected by end of Phase 2 (front-loaded)</w:t>
            </w:r>
          </w:p>
        </w:tc>
        <w:tc>
          <w:tcPr/>
          <w:p>
            <w:pPr>
              <w:pStyle w:val="Compact"/>
            </w:pPr>
            <w:r>
              <w:t xml:space="preserve">&gt; 70%</w:t>
            </w:r>
          </w:p>
        </w:tc>
        <w:tc>
          <w:tcPr/>
          <w:p>
            <w:pPr>
              <w:pStyle w:val="Compact"/>
            </w:pPr>
            <w:r>
              <w:t xml:space="preserve">Evidence items received by Phase 2 close / total required items</w:t>
            </w:r>
          </w:p>
        </w:tc>
      </w:tr>
      <w:tr>
        <w:tc>
          <w:tcPr/>
          <w:p>
            <w:pPr>
              <w:pStyle w:val="Compact"/>
            </w:pPr>
            <w:r>
              <w:t xml:space="preserve">Vendor Reassessment Compliance</w:t>
            </w:r>
          </w:p>
        </w:tc>
        <w:tc>
          <w:tcPr/>
          <w:p>
            <w:pPr>
              <w:pStyle w:val="Compact"/>
            </w:pPr>
            <w:r>
              <w:t xml:space="preserve">% of vendors reassessed within required cadence</w:t>
            </w:r>
          </w:p>
        </w:tc>
        <w:tc>
          <w:tcPr/>
          <w:p>
            <w:pPr>
              <w:pStyle w:val="Compact"/>
            </w:pPr>
            <w:r>
              <w:t xml:space="preserve">100%</w:t>
            </w:r>
          </w:p>
        </w:tc>
        <w:tc>
          <w:tcPr/>
          <w:p>
            <w:pPr>
              <w:pStyle w:val="Compact"/>
            </w:pPr>
            <w:r>
              <w:t xml:space="preserve">Completed reassessments / due reassessments per period</w:t>
            </w:r>
          </w:p>
        </w:tc>
      </w:tr>
    </w:tbl>
    <w:bookmarkEnd w:id="120"/>
    <w:bookmarkEnd w:id="121"/>
    <w:bookmarkStart w:id="124" w:name="dependency-mapping-and-traceability"/>
    <w:p>
      <w:pPr>
        <w:pStyle w:val="Heading2"/>
      </w:pPr>
      <w:r>
        <w:t xml:space="preserve">23. Dependency Mapping and Traceability</w:t>
      </w:r>
    </w:p>
    <w:p>
      <w:pPr>
        <w:pStyle w:val="FirstParagraph"/>
      </w:pPr>
      <w:r>
        <w:t xml:space="preserve">This section provides a fully connected model showing inputs and outputs</w:t>
      </w:r>
      <w:r>
        <w:t xml:space="preserve"> </w:t>
      </w:r>
      <w:r>
        <w:t xml:space="preserve">across all steps, control dependencies, data dependencies, SLA</w:t>
      </w:r>
      <w:r>
        <w:t xml:space="preserve"> </w:t>
      </w:r>
      <w:r>
        <w:t xml:space="preserve">implications, and ownership and accountability. The goal is complete</w:t>
      </w:r>
      <w:r>
        <w:t xml:space="preserve"> </w:t>
      </w:r>
      <w:r>
        <w:t xml:space="preserve">traceability across TPRM, AI governance, legal, risk, compliance, and</w:t>
      </w:r>
      <w:r>
        <w:t xml:space="preserve"> </w:t>
      </w:r>
      <w:r>
        <w:t xml:space="preserve">operational onboarding.</w:t>
      </w:r>
    </w:p>
    <w:bookmarkStart w:id="122" w:name="cross-phase-dependency-matrix"/>
    <w:p>
      <w:pPr>
        <w:pStyle w:val="Heading3"/>
      </w:pPr>
      <w:r>
        <w:t xml:space="preserve">8.1 Cross-Phase Dependency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Key Inputs (from)</w:t>
            </w:r>
          </w:p>
        </w:tc>
        <w:tc>
          <w:tcPr/>
          <w:p>
            <w:pPr>
              <w:pStyle w:val="Compact"/>
            </w:pPr>
            <w:r>
              <w:t xml:space="preserve">Key Outputs (to)</w:t>
            </w:r>
          </w:p>
        </w:tc>
        <w:tc>
          <w:tcPr/>
          <w:p>
            <w:pPr>
              <w:pStyle w:val="Compact"/>
            </w:pPr>
            <w:r>
              <w:t xml:space="preserve">SLA Impact</w:t>
            </w:r>
          </w:p>
        </w:tc>
        <w:tc>
          <w:tcPr/>
          <w:p>
            <w:pPr>
              <w:pStyle w:val="Compact"/>
            </w:pPr>
            <w:r>
              <w:t xml:space="preserve">Control Dependencies</w:t>
            </w:r>
          </w:p>
        </w:tc>
        <w:tc>
          <w:tcPr/>
          <w:p>
            <w:pPr>
              <w:pStyle w:val="Compact"/>
            </w:pPr>
            <w:r>
              <w:t xml:space="preserve">Accountable Owner</w:t>
            </w:r>
          </w:p>
        </w:tc>
      </w:tr>
      <w:tr>
        <w:tc>
          <w:tcPr/>
          <w:p>
            <w:pPr>
              <w:pStyle w:val="Compact"/>
            </w:pPr>
            <w:r>
              <w:t xml:space="preserve">1. Initiation</w:t>
            </w:r>
          </w:p>
        </w:tc>
        <w:tc>
          <w:tcPr/>
          <w:p>
            <w:pPr>
              <w:pStyle w:val="Compact"/>
            </w:pPr>
            <w:r>
              <w:t xml:space="preserve">Business need, vendor information, Trust Center data (external)</w:t>
            </w:r>
          </w:p>
        </w:tc>
        <w:tc>
          <w:tcPr/>
          <w:p>
            <w:pPr>
              <w:pStyle w:val="Compact"/>
            </w:pPr>
            <w:r>
              <w:t xml:space="preserve">Intake record, preliminary categorization, routing assignment (to Phase 2)</w:t>
            </w:r>
          </w:p>
        </w:tc>
        <w:tc>
          <w:tcPr/>
          <w:p>
            <w:pPr>
              <w:pStyle w:val="Compact"/>
            </w:pPr>
            <w:r>
              <w:t xml:space="preserve">Gate for all downstream</w:t>
            </w:r>
          </w:p>
        </w:tc>
        <w:tc>
          <w:tcPr/>
          <w:p>
            <w:pPr>
              <w:pStyle w:val="Compact"/>
            </w:pPr>
            <w:r>
              <w:t xml:space="preserve">Data completeness validation</w:t>
            </w:r>
          </w:p>
        </w:tc>
        <w:tc>
          <w:tcPr/>
          <w:p>
            <w:pPr>
              <w:pStyle w:val="Compact"/>
            </w:pPr>
            <w:r>
              <w:t xml:space="preserve">Requestor / Case Manager</w:t>
            </w:r>
          </w:p>
        </w:tc>
      </w:tr>
      <w:tr>
        <w:tc>
          <w:tcPr/>
          <w:p>
            <w:pPr>
              <w:pStyle w:val="Compact"/>
            </w:pPr>
            <w:r>
              <w:t xml:space="preserve">2. Planning</w:t>
            </w:r>
          </w:p>
        </w:tc>
        <w:tc>
          <w:tcPr/>
          <w:p>
            <w:pPr>
              <w:pStyle w:val="Compact"/>
            </w:pPr>
            <w:r>
              <w:t xml:space="preserve">Intake record (Phase 1), pre-harvested evidence, regulatory mapping (Phase 1)</w:t>
            </w:r>
          </w:p>
        </w:tc>
        <w:tc>
          <w:tcPr/>
          <w:p>
            <w:pPr>
              <w:pStyle w:val="Compact"/>
            </w:pPr>
            <w:r>
              <w:t xml:space="preserve">Risk tier, scope definition, knowledge harvest requests (to Phase 3)</w:t>
            </w:r>
          </w:p>
        </w:tc>
        <w:tc>
          <w:tcPr/>
          <w:p>
            <w:pPr>
              <w:pStyle w:val="Compact"/>
            </w:pPr>
            <w:r>
              <w:t xml:space="preserve">Delay cascades to Phase 3–7</w:t>
            </w:r>
          </w:p>
        </w:tc>
        <w:tc>
          <w:tcPr/>
          <w:p>
            <w:pPr>
              <w:pStyle w:val="Compact"/>
            </w:pPr>
            <w:r>
              <w:t xml:space="preserve">Risk scoring model, regulatory framework DB</w:t>
            </w:r>
          </w:p>
        </w:tc>
        <w:tc>
          <w:tcPr/>
          <w:p>
            <w:pPr>
              <w:pStyle w:val="Compact"/>
            </w:pPr>
            <w:r>
              <w:t xml:space="preserve">Risk / TPRM Lead</w:t>
            </w:r>
          </w:p>
        </w:tc>
      </w:tr>
      <w:tr>
        <w:tc>
          <w:tcPr/>
          <w:p>
            <w:pPr>
              <w:pStyle w:val="Compact"/>
            </w:pPr>
            <w:r>
              <w:t xml:space="preserve">3. Due Diligence</w:t>
            </w:r>
          </w:p>
        </w:tc>
        <w:tc>
          <w:tcPr/>
          <w:p>
            <w:pPr>
              <w:pStyle w:val="Compact"/>
            </w:pPr>
            <w:r>
              <w:t xml:space="preserve">Risk tier (Phase 2), vendor evidence (Phase 1 pre-harvest + Phase 3 requests)</w:t>
            </w:r>
          </w:p>
        </w:tc>
        <w:tc>
          <w:tcPr/>
          <w:p>
            <w:pPr>
              <w:pStyle w:val="Compact"/>
            </w:pPr>
            <w:r>
              <w:t xml:space="preserve">Agent swarm findings, assessment reports (to Phase 4)</w:t>
            </w:r>
          </w:p>
        </w:tc>
        <w:tc>
          <w:tcPr/>
          <w:p>
            <w:pPr>
              <w:pStyle w:val="Compact"/>
            </w:pPr>
            <w:r>
              <w:t xml:space="preserve">Longest variable phase; primary SLA risk</w:t>
            </w:r>
          </w:p>
        </w:tc>
        <w:tc>
          <w:tcPr/>
          <w:p>
            <w:pPr>
              <w:pStyle w:val="Compact"/>
            </w:pPr>
            <w:r>
              <w:t xml:space="preserve">Agent swarm deployment, CSM integration, Trust Center APIs</w:t>
            </w:r>
          </w:p>
        </w:tc>
        <w:tc>
          <w:tcPr/>
          <w:p>
            <w:pPr>
              <w:pStyle w:val="Compact"/>
            </w:pPr>
            <w:r>
              <w:t xml:space="preserve">TPRM Team / AI Gov.</w:t>
            </w:r>
          </w:p>
        </w:tc>
      </w:tr>
      <w:tr>
        <w:tc>
          <w:tcPr/>
          <w:p>
            <w:pPr>
              <w:pStyle w:val="Compact"/>
            </w:pPr>
            <w:r>
              <w:t xml:space="preserve">4. Governance Review</w:t>
            </w:r>
          </w:p>
        </w:tc>
        <w:tc>
          <w:tcPr/>
          <w:p>
            <w:pPr>
              <w:pStyle w:val="Compact"/>
            </w:pPr>
            <w:r>
              <w:t xml:space="preserve">Assessment package (Phase 3), risk classification (Phase 2)</w:t>
            </w:r>
          </w:p>
        </w:tc>
        <w:tc>
          <w:tcPr/>
          <w:p>
            <w:pPr>
              <w:pStyle w:val="Compact"/>
            </w:pPr>
            <w:r>
              <w:t xml:space="preserve">Approval/rejection decision, conditions (to Phase 5 or End)</w:t>
            </w:r>
          </w:p>
        </w:tc>
        <w:tc>
          <w:tcPr/>
          <w:p>
            <w:pPr>
              <w:pStyle w:val="Compact"/>
            </w:pPr>
            <w:r>
              <w:t xml:space="preserve">Human decision bottleneck</w:t>
            </w:r>
          </w:p>
        </w:tc>
        <w:tc>
          <w:tcPr/>
          <w:p>
            <w:pPr>
              <w:pStyle w:val="Compact"/>
            </w:pPr>
            <w:r>
              <w:t xml:space="preserve">Governance committee quorum, escalation rules</w:t>
            </w:r>
          </w:p>
        </w:tc>
        <w:tc>
          <w:tcPr/>
          <w:p>
            <w:pPr>
              <w:pStyle w:val="Compact"/>
            </w:pPr>
            <w:r>
              <w:t xml:space="preserve">Governance Committee Chair</w:t>
            </w:r>
          </w:p>
        </w:tc>
      </w:tr>
      <w:tr>
        <w:tc>
          <w:tcPr/>
          <w:p>
            <w:pPr>
              <w:pStyle w:val="Compact"/>
            </w:pPr>
            <w:r>
              <w:t xml:space="preserve">5. Contracting</w:t>
            </w:r>
          </w:p>
        </w:tc>
        <w:tc>
          <w:tcPr/>
          <w:p>
            <w:pPr>
              <w:pStyle w:val="Compact"/>
            </w:pPr>
            <w:r>
              <w:t xml:space="preserve">Approval decision (Phase 4), DPA terms (Phase 1 pre-harvest), gap findings (Phase 3)</w:t>
            </w:r>
          </w:p>
        </w:tc>
        <w:tc>
          <w:tcPr/>
          <w:p>
            <w:pPr>
              <w:pStyle w:val="Compact"/>
            </w:pPr>
            <w:r>
              <w:t xml:space="preserve">Executed contract, configured controls (to Phase 6)</w:t>
            </w:r>
          </w:p>
        </w:tc>
        <w:tc>
          <w:tcPr/>
          <w:p>
            <w:pPr>
              <w:pStyle w:val="Compact"/>
            </w:pPr>
            <w:r>
              <w:t xml:space="preserve">Legal review = common bottleneck</w:t>
            </w:r>
          </w:p>
        </w:tc>
        <w:tc>
          <w:tcPr/>
          <w:p>
            <w:pPr>
              <w:pStyle w:val="Compact"/>
            </w:pPr>
            <w:r>
              <w:t xml:space="preserve">Mandatory clause library, control framework mapping</w:t>
            </w:r>
          </w:p>
        </w:tc>
        <w:tc>
          <w:tcPr/>
          <w:p>
            <w:pPr>
              <w:pStyle w:val="Compact"/>
            </w:pPr>
            <w:r>
              <w:t xml:space="preserve">Legal / Procurement Lead</w:t>
            </w:r>
          </w:p>
        </w:tc>
      </w:tr>
      <w:tr>
        <w:tc>
          <w:tcPr/>
          <w:p>
            <w:pPr>
              <w:pStyle w:val="Compact"/>
            </w:pPr>
            <w:r>
              <w:t xml:space="preserve">6. SDLC</w:t>
            </w:r>
          </w:p>
        </w:tc>
        <w:tc>
          <w:tcPr/>
          <w:p>
            <w:pPr>
              <w:pStyle w:val="Compact"/>
            </w:pPr>
            <w:r>
              <w:t xml:space="preserve">Contract and controls (Phase 5), governance conditions (Phase 4)</w:t>
            </w:r>
          </w:p>
        </w:tc>
        <w:tc>
          <w:tcPr/>
          <w:p>
            <w:pPr>
              <w:pStyle w:val="Compact"/>
            </w:pPr>
            <w:r>
              <w:t xml:space="preserve">Tested solution, compliance validation (to Phase 7)</w:t>
            </w:r>
          </w:p>
        </w:tc>
        <w:tc>
          <w:tcPr/>
          <w:p>
            <w:pPr>
              <w:pStyle w:val="Compact"/>
            </w:pPr>
            <w:r>
              <w:t xml:space="preserve">Longest fixed phase; drives total timeline</w:t>
            </w:r>
          </w:p>
        </w:tc>
        <w:tc>
          <w:tcPr/>
          <w:p>
            <w:pPr>
              <w:pStyle w:val="Compact"/>
            </w:pPr>
            <w:r>
              <w:t xml:space="preserve">CI/CD pipeline, policy-as-code, in-sprint compliance</w:t>
            </w:r>
          </w:p>
        </w:tc>
        <w:tc>
          <w:tcPr/>
          <w:p>
            <w:pPr>
              <w:pStyle w:val="Compact"/>
            </w:pPr>
            <w:r>
              <w:t xml:space="preserve">Engineering Lead</w:t>
            </w:r>
          </w:p>
        </w:tc>
      </w:tr>
      <w:tr>
        <w:tc>
          <w:tcPr/>
          <w:p>
            <w:pPr>
              <w:pStyle w:val="Compact"/>
            </w:pPr>
            <w:r>
              <w:t xml:space="preserve">7. Deployment</w:t>
            </w:r>
          </w:p>
        </w:tc>
        <w:tc>
          <w:tcPr/>
          <w:p>
            <w:pPr>
              <w:pStyle w:val="Compact"/>
            </w:pPr>
            <w:r>
              <w:t xml:space="preserve">Pre-deployment package (Phase 6), control validations (Phase 6)</w:t>
            </w:r>
          </w:p>
        </w:tc>
        <w:tc>
          <w:tcPr/>
          <w:p>
            <w:pPr>
              <w:pStyle w:val="Compact"/>
            </w:pPr>
            <w:r>
              <w:t xml:space="preserve">Production deployment, monitoring activation (to Phase 8)</w:t>
            </w:r>
          </w:p>
        </w:tc>
        <w:tc>
          <w:tcPr/>
          <w:p>
            <w:pPr>
              <w:pStyle w:val="Compact"/>
            </w:pPr>
            <w:r>
              <w:t xml:space="preserve">Short phase; minimal SLA risk</w:t>
            </w:r>
          </w:p>
        </w:tc>
        <w:tc>
          <w:tcPr/>
          <w:p>
            <w:pPr>
              <w:pStyle w:val="Compact"/>
            </w:pPr>
            <w:r>
              <w:t xml:space="preserve">Go/no-go criteria, monitoring configuration</w:t>
            </w:r>
          </w:p>
        </w:tc>
        <w:tc>
          <w:tcPr/>
          <w:p>
            <w:pPr>
              <w:pStyle w:val="Compact"/>
            </w:pPr>
            <w:r>
              <w:t xml:space="preserve">Deployment Review Board</w:t>
            </w:r>
          </w:p>
        </w:tc>
      </w:tr>
      <w:tr>
        <w:tc>
          <w:tcPr/>
          <w:p>
            <w:pPr>
              <w:pStyle w:val="Compact"/>
            </w:pPr>
            <w:r>
              <w:t xml:space="preserve">8. Operations</w:t>
            </w:r>
          </w:p>
        </w:tc>
        <w:tc>
          <w:tcPr/>
          <w:p>
            <w:pPr>
              <w:pStyle w:val="Compact"/>
            </w:pPr>
            <w:r>
              <w:t xml:space="preserve">Deployed solution (Phase 7), control configuration (Phase 5), SLAs (Phase 5)</w:t>
            </w:r>
          </w:p>
        </w:tc>
        <w:tc>
          <w:tcPr/>
          <w:p>
            <w:pPr>
              <w:pStyle w:val="Compact"/>
            </w:pPr>
            <w:r>
              <w:t xml:space="preserve">Monitoring data, evidence, reassessment triggers (loops back or to End)</w:t>
            </w:r>
          </w:p>
        </w:tc>
        <w:tc>
          <w:tcPr/>
          <w:p>
            <w:pPr>
              <w:pStyle w:val="Compact"/>
            </w:pPr>
            <w:r>
              <w:t xml:space="preserve">Continuous; SLA measured per control cadence</w:t>
            </w:r>
          </w:p>
        </w:tc>
        <w:tc>
          <w:tcPr/>
          <w:p>
            <w:pPr>
              <w:pStyle w:val="Compact"/>
            </w:pPr>
            <w:r>
              <w:t xml:space="preserve">Monitoring platform, evidence collection, anomaly detection</w:t>
            </w:r>
          </w:p>
        </w:tc>
        <w:tc>
          <w:tcPr/>
          <w:p>
            <w:pPr>
              <w:pStyle w:val="Compact"/>
            </w:pPr>
            <w:r>
              <w:t xml:space="preserve">Operations / TPRM Team</w:t>
            </w:r>
          </w:p>
        </w:tc>
      </w:tr>
    </w:tbl>
    <w:bookmarkEnd w:id="122"/>
    <w:bookmarkStart w:id="123" w:name="critical-path-and-bottleneck-analysis"/>
    <w:p>
      <w:pPr>
        <w:pStyle w:val="Heading3"/>
      </w:pPr>
      <w:r>
        <w:t xml:space="preserve">8.2 Critical Path and Bottleneck Analysis</w:t>
      </w:r>
    </w:p>
    <w:p>
      <w:pPr>
        <w:pStyle w:val="FirstParagraph"/>
      </w:pPr>
      <w:r>
        <w:t xml:space="preserve">The critical path through the lifecycle runs through Phases 1 → 2 → 3 →</w:t>
      </w:r>
      <w:r>
        <w:t xml:space="preserve"> </w:t>
      </w:r>
      <w:r>
        <w:t xml:space="preserve">4 → 5 → 6 → 7. The primary bottleneck points and their mitigation</w:t>
      </w:r>
      <w:r>
        <w:t xml:space="preserve"> </w:t>
      </w:r>
      <w:r>
        <w:t xml:space="preserve">strategies are:</w:t>
      </w:r>
    </w:p>
    <w:p>
      <w:pPr>
        <w:pStyle w:val="BodyText"/>
      </w:pPr>
      <w:r>
        <w:rPr>
          <w:b/>
          <w:bCs/>
        </w:rPr>
        <w:t xml:space="preserve">Bottleneck 1 – Vendor Evidence Collection (Phase 3):</w:t>
      </w:r>
      <w:r>
        <w:t xml:space="preserve"> </w:t>
      </w:r>
      <w:r>
        <w:t xml:space="preserve">Mitigated</w:t>
      </w:r>
      <w:r>
        <w:t xml:space="preserve"> </w:t>
      </w:r>
      <w:r>
        <w:t xml:space="preserve">through Trust Center integration and front-loaded evidence harvesting at</w:t>
      </w:r>
      <w:r>
        <w:t xml:space="preserve"> </w:t>
      </w:r>
      <w:r>
        <w:t xml:space="preserve">intake. Pre-harvest reduces Phase 3 dependency wait from 5–7 days to</w:t>
      </w:r>
      <w:r>
        <w:t xml:space="preserve"> </w:t>
      </w:r>
      <w:r>
        <w:t xml:space="preserve">1–2 days.</w:t>
      </w:r>
    </w:p>
    <w:p>
      <w:pPr>
        <w:pStyle w:val="BodyText"/>
      </w:pPr>
      <w:r>
        <w:rPr>
          <w:b/>
          <w:bCs/>
        </w:rPr>
        <w:t xml:space="preserve">Bottleneck 2 – Governance Committee Scheduling (Phase 4):</w:t>
      </w:r>
      <w:r>
        <w:t xml:space="preserve"> </w:t>
      </w:r>
      <w:r>
        <w:t xml:space="preserve">Mitigated</w:t>
      </w:r>
      <w:r>
        <w:t xml:space="preserve"> </w:t>
      </w:r>
      <w:r>
        <w:t xml:space="preserve">through risk-tiered routing that ensures only High Risk items require</w:t>
      </w:r>
      <w:r>
        <w:t xml:space="preserve"> </w:t>
      </w:r>
      <w:r>
        <w:t xml:space="preserve">Advisory Board review. 70%+ of initiatives qualify for Fast Path or</w:t>
      </w:r>
      <w:r>
        <w:t xml:space="preserve"> </w:t>
      </w:r>
      <w:r>
        <w:t xml:space="preserve">Committee review with shorter SLAs.</w:t>
      </w:r>
    </w:p>
    <w:p>
      <w:pPr>
        <w:pStyle w:val="BodyText"/>
      </w:pPr>
      <w:r>
        <w:rPr>
          <w:b/>
          <w:bCs/>
        </w:rPr>
        <w:t xml:space="preserve">Bottleneck 3 – Legal Contract Review (Phase 5):</w:t>
      </w:r>
      <w:r>
        <w:t xml:space="preserve"> </w:t>
      </w:r>
      <w:r>
        <w:t xml:space="preserve">Mitigated through</w:t>
      </w:r>
      <w:r>
        <w:t xml:space="preserve"> </w:t>
      </w:r>
      <w:r>
        <w:t xml:space="preserve">AI-assisted clause matching, pre-approved template selection, and</w:t>
      </w:r>
      <w:r>
        <w:t xml:space="preserve"> </w:t>
      </w:r>
      <w:r>
        <w:t xml:space="preserve">front-loaded DPA terms. Reduces legal review cycle from 5–7 days to</w:t>
      </w:r>
      <w:r>
        <w:t xml:space="preserve"> </w:t>
      </w:r>
      <w:r>
        <w:t xml:space="preserve">2–3 days.</w:t>
      </w:r>
    </w:p>
    <w:p>
      <w:pPr>
        <w:pStyle w:val="BodyText"/>
      </w:pPr>
      <w:r>
        <w:rPr>
          <w:b/>
          <w:bCs/>
        </w:rPr>
        <w:t xml:space="preserve">Bottleneck 4 – SDLC Duration (Phase 6):</w:t>
      </w:r>
      <w:r>
        <w:t xml:space="preserve"> </w:t>
      </w:r>
      <w:r>
        <w:t xml:space="preserve">Mitigated through in-sprint</w:t>
      </w:r>
      <w:r>
        <w:t xml:space="preserve"> </w:t>
      </w:r>
      <w:r>
        <w:t xml:space="preserve">compliance checkpoints that eliminate end-of-cycle rework.</w:t>
      </w:r>
      <w:r>
        <w:t xml:space="preserve"> </w:t>
      </w:r>
      <w:r>
        <w:t xml:space="preserve">Policy-as-code validation catches deviations before they compound.</w:t>
      </w:r>
    </w:p>
    <w:p>
      <w:r>
        <w:pict>
          <v:rect style="width:0;height:1.5pt" o:hralign="center" o:hrstd="t" o:hr="t"/>
        </w:pict>
      </w:r>
    </w:p>
    <w:bookmarkEnd w:id="123"/>
    <w:bookmarkEnd w:id="124"/>
    <w:bookmarkEnd w:id="125"/>
    <w:bookmarkStart w:id="134" w:name="Xf14d30cb4ef81fc59eb12357246112ce5984f23"/>
    <w:p>
      <w:pPr>
        <w:pStyle w:val="Heading1"/>
      </w:pPr>
      <w:r>
        <w:t xml:space="preserve">Part VIII: Maturity and Continuous Improvement</w:t>
      </w:r>
    </w:p>
    <w:bookmarkStart w:id="127" w:name="X17447630d7a39cf0a54f9bc007afcab47d0be13"/>
    <w:p>
      <w:pPr>
        <w:pStyle w:val="Heading2"/>
      </w:pPr>
      <w:r>
        <w:t xml:space="preserve">24. Automation and Acceleration Opportunities</w:t>
      </w:r>
    </w:p>
    <w:p>
      <w:pPr>
        <w:pStyle w:val="FirstParagraph"/>
      </w:pPr>
      <w:r>
        <w:t xml:space="preserve">This section identifies specific opportunities where automation, AI</w:t>
      </w:r>
      <w:r>
        <w:t xml:space="preserve"> </w:t>
      </w:r>
      <w:r>
        <w:t xml:space="preserve">agent swarms, and process redesign can compress cycle times across the</w:t>
      </w:r>
      <w:r>
        <w:t xml:space="preserve"> </w:t>
      </w:r>
      <w:r>
        <w:t xml:space="preserve">lifecycle. Each opportunity is mapped to its phase, expected time</w:t>
      </w:r>
      <w:r>
        <w:t xml:space="preserve"> </w:t>
      </w:r>
      <w:r>
        <w:t xml:space="preserve">savings, and implementation approach.</w:t>
      </w:r>
    </w:p>
    <w:bookmarkStart w:id="126" w:name="automation-opportunity-matrix"/>
    <w:p>
      <w:pPr>
        <w:pStyle w:val="Heading3"/>
      </w:pPr>
      <w:r>
        <w:t xml:space="preserve">5.1 Automation Opportunity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Opportunity</w:t>
            </w:r>
          </w:p>
        </w:tc>
        <w:tc>
          <w:tcPr/>
          <w:p>
            <w:pPr>
              <w:pStyle w:val="Compact"/>
            </w:pPr>
            <w:r>
              <w:t xml:space="preserve">Current State</w:t>
            </w:r>
          </w:p>
        </w:tc>
        <w:tc>
          <w:tcPr/>
          <w:p>
            <w:pPr>
              <w:pStyle w:val="Compact"/>
            </w:pPr>
            <w:r>
              <w:t xml:space="preserve">Future State</w:t>
            </w:r>
          </w:p>
        </w:tc>
        <w:tc>
          <w:tcPr/>
          <w:p>
            <w:pPr>
              <w:pStyle w:val="Compact"/>
            </w:pPr>
            <w:r>
              <w:t xml:space="preserve">Time Saved</w:t>
            </w:r>
          </w:p>
        </w:tc>
        <w:tc>
          <w:tcPr/>
          <w:p>
            <w:pPr>
              <w:pStyle w:val="Compact"/>
            </w:pPr>
            <w:r>
              <w:t xml:space="preserve">Technology</w:t>
            </w:r>
          </w:p>
        </w:tc>
      </w:tr>
      <w:tr>
        <w:tc>
          <w:tcPr/>
          <w:p>
            <w:pPr>
              <w:pStyle w:val="Compact"/>
            </w:pPr>
            <w:r>
              <w:t xml:space="preserve">1–2</w:t>
            </w:r>
          </w:p>
        </w:tc>
        <w:tc>
          <w:tcPr/>
          <w:p>
            <w:pPr>
              <w:pStyle w:val="Compact"/>
            </w:pPr>
            <w:r>
              <w:t xml:space="preserve">Auto-populate intake from vendor registries and Trust Centers</w:t>
            </w:r>
          </w:p>
        </w:tc>
        <w:tc>
          <w:tcPr/>
          <w:p>
            <w:pPr>
              <w:pStyle w:val="Compact"/>
            </w:pPr>
            <w:r>
              <w:t xml:space="preserve">Manual form completion: 2–3 days</w:t>
            </w:r>
          </w:p>
        </w:tc>
        <w:tc>
          <w:tcPr/>
          <w:p>
            <w:pPr>
              <w:pStyle w:val="Compact"/>
            </w:pPr>
            <w:r>
              <w:t xml:space="preserve">Pre-filled with validation: 0.5 days</w:t>
            </w:r>
          </w:p>
        </w:tc>
        <w:tc>
          <w:tcPr/>
          <w:p>
            <w:pPr>
              <w:pStyle w:val="Compact"/>
            </w:pPr>
            <w:r>
              <w:t xml:space="preserve">1.5–2.5 days</w:t>
            </w:r>
          </w:p>
        </w:tc>
        <w:tc>
          <w:tcPr/>
          <w:p>
            <w:pPr>
              <w:pStyle w:val="Compact"/>
            </w:pPr>
            <w:r>
              <w:t xml:space="preserve">API integration, Trust Center connectors, data taxonomy engine</w:t>
            </w:r>
          </w:p>
        </w:tc>
      </w:tr>
      <w:tr>
        <w:tc>
          <w:tcPr/>
          <w:p>
            <w:pPr>
              <w:pStyle w:val="Compact"/>
            </w:pPr>
            <w:r>
              <w:t xml:space="preserve">2</w:t>
            </w:r>
          </w:p>
        </w:tc>
        <w:tc>
          <w:tcPr/>
          <w:p>
            <w:pPr>
              <w:pStyle w:val="Compact"/>
            </w:pPr>
            <w:r>
              <w:t xml:space="preserve">Deterministic risk scoring and tier assignment</w:t>
            </w:r>
          </w:p>
        </w:tc>
        <w:tc>
          <w:tcPr/>
          <w:p>
            <w:pPr>
              <w:pStyle w:val="Compact"/>
            </w:pPr>
            <w:r>
              <w:t xml:space="preserve">Manual assessment: 2–3 days</w:t>
            </w:r>
          </w:p>
        </w:tc>
        <w:tc>
          <w:tcPr/>
          <w:p>
            <w:pPr>
              <w:pStyle w:val="Compact"/>
            </w:pPr>
            <w:r>
              <w:t xml:space="preserve">Automated scoring: real-time</w:t>
            </w:r>
          </w:p>
        </w:tc>
        <w:tc>
          <w:tcPr/>
          <w:p>
            <w:pPr>
              <w:pStyle w:val="Compact"/>
            </w:pPr>
            <w:r>
              <w:t xml:space="preserve">2–3 days</w:t>
            </w:r>
          </w:p>
        </w:tc>
        <w:tc>
          <w:tcPr/>
          <w:p>
            <w:pPr>
              <w:pStyle w:val="Compact"/>
            </w:pPr>
            <w:r>
              <w:t xml:space="preserve">Rule engine, weighted risk model, regulatory mapping DB</w:t>
            </w:r>
          </w:p>
        </w:tc>
      </w:tr>
      <w:tr>
        <w:tc>
          <w:tcPr/>
          <w:p>
            <w:pPr>
              <w:pStyle w:val="Compact"/>
            </w:pPr>
            <w:r>
              <w:t xml:space="preserve">3</w:t>
            </w:r>
          </w:p>
        </w:tc>
        <w:tc>
          <w:tcPr/>
          <w:p>
            <w:pPr>
              <w:pStyle w:val="Compact"/>
            </w:pPr>
            <w:r>
              <w:t xml:space="preserve">AI Agent Swarm for evidence evaluation</w:t>
            </w:r>
          </w:p>
        </w:tc>
        <w:tc>
          <w:tcPr/>
          <w:p>
            <w:pPr>
              <w:pStyle w:val="Compact"/>
            </w:pPr>
            <w:r>
              <w:t xml:space="preserve">Manual SOC 2 review: 35+ min/report</w:t>
            </w:r>
          </w:p>
        </w:tc>
        <w:tc>
          <w:tcPr/>
          <w:p>
            <w:pPr>
              <w:pStyle w:val="Compact"/>
            </w:pPr>
            <w:r>
              <w:t xml:space="preserve">Agent processing: &lt; 2 min/report</w:t>
            </w:r>
          </w:p>
        </w:tc>
        <w:tc>
          <w:tcPr/>
          <w:p>
            <w:pPr>
              <w:pStyle w:val="Compact"/>
            </w:pPr>
            <w:r>
              <w:t xml:space="preserve">95%+ per report</w:t>
            </w:r>
          </w:p>
        </w:tc>
        <w:tc>
          <w:tcPr/>
          <w:p>
            <w:pPr>
              <w:pStyle w:val="Compact"/>
            </w:pPr>
            <w:r>
              <w:t xml:space="preserve">Investigator, Compliance, and Checker agent architecture</w:t>
            </w:r>
          </w:p>
        </w:tc>
      </w:tr>
      <w:tr>
        <w:tc>
          <w:tcPr/>
          <w:p>
            <w:pPr>
              <w:pStyle w:val="Compact"/>
            </w:pPr>
            <w:r>
              <w:t xml:space="preserve">3</w:t>
            </w:r>
          </w:p>
        </w:tc>
        <w:tc>
          <w:tcPr/>
          <w:p>
            <w:pPr>
              <w:pStyle w:val="Compact"/>
            </w:pPr>
            <w:r>
              <w:t xml:space="preserve">Continuous security monitoring integration</w:t>
            </w:r>
          </w:p>
        </w:tc>
        <w:tc>
          <w:tcPr/>
          <w:p>
            <w:pPr>
              <w:pStyle w:val="Compact"/>
            </w:pPr>
            <w:r>
              <w:t xml:space="preserve">Point-in-time assessment: quarterly</w:t>
            </w:r>
          </w:p>
        </w:tc>
        <w:tc>
          <w:tcPr/>
          <w:p>
            <w:pPr>
              <w:pStyle w:val="Compact"/>
            </w:pPr>
            <w:r>
              <w:t xml:space="preserve">Real-time telemetry: continuous</w:t>
            </w:r>
          </w:p>
        </w:tc>
        <w:tc>
          <w:tcPr/>
          <w:p>
            <w:pPr>
              <w:pStyle w:val="Compact"/>
            </w:pPr>
            <w:r>
              <w:t xml:space="preserve">Eliminates lag</w:t>
            </w:r>
          </w:p>
        </w:tc>
        <w:tc>
          <w:tcPr/>
          <w:p>
            <w:pPr>
              <w:pStyle w:val="Compact"/>
            </w:pPr>
            <w:r>
              <w:t xml:space="preserve">BitSight, SecurityScorecard, CSM platform APIs</w:t>
            </w:r>
          </w:p>
        </w:tc>
      </w:tr>
      <w:tr>
        <w:tc>
          <w:tcPr/>
          <w:p>
            <w:pPr>
              <w:pStyle w:val="Compact"/>
            </w:pPr>
            <w:r>
              <w:t xml:space="preserve">4</w:t>
            </w:r>
          </w:p>
        </w:tc>
        <w:tc>
          <w:tcPr/>
          <w:p>
            <w:pPr>
              <w:pStyle w:val="Compact"/>
            </w:pPr>
            <w:r>
              <w:t xml:space="preserve">Automated governance package assembly</w:t>
            </w:r>
          </w:p>
        </w:tc>
        <w:tc>
          <w:tcPr/>
          <w:p>
            <w:pPr>
              <w:pStyle w:val="Compact"/>
            </w:pPr>
            <w:r>
              <w:t xml:space="preserve">Manual compilation: 1–2 days</w:t>
            </w:r>
          </w:p>
        </w:tc>
        <w:tc>
          <w:tcPr/>
          <w:p>
            <w:pPr>
              <w:pStyle w:val="Compact"/>
            </w:pPr>
            <w:r>
              <w:t xml:space="preserve">Auto-assembled: 0.25 days</w:t>
            </w:r>
          </w:p>
        </w:tc>
        <w:tc>
          <w:tcPr/>
          <w:p>
            <w:pPr>
              <w:pStyle w:val="Compact"/>
            </w:pPr>
            <w:r>
              <w:t xml:space="preserve">0.75–1.75 days</w:t>
            </w:r>
          </w:p>
        </w:tc>
        <w:tc>
          <w:tcPr/>
          <w:p>
            <w:pPr>
              <w:pStyle w:val="Compact"/>
            </w:pPr>
            <w:r>
              <w:t xml:space="preserve">BPM workflow aggregation, template engine</w:t>
            </w:r>
          </w:p>
        </w:tc>
      </w:tr>
      <w:tr>
        <w:tc>
          <w:tcPr/>
          <w:p>
            <w:pPr>
              <w:pStyle w:val="Compact"/>
            </w:pPr>
            <w:r>
              <w:t xml:space="preserve">5</w:t>
            </w:r>
          </w:p>
        </w:tc>
        <w:tc>
          <w:tcPr/>
          <w:p>
            <w:pPr>
              <w:pStyle w:val="Compact"/>
            </w:pPr>
            <w:r>
              <w:t xml:space="preserve">AI-assisted contract review and clause matching</w:t>
            </w:r>
          </w:p>
        </w:tc>
        <w:tc>
          <w:tcPr/>
          <w:p>
            <w:pPr>
              <w:pStyle w:val="Compact"/>
            </w:pPr>
            <w:r>
              <w:t xml:space="preserve">Manual legal review: 3–5 days</w:t>
            </w:r>
          </w:p>
        </w:tc>
        <w:tc>
          <w:tcPr/>
          <w:p>
            <w:pPr>
              <w:pStyle w:val="Compact"/>
            </w:pPr>
            <w:r>
              <w:t xml:space="preserve">AI-flagged with human approval: 1–2 days</w:t>
            </w:r>
          </w:p>
        </w:tc>
        <w:tc>
          <w:tcPr/>
          <w:p>
            <w:pPr>
              <w:pStyle w:val="Compact"/>
            </w:pPr>
            <w:r>
              <w:t xml:space="preserve">2–3 days</w:t>
            </w:r>
          </w:p>
        </w:tc>
        <w:tc>
          <w:tcPr/>
          <w:p>
            <w:pPr>
              <w:pStyle w:val="Compact"/>
            </w:pPr>
            <w:r>
              <w:t xml:space="preserve">NLP clause extraction, mandatory clause library, deviation scoring</w:t>
            </w:r>
          </w:p>
        </w:tc>
      </w:tr>
      <w:tr>
        <w:tc>
          <w:tcPr/>
          <w:p>
            <w:pPr>
              <w:pStyle w:val="Compact"/>
            </w:pPr>
            <w:r>
              <w:t xml:space="preserve">6</w:t>
            </w:r>
          </w:p>
        </w:tc>
        <w:tc>
          <w:tcPr/>
          <w:p>
            <w:pPr>
              <w:pStyle w:val="Compact"/>
            </w:pPr>
            <w:r>
              <w:t xml:space="preserve">In-sprint compliance checkpoints</w:t>
            </w:r>
          </w:p>
        </w:tc>
        <w:tc>
          <w:tcPr/>
          <w:p>
            <w:pPr>
              <w:pStyle w:val="Compact"/>
            </w:pPr>
            <w:r>
              <w:t xml:space="preserve">End-of-cycle review: rework risk</w:t>
            </w:r>
          </w:p>
        </w:tc>
        <w:tc>
          <w:tcPr/>
          <w:p>
            <w:pPr>
              <w:pStyle w:val="Compact"/>
            </w:pPr>
            <w:r>
              <w:t xml:space="preserve">Continuous validation: zero rework</w:t>
            </w:r>
          </w:p>
        </w:tc>
        <w:tc>
          <w:tcPr/>
          <w:p>
            <w:pPr>
              <w:pStyle w:val="Compact"/>
            </w:pPr>
            <w:r>
              <w:t xml:space="preserve">3–5 days rework avoided</w:t>
            </w:r>
          </w:p>
        </w:tc>
        <w:tc>
          <w:tcPr/>
          <w:p>
            <w:pPr>
              <w:pStyle w:val="Compact"/>
            </w:pPr>
            <w:r>
              <w:t xml:space="preserve">CI/CD pipeline hooks, policy-as-code validation</w:t>
            </w:r>
          </w:p>
        </w:tc>
      </w:tr>
      <w:tr>
        <w:tc>
          <w:tcPr/>
          <w:p>
            <w:pPr>
              <w:pStyle w:val="Compact"/>
            </w:pPr>
            <w:r>
              <w:t xml:space="preserve">8</w:t>
            </w:r>
          </w:p>
        </w:tc>
        <w:tc>
          <w:tcPr/>
          <w:p>
            <w:pPr>
              <w:pStyle w:val="Compact"/>
            </w:pPr>
            <w:r>
              <w:t xml:space="preserve">Automated evidence collection and anomaly detection</w:t>
            </w:r>
          </w:p>
        </w:tc>
        <w:tc>
          <w:tcPr/>
          <w:p>
            <w:pPr>
              <w:pStyle w:val="Compact"/>
            </w:pPr>
            <w:r>
              <w:t xml:space="preserve">Manual evidence gathering: 5+ days</w:t>
            </w:r>
          </w:p>
        </w:tc>
        <w:tc>
          <w:tcPr/>
          <w:p>
            <w:pPr>
              <w:pStyle w:val="Compact"/>
            </w:pPr>
            <w:r>
              <w:t xml:space="preserve">Automated per cadence: real-time</w:t>
            </w:r>
          </w:p>
        </w:tc>
        <w:tc>
          <w:tcPr/>
          <w:p>
            <w:pPr>
              <w:pStyle w:val="Compact"/>
            </w:pPr>
            <w:r>
              <w:t xml:space="preserve">5+ days per cycle</w:t>
            </w:r>
          </w:p>
        </w:tc>
        <w:tc>
          <w:tcPr/>
          <w:p>
            <w:pPr>
              <w:pStyle w:val="Compact"/>
            </w:pPr>
            <w:r>
              <w:t xml:space="preserve">Control monitoring platform, AI anomaly detection</w:t>
            </w:r>
          </w:p>
        </w:tc>
      </w:tr>
    </w:tbl>
    <w:bookmarkEnd w:id="126"/>
    <w:bookmarkEnd w:id="127"/>
    <w:bookmarkStart w:id="128" w:name="cycle-time-compression-waterfall"/>
    <w:p>
      <w:pPr>
        <w:pStyle w:val="Heading2"/>
      </w:pPr>
      <w:r>
        <w:t xml:space="preserve">25. Cycle Time Compression Waterfall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Optimization Layer</w:t>
            </w:r>
          </w:p>
        </w:tc>
        <w:tc>
          <w:tcPr/>
          <w:p>
            <w:pPr>
              <w:pStyle w:val="Compact"/>
            </w:pPr>
            <w:r>
              <w:t xml:space="preserve">Before (Days)</w:t>
            </w:r>
          </w:p>
        </w:tc>
        <w:tc>
          <w:tcPr/>
          <w:p>
            <w:pPr>
              <w:pStyle w:val="Compact"/>
            </w:pPr>
            <w:r>
              <w:t xml:space="preserve">After (Days)</w:t>
            </w:r>
          </w:p>
        </w:tc>
        <w:tc>
          <w:tcPr/>
          <w:p>
            <w:pPr>
              <w:pStyle w:val="Compact"/>
            </w:pPr>
            <w:r>
              <w:t xml:space="preserve">Reduction</w:t>
            </w:r>
          </w:p>
        </w:tc>
        <w:tc>
          <w:tcPr/>
          <w:p>
            <w:pPr>
              <w:pStyle w:val="Compact"/>
            </w:pPr>
            <w:r>
              <w:t xml:space="preserve">Cumulative</w:t>
            </w:r>
          </w:p>
        </w:tc>
      </w:tr>
      <w:tr>
        <w:tc>
          <w:tcPr/>
          <w:p>
            <w:pPr>
              <w:pStyle w:val="Compact"/>
            </w:pPr>
            <w:r>
              <w:t xml:space="preserve">Baseline (Industry Average)</w:t>
            </w:r>
          </w:p>
        </w:tc>
        <w:tc>
          <w:tcPr/>
          <w:p>
            <w:pPr>
              <w:pStyle w:val="Compact"/>
            </w:pPr>
            <w:r>
              <w:t xml:space="preserve">90–120</w:t>
            </w:r>
          </w:p>
        </w:tc>
        <w:tc>
          <w:tcPr/>
          <w:p>
            <w:pPr>
              <w:pStyle w:val="Compact"/>
            </w:pPr>
            <w:r>
              <w:t xml:space="preserve">90–120</w:t>
            </w:r>
          </w:p>
        </w:tc>
        <w:tc>
          <w:tcPr/>
          <w:p>
            <w:pPr>
              <w:pStyle w:val="Compact"/>
            </w:pPr>
            <w:r>
              <w:t xml:space="preserve">—</w:t>
            </w:r>
          </w:p>
        </w:tc>
        <w:tc>
          <w:tcPr/>
          <w:p>
            <w:pPr>
              <w:pStyle w:val="Compact"/>
            </w:pPr>
            <w:r>
              <w:t xml:space="preserve">90–120 days</w:t>
            </w:r>
          </w:p>
        </w:tc>
      </w:tr>
      <w:tr>
        <w:tc>
          <w:tcPr/>
          <w:p>
            <w:pPr>
              <w:pStyle w:val="Compact"/>
            </w:pPr>
            <w:r>
              <w:t xml:space="preserve">+ BPMN Workflow Automation</w:t>
            </w:r>
          </w:p>
        </w:tc>
        <w:tc>
          <w:tcPr/>
          <w:p>
            <w:pPr>
              <w:pStyle w:val="Compact"/>
            </w:pPr>
            <w:r>
              <w:t xml:space="preserve">90–120</w:t>
            </w:r>
          </w:p>
        </w:tc>
        <w:tc>
          <w:tcPr/>
          <w:p>
            <w:pPr>
              <w:pStyle w:val="Compact"/>
            </w:pPr>
            <w:r>
              <w:t xml:space="preserve">65–85</w:t>
            </w:r>
          </w:p>
        </w:tc>
        <w:tc>
          <w:tcPr/>
          <w:p>
            <w:pPr>
              <w:pStyle w:val="Compact"/>
            </w:pPr>
            <w:r>
              <w:t xml:space="preserve">25–35 days</w:t>
            </w:r>
          </w:p>
        </w:tc>
        <w:tc>
          <w:tcPr/>
          <w:p>
            <w:pPr>
              <w:pStyle w:val="Compact"/>
            </w:pPr>
            <w:r>
              <w:t xml:space="preserve">65–85 days</w:t>
            </w:r>
          </w:p>
        </w:tc>
      </w:tr>
      <w:tr>
        <w:tc>
          <w:tcPr/>
          <w:p>
            <w:pPr>
              <w:pStyle w:val="Compact"/>
            </w:pPr>
            <w:r>
              <w:t xml:space="preserve">+ Front-Loaded Knowledge Capture</w:t>
            </w:r>
          </w:p>
        </w:tc>
        <w:tc>
          <w:tcPr/>
          <w:p>
            <w:pPr>
              <w:pStyle w:val="Compact"/>
            </w:pPr>
            <w:r>
              <w:t xml:space="preserve">65–85</w:t>
            </w:r>
          </w:p>
        </w:tc>
        <w:tc>
          <w:tcPr/>
          <w:p>
            <w:pPr>
              <w:pStyle w:val="Compact"/>
            </w:pPr>
            <w:r>
              <w:t xml:space="preserve">50–65</w:t>
            </w:r>
          </w:p>
        </w:tc>
        <w:tc>
          <w:tcPr/>
          <w:p>
            <w:pPr>
              <w:pStyle w:val="Compact"/>
            </w:pPr>
            <w:r>
              <w:t xml:space="preserve">15–20 days</w:t>
            </w:r>
          </w:p>
        </w:tc>
        <w:tc>
          <w:tcPr/>
          <w:p>
            <w:pPr>
              <w:pStyle w:val="Compact"/>
            </w:pPr>
            <w:r>
              <w:t xml:space="preserve">50–65 days</w:t>
            </w:r>
          </w:p>
        </w:tc>
      </w:tr>
      <w:tr>
        <w:tc>
          <w:tcPr/>
          <w:p>
            <w:pPr>
              <w:pStyle w:val="Compact"/>
            </w:pPr>
            <w:r>
              <w:t xml:space="preserve">+ AI Agent Swarm Due Diligence</w:t>
            </w:r>
          </w:p>
        </w:tc>
        <w:tc>
          <w:tcPr/>
          <w:p>
            <w:pPr>
              <w:pStyle w:val="Compact"/>
            </w:pPr>
            <w:r>
              <w:t xml:space="preserve">50–65</w:t>
            </w:r>
          </w:p>
        </w:tc>
        <w:tc>
          <w:tcPr/>
          <w:p>
            <w:pPr>
              <w:pStyle w:val="Compact"/>
            </w:pPr>
            <w:r>
              <w:t xml:space="preserve">40–55</w:t>
            </w:r>
          </w:p>
        </w:tc>
        <w:tc>
          <w:tcPr/>
          <w:p>
            <w:pPr>
              <w:pStyle w:val="Compact"/>
            </w:pPr>
            <w:r>
              <w:t xml:space="preserve">8–12 days</w:t>
            </w:r>
          </w:p>
        </w:tc>
        <w:tc>
          <w:tcPr/>
          <w:p>
            <w:pPr>
              <w:pStyle w:val="Compact"/>
            </w:pPr>
            <w:r>
              <w:t xml:space="preserve">40–55 days</w:t>
            </w:r>
          </w:p>
        </w:tc>
      </w:tr>
      <w:tr>
        <w:tc>
          <w:tcPr/>
          <w:p>
            <w:pPr>
              <w:pStyle w:val="Compact"/>
            </w:pPr>
            <w:r>
              <w:t xml:space="preserve">+ Risk-Tiered Governance Routing</w:t>
            </w:r>
          </w:p>
        </w:tc>
        <w:tc>
          <w:tcPr/>
          <w:p>
            <w:pPr>
              <w:pStyle w:val="Compact"/>
            </w:pPr>
            <w:r>
              <w:t xml:space="preserve">40–55</w:t>
            </w:r>
          </w:p>
        </w:tc>
        <w:tc>
          <w:tcPr/>
          <w:p>
            <w:pPr>
              <w:pStyle w:val="Compact"/>
            </w:pPr>
            <w:r>
              <w:t xml:space="preserve">35–50</w:t>
            </w:r>
          </w:p>
        </w:tc>
        <w:tc>
          <w:tcPr/>
          <w:p>
            <w:pPr>
              <w:pStyle w:val="Compact"/>
            </w:pPr>
            <w:r>
              <w:t xml:space="preserve">3–5 days</w:t>
            </w:r>
          </w:p>
        </w:tc>
        <w:tc>
          <w:tcPr/>
          <w:p>
            <w:pPr>
              <w:pStyle w:val="Compact"/>
            </w:pPr>
            <w:r>
              <w:t xml:space="preserve">35–50 days</w:t>
            </w:r>
          </w:p>
        </w:tc>
      </w:tr>
      <w:tr>
        <w:tc>
          <w:tcPr/>
          <w:p>
            <w:pPr>
              <w:pStyle w:val="Compact"/>
            </w:pPr>
            <w:r>
              <w:t xml:space="preserve">+ In-Sprint Compliance and Policy-as-Code</w:t>
            </w:r>
          </w:p>
        </w:tc>
        <w:tc>
          <w:tcPr/>
          <w:p>
            <w:pPr>
              <w:pStyle w:val="Compact"/>
            </w:pPr>
            <w:r>
              <w:t xml:space="preserve">35–50</w:t>
            </w:r>
          </w:p>
        </w:tc>
        <w:tc>
          <w:tcPr/>
          <w:p>
            <w:pPr>
              <w:pStyle w:val="Compact"/>
            </w:pPr>
            <w:r>
              <w:t xml:space="preserve">29–45</w:t>
            </w:r>
          </w:p>
        </w:tc>
        <w:tc>
          <w:tcPr/>
          <w:p>
            <w:pPr>
              <w:pStyle w:val="Compact"/>
            </w:pPr>
            <w:r>
              <w:t xml:space="preserve">3–5 days (rework avoided)</w:t>
            </w:r>
          </w:p>
        </w:tc>
        <w:tc>
          <w:tcPr/>
          <w:p>
            <w:pPr>
              <w:pStyle w:val="Compact"/>
            </w:pPr>
            <w:r>
              <w:t xml:space="preserve">29–45 days</w:t>
            </w:r>
          </w:p>
        </w:tc>
      </w:tr>
      <w:tr>
        <w:tc>
          <w:tcPr/>
          <w:p>
            <w:pPr>
              <w:pStyle w:val="Compact"/>
            </w:pPr>
            <w:r>
              <w:t xml:space="preserve">TOTAL OPTIMIZED</w:t>
            </w:r>
          </w:p>
        </w:tc>
        <w:tc>
          <w:tcPr/>
          <w:p>
            <w:pPr>
              <w:pStyle w:val="Compact"/>
            </w:pPr>
            <w:r>
              <w:t xml:space="preserve">90–120</w:t>
            </w:r>
          </w:p>
        </w:tc>
        <w:tc>
          <w:tcPr/>
          <w:p>
            <w:pPr>
              <w:pStyle w:val="Compact"/>
            </w:pPr>
            <w:r>
              <w:t xml:space="preserve">29–45</w:t>
            </w:r>
          </w:p>
        </w:tc>
        <w:tc>
          <w:tcPr/>
          <w:p>
            <w:pPr>
              <w:pStyle w:val="Compact"/>
            </w:pPr>
            <w:r>
              <w:t xml:space="preserve">61–75 days</w:t>
            </w:r>
          </w:p>
        </w:tc>
        <w:tc>
          <w:tcPr/>
          <w:p>
            <w:pPr>
              <w:pStyle w:val="Compact"/>
            </w:pPr>
            <w:r>
              <w:t xml:space="preserve">68–75% reduction</w:t>
            </w:r>
          </w:p>
        </w:tc>
      </w:tr>
    </w:tbl>
    <w:bookmarkEnd w:id="128"/>
    <w:bookmarkStart w:id="132" w:name="phased-automation-roadmap"/>
    <w:p>
      <w:pPr>
        <w:pStyle w:val="Heading2"/>
      </w:pPr>
      <w:r>
        <w:t xml:space="preserve">26. Phased Automation Roadmap</w:t>
      </w:r>
    </w:p>
    <w:p>
      <w:pPr>
        <w:pStyle w:val="BlockText"/>
      </w:pPr>
      <w:r>
        <w:rPr>
          <w:i/>
          <w:iCs/>
        </w:rPr>
        <w:t xml:space="preserve">Not everything is automated immediately. The system identifies</w:t>
      </w:r>
      <w:r>
        <w:rPr>
          <w:i/>
          <w:iCs/>
        </w:rPr>
        <w:t xml:space="preserve"> </w:t>
      </w:r>
      <w:r>
        <w:rPr>
          <w:i/>
          <w:iCs/>
        </w:rPr>
        <w:t xml:space="preserve">recurring friction, gradually automates deterministic steps, and</w:t>
      </w:r>
      <w:r>
        <w:rPr>
          <w:i/>
          <w:iCs/>
        </w:rPr>
        <w:t xml:space="preserve"> </w:t>
      </w:r>
      <w:r>
        <w:rPr>
          <w:i/>
          <w:iCs/>
        </w:rPr>
        <w:t xml:space="preserve">reduces manual overhead over time. Automation is evidence-driven.</w:t>
      </w:r>
    </w:p>
    <w:bookmarkStart w:id="129" w:name="three-horizon-maturity-model"/>
    <w:p>
      <w:pPr>
        <w:pStyle w:val="Heading3"/>
      </w:pPr>
      <w:r>
        <w:t xml:space="preserve">18.1 Three-Horizon Maturity Model</w:t>
      </w:r>
    </w:p>
    <w:p>
      <w:pPr>
        <w:pStyle w:val="FirstParagraph"/>
      </w:pPr>
      <w:r>
        <w:rPr>
          <w:b/>
          <w:bCs/>
        </w:rPr>
        <w:t xml:space="preserve">Horizon 1: Foundational (Months 1–6) — Governance Infrastructure</w:t>
      </w:r>
    </w:p>
    <w:p>
      <w:pPr>
        <w:numPr>
          <w:ilvl w:val="0"/>
          <w:numId w:val="1032"/>
        </w:numPr>
      </w:pPr>
      <w:r>
        <w:t xml:space="preserve">Establish Software Registry as single source of truth: integrate CMDB,</w:t>
      </w:r>
      <w:r>
        <w:t xml:space="preserve"> </w:t>
      </w:r>
      <w:r>
        <w:t xml:space="preserve">SAM, Vendor Contract Repository; begin nightly reconciliation.</w:t>
      </w:r>
    </w:p>
    <w:p>
      <w:pPr>
        <w:numPr>
          <w:ilvl w:val="0"/>
          <w:numId w:val="1032"/>
        </w:numPr>
      </w:pPr>
      <w:r>
        <w:t xml:space="preserve">Deploy standardized intake with mandatory field enforcement; assign</w:t>
      </w:r>
      <w:r>
        <w:t xml:space="preserve"> </w:t>
      </w:r>
      <w:r>
        <w:t xml:space="preserve">Product Owner to every request; establish Portfolio Governance Council</w:t>
      </w:r>
      <w:r>
        <w:t xml:space="preserve"> </w:t>
      </w:r>
      <w:r>
        <w:t xml:space="preserve">cadence.</w:t>
      </w:r>
    </w:p>
    <w:p>
      <w:pPr>
        <w:numPr>
          <w:ilvl w:val="0"/>
          <w:numId w:val="1032"/>
        </w:numPr>
      </w:pPr>
      <w:r>
        <w:t xml:space="preserve">Implement TPRM Vendor Register; assign risk tiers to all existing</w:t>
      </w:r>
      <w:r>
        <w:t xml:space="preserve"> </w:t>
      </w:r>
      <w:r>
        <w:t xml:space="preserve">vendor relationships; initiate due diligence gap remediation for Tier</w:t>
      </w:r>
      <w:r>
        <w:t xml:space="preserve"> </w:t>
      </w:r>
      <w:r>
        <w:t xml:space="preserve">1 vendors.</w:t>
      </w:r>
    </w:p>
    <w:p>
      <w:pPr>
        <w:numPr>
          <w:ilvl w:val="0"/>
          <w:numId w:val="1032"/>
        </w:numPr>
      </w:pPr>
      <w:r>
        <w:t xml:space="preserve">Document and ratify all fifteen DMN decision tables; implement as</w:t>
      </w:r>
      <w:r>
        <w:t xml:space="preserve"> </w:t>
      </w:r>
      <w:r>
        <w:t xml:space="preserve">documented decision criteria (manual DMN application at Horizon 1).</w:t>
      </w:r>
    </w:p>
    <w:p>
      <w:pPr>
        <w:numPr>
          <w:ilvl w:val="0"/>
          <w:numId w:val="1032"/>
        </w:numPr>
      </w:pPr>
      <w:r>
        <w:t xml:space="preserve">Establish decision audit log (basic ITSM record acceptable); define</w:t>
      </w:r>
      <w:r>
        <w:t xml:space="preserve"> </w:t>
      </w:r>
      <w:r>
        <w:t xml:space="preserve">retention standards and access controls.</w:t>
      </w:r>
    </w:p>
    <w:p>
      <w:pPr>
        <w:numPr>
          <w:ilvl w:val="0"/>
          <w:numId w:val="1032"/>
        </w:numPr>
      </w:pPr>
      <w:r>
        <w:t xml:space="preserve">Define AI Governance Checklist; establish Model Risk Inventory; assess</w:t>
      </w:r>
      <w:r>
        <w:t xml:space="preserve"> </w:t>
      </w:r>
      <w:r>
        <w:t xml:space="preserve">all current AI deployments against SR 11-7 tiers.</w:t>
      </w:r>
    </w:p>
    <w:p>
      <w:pPr>
        <w:numPr>
          <w:ilvl w:val="0"/>
          <w:numId w:val="1032"/>
        </w:numPr>
      </w:pPr>
      <w:r>
        <w:t xml:space="preserve">Map all knowledge bases; identify knowledge generation points; begin</w:t>
      </w:r>
      <w:r>
        <w:t xml:space="preserve"> </w:t>
      </w:r>
      <w:r>
        <w:t xml:space="preserve">structured knowledge capture.</w:t>
      </w:r>
    </w:p>
    <w:p>
      <w:pPr>
        <w:pStyle w:val="FirstParagraph"/>
      </w:pPr>
      <w:r>
        <w:rPr>
          <w:b/>
          <w:bCs/>
        </w:rPr>
        <w:t xml:space="preserve">Horizon 2: Structured Automation (Months 7–18) — Process</w:t>
      </w:r>
      <w:r>
        <w:rPr>
          <w:b/>
          <w:bCs/>
        </w:rPr>
        <w:t xml:space="preserve"> </w:t>
      </w:r>
      <w:r>
        <w:rPr>
          <w:b/>
          <w:bCs/>
        </w:rPr>
        <w:t xml:space="preserve">Digitization</w:t>
      </w:r>
    </w:p>
    <w:p>
      <w:pPr>
        <w:numPr>
          <w:ilvl w:val="0"/>
          <w:numId w:val="1033"/>
        </w:numPr>
      </w:pPr>
      <w:r>
        <w:t xml:space="preserve">Deploy conversational AI intake bot with completeness enforcement;</w:t>
      </w:r>
      <w:r>
        <w:t xml:space="preserve"> </w:t>
      </w:r>
      <w:r>
        <w:t xml:space="preserve">integrate Software Registry query and Capability Reuse Gate (DMN-15)</w:t>
      </w:r>
      <w:r>
        <w:t xml:space="preserve"> </w:t>
      </w:r>
      <w:r>
        <w:t xml:space="preserve">into bot session.</w:t>
      </w:r>
    </w:p>
    <w:p>
      <w:pPr>
        <w:numPr>
          <w:ilvl w:val="0"/>
          <w:numId w:val="1033"/>
        </w:numPr>
      </w:pPr>
      <w:r>
        <w:t xml:space="preserve">Implement DMN-01 through DMN-05 and DMN-15 in BPMN process engine</w:t>
      </w:r>
      <w:r>
        <w:t xml:space="preserve"> </w:t>
      </w:r>
      <w:r>
        <w:t xml:space="preserve">(Camunda, Flowable, or equivalent); automate routing and scoring.</w:t>
      </w:r>
    </w:p>
    <w:p>
      <w:pPr>
        <w:numPr>
          <w:ilvl w:val="0"/>
          <w:numId w:val="1033"/>
        </w:numPr>
      </w:pPr>
      <w:r>
        <w:t xml:space="preserve">Automate PRD generation from structured intake data; deploy Jira/ADO</w:t>
      </w:r>
      <w:r>
        <w:t xml:space="preserve"> </w:t>
      </w:r>
      <w:r>
        <w:t xml:space="preserve">integration for Epic and Story push; establish Git branch automation.</w:t>
      </w:r>
    </w:p>
    <w:p>
      <w:pPr>
        <w:numPr>
          <w:ilvl w:val="0"/>
          <w:numId w:val="1033"/>
        </w:numPr>
      </w:pPr>
      <w:r>
        <w:t xml:space="preserve">Implement Legal Knowledge Graph Phase 1: RFP clause library with</w:t>
      </w:r>
      <w:r>
        <w:t xml:space="preserve"> </w:t>
      </w:r>
      <w:r>
        <w:t xml:space="preserve">context-driven selection for top 5 acquisition scenarios.</w:t>
      </w:r>
    </w:p>
    <w:p>
      <w:pPr>
        <w:numPr>
          <w:ilvl w:val="0"/>
          <w:numId w:val="1033"/>
        </w:numPr>
      </w:pPr>
      <w:r>
        <w:t xml:space="preserve">Deploy immutable decision audit log in WORM-compliant storage;</w:t>
      </w:r>
      <w:r>
        <w:t xml:space="preserve"> </w:t>
      </w:r>
      <w:r>
        <w:t xml:space="preserve">implement automated retention enforcement.</w:t>
      </w:r>
    </w:p>
    <w:p>
      <w:pPr>
        <w:numPr>
          <w:ilvl w:val="0"/>
          <w:numId w:val="1033"/>
        </w:numPr>
      </w:pPr>
      <w:r>
        <w:t xml:space="preserve">Implement DMN-06 through DMN-08 for Buy pathway automation; automate</w:t>
      </w:r>
      <w:r>
        <w:t xml:space="preserve"> </w:t>
      </w:r>
      <w:r>
        <w:t xml:space="preserve">TPRM monitoring schedule triggers.</w:t>
      </w:r>
    </w:p>
    <w:p>
      <w:pPr>
        <w:numPr>
          <w:ilvl w:val="0"/>
          <w:numId w:val="1033"/>
        </w:numPr>
      </w:pPr>
      <w:r>
        <w:t xml:space="preserve">Deploy Knowledge Staging Agent for Phases 1–4; replace identified</w:t>
      </w:r>
      <w:r>
        <w:t xml:space="preserve"> </w:t>
      </w:r>
      <w:r>
        <w:t xml:space="preserve">email-based handoffs with structured knowledge flows.</w:t>
      </w:r>
    </w:p>
    <w:p>
      <w:pPr>
        <w:numPr>
          <w:ilvl w:val="0"/>
          <w:numId w:val="1033"/>
        </w:numPr>
      </w:pPr>
      <w:r>
        <w:t xml:space="preserve">Implement SLA monitoring, queue visibility dashboards, and basic</w:t>
      </w:r>
      <w:r>
        <w:t xml:space="preserve"> </w:t>
      </w:r>
      <w:r>
        <w:t xml:space="preserve">escalation timers.</w:t>
      </w:r>
    </w:p>
    <w:p>
      <w:pPr>
        <w:pStyle w:val="FirstParagraph"/>
      </w:pPr>
      <w:r>
        <w:rPr>
          <w:b/>
          <w:bCs/>
        </w:rPr>
        <w:t xml:space="preserve">Horizon 3: Intelligent Optimization (Months 19–36) — Full Framework</w:t>
      </w:r>
      <w:r>
        <w:rPr>
          <w:b/>
          <w:bCs/>
        </w:rPr>
        <w:t xml:space="preserve"> </w:t>
      </w:r>
      <w:r>
        <w:rPr>
          <w:b/>
          <w:bCs/>
        </w:rPr>
        <w:t xml:space="preserve">Realization</w:t>
      </w:r>
    </w:p>
    <w:p>
      <w:pPr>
        <w:numPr>
          <w:ilvl w:val="0"/>
          <w:numId w:val="1034"/>
        </w:numPr>
      </w:pPr>
      <w:r>
        <w:t xml:space="preserve">Full Legal Knowledge Graph deployment: complete clause library</w:t>
      </w:r>
      <w:r>
        <w:t xml:space="preserve"> </w:t>
      </w:r>
      <w:r>
        <w:t xml:space="preserve">covering all acquisition types, regulatory domains, and jurisdictions;</w:t>
      </w:r>
      <w:r>
        <w:t xml:space="preserve"> </w:t>
      </w:r>
      <w:r>
        <w:t xml:space="preserve">AI-assisted redline review.</w:t>
      </w:r>
    </w:p>
    <w:p>
      <w:pPr>
        <w:numPr>
          <w:ilvl w:val="0"/>
          <w:numId w:val="1034"/>
        </w:numPr>
      </w:pPr>
      <w:r>
        <w:t xml:space="preserve">Shadow IT continuous detection: SSO and expense management integration</w:t>
      </w:r>
      <w:r>
        <w:t xml:space="preserve"> </w:t>
      </w:r>
      <w:r>
        <w:t xml:space="preserve">for real-time identification and automated intake trigger.</w:t>
      </w:r>
    </w:p>
    <w:p>
      <w:pPr>
        <w:numPr>
          <w:ilvl w:val="0"/>
          <w:numId w:val="1034"/>
        </w:numPr>
      </w:pPr>
      <w:r>
        <w:t xml:space="preserve">AI model performance observability: full drift monitoring, bias</w:t>
      </w:r>
      <w:r>
        <w:t xml:space="preserve"> </w:t>
      </w:r>
      <w:r>
        <w:t xml:space="preserve">detection, and hallucination monitoring dashboards for all Tier 1 and</w:t>
      </w:r>
      <w:r>
        <w:t xml:space="preserve"> </w:t>
      </w:r>
      <w:r>
        <w:t xml:space="preserve">Tier 2 models.</w:t>
      </w:r>
    </w:p>
    <w:p>
      <w:pPr>
        <w:numPr>
          <w:ilvl w:val="0"/>
          <w:numId w:val="1034"/>
        </w:numPr>
      </w:pPr>
      <w:r>
        <w:t xml:space="preserve">Automated regulatory reporting package: pre-built exam package</w:t>
      </w:r>
      <w:r>
        <w:t xml:space="preserve"> </w:t>
      </w:r>
      <w:r>
        <w:t xml:space="preserve">generation for OCC, FINRA, and SEC; 24-hour retrieval SLA met with</w:t>
      </w:r>
      <w:r>
        <w:t xml:space="preserve"> </w:t>
      </w:r>
      <w:r>
        <w:t xml:space="preserve">automated tooling.</w:t>
      </w:r>
    </w:p>
    <w:p>
      <w:pPr>
        <w:numPr>
          <w:ilvl w:val="0"/>
          <w:numId w:val="1034"/>
        </w:numPr>
      </w:pPr>
      <w:r>
        <w:t xml:space="preserve">Predictive portfolio management: demand forecasting for technology</w:t>
      </w:r>
      <w:r>
        <w:t xml:space="preserve"> </w:t>
      </w:r>
      <w:r>
        <w:t xml:space="preserve">requests; resource prediction; proactive vendor renewal management.</w:t>
      </w:r>
    </w:p>
    <w:p>
      <w:pPr>
        <w:numPr>
          <w:ilvl w:val="0"/>
          <w:numId w:val="1034"/>
        </w:numPr>
      </w:pPr>
      <w:r>
        <w:t xml:space="preserve">Fourth-party risk monitoring: automated monitoring of critical vendor</w:t>
      </w:r>
      <w:r>
        <w:t xml:space="preserve"> </w:t>
      </w:r>
      <w:r>
        <w:t xml:space="preserve">sub-contractors via news, sanctions, and financial stability feeds.</w:t>
      </w:r>
    </w:p>
    <w:p>
      <w:pPr>
        <w:numPr>
          <w:ilvl w:val="0"/>
          <w:numId w:val="1034"/>
        </w:numPr>
      </w:pPr>
      <w:r>
        <w:t xml:space="preserve">Full Knowledge Staging Agent deployment across all phases; all</w:t>
      </w:r>
      <w:r>
        <w:t xml:space="preserve"> </w:t>
      </w:r>
      <w:r>
        <w:t xml:space="preserve">knowledge bases continuously updated; zero email-based handoffs in</w:t>
      </w:r>
      <w:r>
        <w:t xml:space="preserve"> </w:t>
      </w:r>
      <w:r>
        <w:t xml:space="preserve">governed workflow.</w:t>
      </w:r>
    </w:p>
    <w:p>
      <w:pPr>
        <w:numPr>
          <w:ilvl w:val="0"/>
          <w:numId w:val="1034"/>
        </w:numPr>
      </w:pPr>
      <w:r>
        <w:t xml:space="preserve">Bottleneck-driven automation: automated identification and</w:t>
      </w:r>
      <w:r>
        <w:t xml:space="preserve"> </w:t>
      </w:r>
      <w:r>
        <w:t xml:space="preserve">implementation of automation opportunities based on process telemetry</w:t>
      </w:r>
      <w:r>
        <w:t xml:space="preserve"> </w:t>
      </w:r>
      <w:r>
        <w:t xml:space="preserve">data.</w:t>
      </w:r>
    </w:p>
    <w:bookmarkEnd w:id="129"/>
    <w:bookmarkStart w:id="130" w:name="automation-decision-criteria"/>
    <w:p>
      <w:pPr>
        <w:pStyle w:val="Heading3"/>
      </w:pPr>
      <w:r>
        <w:t xml:space="preserve">18.2 Automation Decision Criteria</w:t>
      </w:r>
    </w:p>
    <w:p>
      <w:pPr>
        <w:pStyle w:val="FirstParagraph"/>
      </w:pPr>
      <w:r>
        <w:t xml:space="preserve">A task is eligible for automation when evidence demonstrates:</w:t>
      </w:r>
    </w:p>
    <w:p>
      <w:pPr>
        <w:numPr>
          <w:ilvl w:val="0"/>
          <w:numId w:val="1035"/>
        </w:numPr>
      </w:pPr>
      <w:r>
        <w:t xml:space="preserve">The task has been executed manually at least 10 times with consistent,</w:t>
      </w:r>
      <w:r>
        <w:t xml:space="preserve"> </w:t>
      </w:r>
      <w:r>
        <w:t xml:space="preserve">documented outcomes.</w:t>
      </w:r>
    </w:p>
    <w:p>
      <w:pPr>
        <w:numPr>
          <w:ilvl w:val="0"/>
          <w:numId w:val="1035"/>
        </w:numPr>
      </w:pPr>
      <w:r>
        <w:t xml:space="preserve">The task’s decision logic can be expressed as deterministic rules</w:t>
      </w:r>
      <w:r>
        <w:t xml:space="preserve"> </w:t>
      </w:r>
      <w:r>
        <w:t xml:space="preserve">(DMN) or deterministic agent operations.</w:t>
      </w:r>
    </w:p>
    <w:p>
      <w:pPr>
        <w:numPr>
          <w:ilvl w:val="0"/>
          <w:numId w:val="1035"/>
        </w:numPr>
      </w:pPr>
      <w:r>
        <w:t xml:space="preserve">Automation would reduce the task’s cycle time by &gt;50% or eliminate a</w:t>
      </w:r>
      <w:r>
        <w:t xml:space="preserve"> </w:t>
      </w:r>
      <w:r>
        <w:t xml:space="preserve">documented bottleneck.</w:t>
      </w:r>
    </w:p>
    <w:p>
      <w:pPr>
        <w:numPr>
          <w:ilvl w:val="0"/>
          <w:numId w:val="1035"/>
        </w:numPr>
      </w:pPr>
      <w:r>
        <w:t xml:space="preserve">The task’s outputs can be validated against historical outcomes with</w:t>
      </w:r>
      <w:r>
        <w:t xml:space="preserve"> </w:t>
      </w:r>
      <w:r>
        <w:t xml:space="preserve">&gt;95% accuracy.</w:t>
      </w:r>
    </w:p>
    <w:p>
      <w:pPr>
        <w:numPr>
          <w:ilvl w:val="0"/>
          <w:numId w:val="1035"/>
        </w:numPr>
      </w:pPr>
      <w:r>
        <w:t xml:space="preserve">The compliance and audit trail requirements can be maintained in the</w:t>
      </w:r>
      <w:r>
        <w:t xml:space="preserve"> </w:t>
      </w:r>
      <w:r>
        <w:t xml:space="preserve">automated mode.</w:t>
      </w:r>
    </w:p>
    <w:bookmarkEnd w:id="130"/>
    <w:bookmarkStart w:id="131" w:name="change-management-imperatives"/>
    <w:p>
      <w:pPr>
        <w:pStyle w:val="Heading3"/>
      </w:pPr>
      <w:r>
        <w:t xml:space="preserve">18.3 Change Management Imperatives</w:t>
      </w:r>
    </w:p>
    <w:p>
      <w:pPr>
        <w:numPr>
          <w:ilvl w:val="0"/>
          <w:numId w:val="1036"/>
        </w:numPr>
      </w:pPr>
      <w:r>
        <w:rPr>
          <w:b/>
          <w:bCs/>
        </w:rPr>
        <w:t xml:space="preserve">Executive sponsorship:</w:t>
      </w:r>
      <w:r>
        <w:t xml:space="preserve"> </w:t>
      </w:r>
      <w:r>
        <w:t xml:space="preserve">Technology leadership and risk leadership</w:t>
      </w:r>
      <w:r>
        <w:t xml:space="preserve"> </w:t>
      </w:r>
      <w:r>
        <w:t xml:space="preserve">must jointly own and visibly champion this framework. Without</w:t>
      </w:r>
      <w:r>
        <w:t xml:space="preserve"> </w:t>
      </w:r>
      <w:r>
        <w:t xml:space="preserve">executive mandate, cross-functional governance bodies lack authority</w:t>
      </w:r>
      <w:r>
        <w:t xml:space="preserve"> </w:t>
      </w:r>
      <w:r>
        <w:t xml:space="preserve">to enforce decisions.</w:t>
      </w:r>
    </w:p>
    <w:p>
      <w:pPr>
        <w:numPr>
          <w:ilvl w:val="0"/>
          <w:numId w:val="1036"/>
        </w:numPr>
      </w:pPr>
      <w:r>
        <w:rPr>
          <w:b/>
          <w:bCs/>
        </w:rPr>
        <w:t xml:space="preserve">Training investment:</w:t>
      </w:r>
      <w:r>
        <w:t xml:space="preserve"> </w:t>
      </w:r>
      <w:r>
        <w:t xml:space="preserve">Product Owners, Procurement Leads, and TPRM</w:t>
      </w:r>
      <w:r>
        <w:t xml:space="preserve"> </w:t>
      </w:r>
      <w:r>
        <w:t xml:space="preserve">managers require structured training in DMN logic, conversational AI</w:t>
      </w:r>
      <w:r>
        <w:t xml:space="preserve"> </w:t>
      </w:r>
      <w:r>
        <w:t xml:space="preserve">design, and SR 11-7 compliance before go-live.</w:t>
      </w:r>
    </w:p>
    <w:p>
      <w:pPr>
        <w:numPr>
          <w:ilvl w:val="0"/>
          <w:numId w:val="1036"/>
        </w:numPr>
      </w:pPr>
      <w:r>
        <w:rPr>
          <w:b/>
          <w:bCs/>
        </w:rPr>
        <w:t xml:space="preserve">Change metrics:</w:t>
      </w:r>
      <w:r>
        <w:t xml:space="preserve"> </w:t>
      </w:r>
      <w:r>
        <w:t xml:space="preserve">Track adoption rate of intake portal, percentage</w:t>
      </w:r>
      <w:r>
        <w:t xml:space="preserve"> </w:t>
      </w:r>
      <w:r>
        <w:t xml:space="preserve">of requests through formal governance vs. informal channels, and</w:t>
      </w:r>
      <w:r>
        <w:t xml:space="preserve"> </w:t>
      </w:r>
      <w:r>
        <w:t xml:space="preserve">Council decision cycle times.</w:t>
      </w:r>
    </w:p>
    <w:p>
      <w:pPr>
        <w:numPr>
          <w:ilvl w:val="0"/>
          <w:numId w:val="1036"/>
        </w:numPr>
      </w:pPr>
      <w:r>
        <w:rPr>
          <w:b/>
          <w:bCs/>
        </w:rPr>
        <w:t xml:space="preserve">Continuous improvement:</w:t>
      </w:r>
      <w:r>
        <w:t xml:space="preserve"> </w:t>
      </w:r>
      <w:r>
        <w:t xml:space="preserve">Quarterly review of all DMN tables, KPI</w:t>
      </w:r>
      <w:r>
        <w:t xml:space="preserve"> </w:t>
      </w:r>
      <w:r>
        <w:t xml:space="preserve">performance, and regulatory landscape changes. DMN rules updated</w:t>
      </w:r>
      <w:r>
        <w:t xml:space="preserve"> </w:t>
      </w:r>
      <w:r>
        <w:t xml:space="preserve">within 60 days of material regulatory guidance change.</w:t>
      </w:r>
    </w:p>
    <w:bookmarkEnd w:id="131"/>
    <w:bookmarkEnd w:id="132"/>
    <w:bookmarkStart w:id="133" w:name="Xfb236ffbb0fe2565266948b19d015f1415beeb0"/>
    <w:p>
      <w:pPr>
        <w:pStyle w:val="Heading2"/>
      </w:pPr>
      <w:r>
        <w:t xml:space="preserve">27. Continuous Improvement and Process Optimization</w:t>
      </w:r>
    </w:p>
    <w:p>
      <w:pPr>
        <w:pStyle w:val="FirstParagraph"/>
      </w:pPr>
      <w:r>
        <w:t xml:space="preserve">The integrated workflow is designed as a self-improving system. Process</w:t>
      </w:r>
      <w:r>
        <w:t xml:space="preserve"> </w:t>
      </w:r>
      <w:r>
        <w:t xml:space="preserve">mining and analytics provide ongoing visibility into actual vs. target</w:t>
      </w:r>
      <w:r>
        <w:t xml:space="preserve"> </w:t>
      </w:r>
      <w:r>
        <w:t xml:space="preserve">cycle times, enabling data-driven process optimization. Key improvement</w:t>
      </w:r>
      <w:r>
        <w:t xml:space="preserve"> </w:t>
      </w:r>
      <w:r>
        <w:t xml:space="preserve">mechanisms include:</w:t>
      </w:r>
    </w:p>
    <w:p>
      <w:pPr>
        <w:pStyle w:val="BodyText"/>
      </w:pPr>
      <w:r>
        <w:rPr>
          <w:b/>
          <w:bCs/>
        </w:rPr>
        <w:t xml:space="preserve">Process Mining:</w:t>
      </w:r>
      <w:r>
        <w:t xml:space="preserve"> </w:t>
      </w:r>
      <w:r>
        <w:t xml:space="preserve">Automated analysis of BPM execution logs to identify</w:t>
      </w:r>
      <w:r>
        <w:t xml:space="preserve"> </w:t>
      </w:r>
      <w:r>
        <w:t xml:space="preserve">actual bottlenecks, variant paths, and cycle time distributions across</w:t>
      </w:r>
      <w:r>
        <w:t xml:space="preserve"> </w:t>
      </w:r>
      <w:r>
        <w:t xml:space="preserve">all phases.</w:t>
      </w:r>
    </w:p>
    <w:p>
      <w:pPr>
        <w:pStyle w:val="BodyText"/>
      </w:pPr>
      <w:r>
        <w:rPr>
          <w:b/>
          <w:bCs/>
        </w:rPr>
        <w:t xml:space="preserve">SLA Breach Root Cause Analysis:</w:t>
      </w:r>
      <w:r>
        <w:t xml:space="preserve"> </w:t>
      </w:r>
      <w:r>
        <w:t xml:space="preserve">When phase SLAs are breached, the</w:t>
      </w:r>
      <w:r>
        <w:t xml:space="preserve"> </w:t>
      </w:r>
      <w:r>
        <w:t xml:space="preserve">system automatically triggers root cause analysis workflows that</w:t>
      </w:r>
      <w:r>
        <w:t xml:space="preserve"> </w:t>
      </w:r>
      <w:r>
        <w:t xml:space="preserve">identify whether the breach was caused by missing information, capacity</w:t>
      </w:r>
      <w:r>
        <w:t xml:space="preserve"> </w:t>
      </w:r>
      <w:r>
        <w:t xml:space="preserve">constraints, or process deficiencies.</w:t>
      </w:r>
    </w:p>
    <w:p>
      <w:pPr>
        <w:pStyle w:val="BodyText"/>
      </w:pPr>
      <w:r>
        <w:rPr>
          <w:b/>
          <w:bCs/>
        </w:rPr>
        <w:t xml:space="preserve">Knowledge Base Enrichment:</w:t>
      </w:r>
      <w:r>
        <w:t xml:space="preserve"> </w:t>
      </w:r>
      <w:r>
        <w:t xml:space="preserve">Each completed initiative enriches the</w:t>
      </w:r>
      <w:r>
        <w:t xml:space="preserve"> </w:t>
      </w:r>
      <w:r>
        <w:t xml:space="preserve">deterministic knowledge base, improving pre-population accuracy, risk</w:t>
      </w:r>
      <w:r>
        <w:t xml:space="preserve"> </w:t>
      </w:r>
      <w:r>
        <w:t xml:space="preserve">scoring precision, and agent swarm effectiveness for subsequent</w:t>
      </w:r>
      <w:r>
        <w:t xml:space="preserve"> </w:t>
      </w:r>
      <w:r>
        <w:t xml:space="preserve">initiatives.</w:t>
      </w:r>
    </w:p>
    <w:p>
      <w:pPr>
        <w:pStyle w:val="BodyText"/>
      </w:pPr>
      <w:r>
        <w:rPr>
          <w:b/>
          <w:bCs/>
        </w:rPr>
        <w:t xml:space="preserve">Benchmark Recalibration:</w:t>
      </w:r>
      <w:r>
        <w:t xml:space="preserve"> </w:t>
      </w:r>
      <w:r>
        <w:t xml:space="preserve">Quarterly review of actual cycle times</w:t>
      </w:r>
      <w:r>
        <w:t xml:space="preserve"> </w:t>
      </w:r>
      <w:r>
        <w:t xml:space="preserve">against targets, with automated adjustment of SLA expectations based on</w:t>
      </w:r>
      <w:r>
        <w:t xml:space="preserve"> </w:t>
      </w:r>
      <w:r>
        <w:t xml:space="preserve">90th percentile historical performance.</w:t>
      </w:r>
    </w:p>
    <w:p>
      <w:r>
        <w:pict>
          <v:rect style="width:0;height:1.5pt" o:hralign="center" o:hrstd="t" o:hr="t"/>
        </w:pict>
      </w:r>
    </w:p>
    <w:bookmarkEnd w:id="133"/>
    <w:bookmarkEnd w:id="134"/>
    <w:bookmarkStart w:id="197" w:name="appendices"/>
    <w:p>
      <w:pPr>
        <w:pStyle w:val="Heading1"/>
      </w:pPr>
      <w:r>
        <w:t xml:space="preserve">Appendices</w:t>
      </w:r>
    </w:p>
    <w:bookmarkStart w:id="135" w:name="Xa5693f7e7d1756c0871c109b9ad622b668ae641"/>
    <w:p>
      <w:pPr>
        <w:pStyle w:val="Heading2"/>
      </w:pPr>
      <w:r>
        <w:t xml:space="preserve">Appendix A: Regulatory and Compliance Framework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Regulation / Guidance</w:t>
            </w:r>
          </w:p>
        </w:tc>
        <w:tc>
          <w:tcPr/>
          <w:p>
            <w:pPr>
              <w:pStyle w:val="Compact"/>
            </w:pPr>
            <w:r>
              <w:t xml:space="preserve">Issuer</w:t>
            </w:r>
          </w:p>
        </w:tc>
        <w:tc>
          <w:tcPr/>
          <w:p>
            <w:pPr>
              <w:pStyle w:val="Compact"/>
            </w:pPr>
            <w:r>
              <w:t xml:space="preserve">Process Applicability</w:t>
            </w:r>
          </w:p>
        </w:tc>
        <w:tc>
          <w:tcPr/>
          <w:p>
            <w:pPr>
              <w:pStyle w:val="Compact"/>
            </w:pPr>
            <w:r>
              <w:t xml:space="preserve">Key Requirements Addressed</w:t>
            </w:r>
          </w:p>
        </w:tc>
      </w:tr>
      <w:tr>
        <w:tc>
          <w:tcPr/>
          <w:p>
            <w:pPr>
              <w:pStyle w:val="Compact"/>
            </w:pPr>
            <w:r>
              <w:t xml:space="preserve">OCC Bulletin 2023-17</w:t>
            </w:r>
          </w:p>
        </w:tc>
        <w:tc>
          <w:tcPr/>
          <w:p>
            <w:pPr>
              <w:pStyle w:val="Compact"/>
            </w:pPr>
            <w:r>
              <w:t xml:space="preserve">OCC / Fed / FDIC</w:t>
            </w:r>
          </w:p>
        </w:tc>
        <w:tc>
          <w:tcPr/>
          <w:p>
            <w:pPr>
              <w:pStyle w:val="Compact"/>
            </w:pPr>
            <w:r>
              <w:t xml:space="preserve">Phase 5B (all stages); Phase 6</w:t>
            </w:r>
          </w:p>
        </w:tc>
        <w:tc>
          <w:tcPr/>
          <w:p>
            <w:pPr>
              <w:pStyle w:val="Compact"/>
            </w:pPr>
            <w:r>
              <w:t xml:space="preserve">Five-stage lifecycle; risk-tiered DD; critical activity designation; sub-contractor oversight; ongoing monitoring; termination planning</w:t>
            </w:r>
          </w:p>
        </w:tc>
      </w:tr>
      <w:tr>
        <w:tc>
          <w:tcPr/>
          <w:p>
            <w:pPr>
              <w:pStyle w:val="Compact"/>
            </w:pPr>
            <w:r>
              <w:t xml:space="preserve">SR 11-7 MRM</w:t>
            </w:r>
          </w:p>
        </w:tc>
        <w:tc>
          <w:tcPr/>
          <w:p>
            <w:pPr>
              <w:pStyle w:val="Compact"/>
            </w:pPr>
            <w:r>
              <w:t xml:space="preserve">Fed / OCC</w:t>
            </w:r>
          </w:p>
        </w:tc>
        <w:tc>
          <w:tcPr/>
          <w:p>
            <w:pPr>
              <w:pStyle w:val="Compact"/>
            </w:pPr>
            <w:r>
              <w:t xml:space="preserve">Phase 1 (AI risk); Phase 5A (AI Gov); Phase 6</w:t>
            </w:r>
          </w:p>
        </w:tc>
        <w:tc>
          <w:tcPr/>
          <w:p>
            <w:pPr>
              <w:pStyle w:val="Compact"/>
            </w:pPr>
            <w:r>
              <w:t xml:space="preserve">Model risk inventory; independent validation; documentation; performance monitoring; drift detection; Board-level reporting</w:t>
            </w:r>
          </w:p>
        </w:tc>
      </w:tr>
      <w:tr>
        <w:tc>
          <w:tcPr/>
          <w:p>
            <w:pPr>
              <w:pStyle w:val="Compact"/>
            </w:pPr>
            <w:r>
              <w:t xml:space="preserve">NIST AI RMF 1.0</w:t>
            </w:r>
          </w:p>
        </w:tc>
        <w:tc>
          <w:tcPr/>
          <w:p>
            <w:pPr>
              <w:pStyle w:val="Compact"/>
            </w:pPr>
            <w:r>
              <w:t xml:space="preserve">NIST</w:t>
            </w:r>
          </w:p>
        </w:tc>
        <w:tc>
          <w:tcPr/>
          <w:p>
            <w:pPr>
              <w:pStyle w:val="Compact"/>
            </w:pPr>
            <w:r>
              <w:t xml:space="preserve">Phase 1; Phase 5A</w:t>
            </w:r>
          </w:p>
        </w:tc>
        <w:tc>
          <w:tcPr/>
          <w:p>
            <w:pPr>
              <w:pStyle w:val="Compact"/>
            </w:pPr>
            <w:r>
              <w:t xml:space="preserve">GOVERN, MAP, MEASURE, MANAGE functions; bias/fairness; transparency; accountability; trustworthiness</w:t>
            </w:r>
          </w:p>
        </w:tc>
      </w:tr>
      <w:tr>
        <w:tc>
          <w:tcPr/>
          <w:p>
            <w:pPr>
              <w:pStyle w:val="Compact"/>
            </w:pPr>
            <w:r>
              <w:t xml:space="preserve">SEC Cybersecurity Rule</w:t>
            </w:r>
          </w:p>
        </w:tc>
        <w:tc>
          <w:tcPr/>
          <w:p>
            <w:pPr>
              <w:pStyle w:val="Compact"/>
            </w:pPr>
            <w:r>
              <w:t xml:space="preserve">SEC</w:t>
            </w:r>
          </w:p>
        </w:tc>
        <w:tc>
          <w:tcPr/>
          <w:p>
            <w:pPr>
              <w:pStyle w:val="Compact"/>
            </w:pPr>
            <w:r>
              <w:t xml:space="preserve">Phase 2; Phase 5B; Phase 6</w:t>
            </w:r>
          </w:p>
        </w:tc>
        <w:tc>
          <w:tcPr/>
          <w:p>
            <w:pPr>
              <w:pStyle w:val="Compact"/>
            </w:pPr>
            <w:r>
              <w:t xml:space="preserve">Material incident disclosure; annual cybersecurity risk management; third-party risk as material factor</w:t>
            </w:r>
          </w:p>
        </w:tc>
      </w:tr>
      <w:tr>
        <w:tc>
          <w:tcPr/>
          <w:p>
            <w:pPr>
              <w:pStyle w:val="Compact"/>
            </w:pPr>
            <w:r>
              <w:t xml:space="preserve">FINRA Rules 3110 / 4511</w:t>
            </w:r>
          </w:p>
        </w:tc>
        <w:tc>
          <w:tcPr/>
          <w:p>
            <w:pPr>
              <w:pStyle w:val="Compact"/>
            </w:pPr>
            <w:r>
              <w:t xml:space="preserve">FINRA</w:t>
            </w:r>
          </w:p>
        </w:tc>
        <w:tc>
          <w:tcPr/>
          <w:p>
            <w:pPr>
              <w:pStyle w:val="Compact"/>
            </w:pPr>
            <w:r>
              <w:t xml:space="preserve">Phase 6</w:t>
            </w:r>
          </w:p>
        </w:tc>
        <w:tc>
          <w:tcPr/>
          <w:p>
            <w:pPr>
              <w:pStyle w:val="Compact"/>
            </w:pPr>
            <w:r>
              <w:t xml:space="preserve">Supervision of technology; books and records; 3-year minimum retention; 6-year for financial records</w:t>
            </w:r>
          </w:p>
        </w:tc>
      </w:tr>
      <w:tr>
        <w:tc>
          <w:tcPr/>
          <w:p>
            <w:pPr>
              <w:pStyle w:val="Compact"/>
            </w:pPr>
            <w:r>
              <w:t xml:space="preserve">SEC Rule 17a-4</w:t>
            </w:r>
          </w:p>
        </w:tc>
        <w:tc>
          <w:tcPr/>
          <w:p>
            <w:pPr>
              <w:pStyle w:val="Compact"/>
            </w:pPr>
            <w:r>
              <w:t xml:space="preserve">SEC</w:t>
            </w:r>
          </w:p>
        </w:tc>
        <w:tc>
          <w:tcPr/>
          <w:p>
            <w:pPr>
              <w:pStyle w:val="Compact"/>
            </w:pPr>
            <w:r>
              <w:t xml:space="preserve">Phase 6</w:t>
            </w:r>
          </w:p>
        </w:tc>
        <w:tc>
          <w:tcPr/>
          <w:p>
            <w:pPr>
              <w:pStyle w:val="Compact"/>
            </w:pPr>
            <w:r>
              <w:t xml:space="preserve">WORM-compliant storage; 7-year retention for broker-dealer records; regulatory access within 24 hours</w:t>
            </w:r>
          </w:p>
        </w:tc>
      </w:tr>
      <w:tr>
        <w:tc>
          <w:tcPr/>
          <w:p>
            <w:pPr>
              <w:pStyle w:val="Compact"/>
            </w:pPr>
            <w:r>
              <w:t xml:space="preserve">BCBS d577</w:t>
            </w:r>
          </w:p>
        </w:tc>
        <w:tc>
          <w:tcPr/>
          <w:p>
            <w:pPr>
              <w:pStyle w:val="Compact"/>
            </w:pPr>
            <w:r>
              <w:t xml:space="preserve">BIS</w:t>
            </w:r>
          </w:p>
        </w:tc>
        <w:tc>
          <w:tcPr/>
          <w:p>
            <w:pPr>
              <w:pStyle w:val="Compact"/>
            </w:pPr>
            <w:r>
              <w:t xml:space="preserve">Phase 5B</w:t>
            </w:r>
          </w:p>
        </w:tc>
        <w:tc>
          <w:tcPr/>
          <w:p>
            <w:pPr>
              <w:pStyle w:val="Compact"/>
            </w:pPr>
            <w:r>
              <w:t xml:space="preserve">Concentration risk; supervisory cooperation; termination/BCP planning; sub-contractor chain oversight</w:t>
            </w:r>
          </w:p>
        </w:tc>
      </w:tr>
      <w:tr>
        <w:tc>
          <w:tcPr/>
          <w:p>
            <w:pPr>
              <w:pStyle w:val="Compact"/>
            </w:pPr>
            <w:r>
              <w:t xml:space="preserve">NIST SP 1800-5</w:t>
            </w:r>
          </w:p>
        </w:tc>
        <w:tc>
          <w:tcPr/>
          <w:p>
            <w:pPr>
              <w:pStyle w:val="Compact"/>
            </w:pPr>
            <w:r>
              <w:t xml:space="preserve">NIST</w:t>
            </w:r>
          </w:p>
        </w:tc>
        <w:tc>
          <w:tcPr/>
          <w:p>
            <w:pPr>
              <w:pStyle w:val="Compact"/>
            </w:pPr>
            <w:r>
              <w:t xml:space="preserve">Phase 0</w:t>
            </w:r>
          </w:p>
        </w:tc>
        <w:tc>
          <w:tcPr/>
          <w:p>
            <w:pPr>
              <w:pStyle w:val="Compact"/>
            </w:pPr>
            <w:r>
              <w:t xml:space="preserve">ITAM for financial services; continuous discovery; license compliance; vulnerability integration</w:t>
            </w:r>
          </w:p>
        </w:tc>
      </w:tr>
      <w:tr>
        <w:tc>
          <w:tcPr/>
          <w:p>
            <w:pPr>
              <w:pStyle w:val="Compact"/>
            </w:pPr>
            <w:r>
              <w:t xml:space="preserve">ISO/IEC 19770</w:t>
            </w:r>
          </w:p>
        </w:tc>
        <w:tc>
          <w:tcPr/>
          <w:p>
            <w:pPr>
              <w:pStyle w:val="Compact"/>
            </w:pPr>
            <w:r>
              <w:t xml:space="preserve">ISO</w:t>
            </w:r>
          </w:p>
        </w:tc>
        <w:tc>
          <w:tcPr/>
          <w:p>
            <w:pPr>
              <w:pStyle w:val="Compact"/>
            </w:pPr>
            <w:r>
              <w:t xml:space="preserve">Phase 0</w:t>
            </w:r>
          </w:p>
        </w:tc>
        <w:tc>
          <w:tcPr/>
          <w:p>
            <w:pPr>
              <w:pStyle w:val="Compact"/>
            </w:pPr>
            <w:r>
              <w:t xml:space="preserve">SAM standards; software identification; license management; entitlement management</w:t>
            </w:r>
          </w:p>
        </w:tc>
      </w:tr>
      <w:tr>
        <w:tc>
          <w:tcPr/>
          <w:p>
            <w:pPr>
              <w:pStyle w:val="Compact"/>
            </w:pPr>
            <w:r>
              <w:t xml:space="preserve">ISO/IEC 27001:2022</w:t>
            </w:r>
          </w:p>
        </w:tc>
        <w:tc>
          <w:tcPr/>
          <w:p>
            <w:pPr>
              <w:pStyle w:val="Compact"/>
            </w:pPr>
            <w:r>
              <w:t xml:space="preserve">ISO</w:t>
            </w:r>
          </w:p>
        </w:tc>
        <w:tc>
          <w:tcPr/>
          <w:p>
            <w:pPr>
              <w:pStyle w:val="Compact"/>
            </w:pPr>
            <w:r>
              <w:t xml:space="preserve">Phase 5A; 5B; 6</w:t>
            </w:r>
          </w:p>
        </w:tc>
        <w:tc>
          <w:tcPr/>
          <w:p>
            <w:pPr>
              <w:pStyle w:val="Compact"/>
            </w:pPr>
            <w:r>
              <w:t xml:space="preserve">ISMS requirements; supplier security; access control; audit logging; cryptographic controls</w:t>
            </w:r>
          </w:p>
        </w:tc>
      </w:tr>
      <w:tr>
        <w:tc>
          <w:tcPr/>
          <w:p>
            <w:pPr>
              <w:pStyle w:val="Compact"/>
            </w:pPr>
            <w:r>
              <w:t xml:space="preserve">EU AI Act</w:t>
            </w:r>
          </w:p>
        </w:tc>
        <w:tc>
          <w:tcPr/>
          <w:p>
            <w:pPr>
              <w:pStyle w:val="Compact"/>
            </w:pPr>
            <w:r>
              <w:t xml:space="preserve">EU</w:t>
            </w:r>
          </w:p>
        </w:tc>
        <w:tc>
          <w:tcPr/>
          <w:p>
            <w:pPr>
              <w:pStyle w:val="Compact"/>
            </w:pPr>
            <w:r>
              <w:t xml:space="preserve">Phase 1; Phase 5A</w:t>
            </w:r>
          </w:p>
        </w:tc>
        <w:tc>
          <w:tcPr/>
          <w:p>
            <w:pPr>
              <w:pStyle w:val="Compact"/>
            </w:pPr>
            <w:r>
              <w:t xml:space="preserve">High-risk AI registration; fundamental rights assessment; technical documentation; transparency</w:t>
            </w:r>
          </w:p>
        </w:tc>
      </w:tr>
      <w:tr>
        <w:tc>
          <w:tcPr/>
          <w:p>
            <w:pPr>
              <w:pStyle w:val="Compact"/>
            </w:pPr>
            <w:r>
              <w:t xml:space="preserve">GDPR / CCPA / GLB</w:t>
            </w:r>
          </w:p>
        </w:tc>
        <w:tc>
          <w:tcPr/>
          <w:p>
            <w:pPr>
              <w:pStyle w:val="Compact"/>
            </w:pPr>
            <w:r>
              <w:t xml:space="preserve">EU / CA / US Fed</w:t>
            </w:r>
          </w:p>
        </w:tc>
        <w:tc>
          <w:tcPr/>
          <w:p>
            <w:pPr>
              <w:pStyle w:val="Compact"/>
            </w:pPr>
            <w:r>
              <w:t xml:space="preserve">Phase 1; Phase 5B</w:t>
            </w:r>
          </w:p>
        </w:tc>
        <w:tc>
          <w:tcPr/>
          <w:p>
            <w:pPr>
              <w:pStyle w:val="Compact"/>
            </w:pPr>
            <w:r>
              <w:t xml:space="preserve">Lawful basis; DPA requirements; data subject rights; cross-border transfer; breach notification</w:t>
            </w:r>
          </w:p>
        </w:tc>
      </w:tr>
      <w:tr>
        <w:tc>
          <w:tcPr/>
          <w:p>
            <w:pPr>
              <w:pStyle w:val="Compact"/>
            </w:pPr>
            <w:r>
              <w:t xml:space="preserve">FCRA / Regulation B</w:t>
            </w:r>
          </w:p>
        </w:tc>
        <w:tc>
          <w:tcPr/>
          <w:p>
            <w:pPr>
              <w:pStyle w:val="Compact"/>
            </w:pPr>
            <w:r>
              <w:t xml:space="preserve">CFPB / Fed</w:t>
            </w:r>
          </w:p>
        </w:tc>
        <w:tc>
          <w:tcPr/>
          <w:p>
            <w:pPr>
              <w:pStyle w:val="Compact"/>
            </w:pPr>
            <w:r>
              <w:t xml:space="preserve">Phase 5A (Tier 1)</w:t>
            </w:r>
          </w:p>
        </w:tc>
        <w:tc>
          <w:tcPr/>
          <w:p>
            <w:pPr>
              <w:pStyle w:val="Compact"/>
            </w:pPr>
            <w:r>
              <w:t xml:space="preserve">Adverse action notices; disparate impact prohibition; explainability for credit-adjacent AI</w:t>
            </w:r>
          </w:p>
        </w:tc>
      </w:tr>
    </w:tbl>
    <w:bookmarkEnd w:id="135"/>
    <w:bookmarkStart w:id="136" w:name="appendix-b-glossary-of-key-terms"/>
    <w:p>
      <w:pPr>
        <w:pStyle w:val="Heading2"/>
      </w:pPr>
      <w:r>
        <w:t xml:space="preserve">Appendix B: Glossary of Key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 (Automated)</w:t>
            </w:r>
          </w:p>
        </w:tc>
        <w:tc>
          <w:tcPr/>
          <w:p>
            <w:pPr>
              <w:pStyle w:val="Compact"/>
            </w:pPr>
            <w:r>
              <w:t xml:space="preserve">Task type designation: fully automated execution with no human intervention; deterministic inputs and outputs.</w:t>
            </w:r>
          </w:p>
        </w:tc>
      </w:tr>
      <w:tr>
        <w:tc>
          <w:tcPr/>
          <w:p>
            <w:pPr>
              <w:pStyle w:val="Compact"/>
            </w:pPr>
            <w:r>
              <w:t xml:space="preserve">Business Rules Task</w:t>
            </w:r>
          </w:p>
        </w:tc>
        <w:tc>
          <w:tcPr/>
          <w:p>
            <w:pPr>
              <w:pStyle w:val="Compact"/>
            </w:pPr>
            <w:r>
              <w:t xml:space="preserve">A BPMN element that invokes an external decision service (such as a DMN decision table) rather than embedding decision logic in the process flow.</w:t>
            </w:r>
          </w:p>
        </w:tc>
      </w:tr>
      <w:tr>
        <w:tc>
          <w:tcPr/>
          <w:p>
            <w:pPr>
              <w:pStyle w:val="Compact"/>
            </w:pPr>
            <w:r>
              <w:t xml:space="preserve">CMDB</w:t>
            </w:r>
          </w:p>
        </w:tc>
        <w:tc>
          <w:tcPr/>
          <w:p>
            <w:pPr>
              <w:pStyle w:val="Compact"/>
            </w:pPr>
            <w:r>
              <w:t xml:space="preserve">Configuration Management Database: the authoritative record of all IT assets and their relationships.</w:t>
            </w:r>
          </w:p>
        </w:tc>
      </w:tr>
      <w:tr>
        <w:tc>
          <w:tcPr/>
          <w:p>
            <w:pPr>
              <w:pStyle w:val="Compact"/>
            </w:pPr>
            <w:r>
              <w:t xml:space="preserve">Critical Activity</w:t>
            </w:r>
          </w:p>
        </w:tc>
        <w:tc>
          <w:tcPr/>
          <w:p>
            <w:pPr>
              <w:pStyle w:val="Compact"/>
            </w:pPr>
            <w:r>
              <w:t xml:space="preserve">Per OCC guidance, any activity that if disrupted would significantly impact the institution’s ability to provide services, comply with regulations, or maintain financial stability.</w:t>
            </w:r>
          </w:p>
        </w:tc>
      </w:tr>
      <w:tr>
        <w:tc>
          <w:tcPr/>
          <w:p>
            <w:pPr>
              <w:pStyle w:val="Compact"/>
            </w:pPr>
            <w:r>
              <w:t xml:space="preserve">DA (Deterministic Agent-Enabled)</w:t>
            </w:r>
          </w:p>
        </w:tc>
        <w:tc>
          <w:tcPr/>
          <w:p>
            <w:pPr>
              <w:pStyle w:val="Compact"/>
            </w:pPr>
            <w:r>
              <w:t xml:space="preserve">Task type designation: agent executes using deterministic knowledge bases and DMN rules; outputs are reproducible; decision provenance is logged.</w:t>
            </w:r>
          </w:p>
        </w:tc>
      </w:tr>
      <w:tr>
        <w:tc>
          <w:tcPr/>
          <w:p>
            <w:pPr>
              <w:pStyle w:val="Compact"/>
            </w:pPr>
            <w:r>
              <w:t xml:space="preserve">DMN</w:t>
            </w:r>
          </w:p>
        </w:tc>
        <w:tc>
          <w:tcPr/>
          <w:p>
            <w:pPr>
              <w:pStyle w:val="Compact"/>
            </w:pPr>
            <w:r>
              <w:t xml:space="preserve">Decision Model and Notation: an OMG-standard for representing business decision logic in tabular form, enabling independent versioning, testing, and auditing.</w:t>
            </w:r>
          </w:p>
        </w:tc>
      </w:tr>
      <w:tr>
        <w:tc>
          <w:tcPr/>
          <w:p>
            <w:pPr>
              <w:pStyle w:val="Compact"/>
            </w:pPr>
            <w:r>
              <w:t xml:space="preserve">H (Human-in-the-Loop)</w:t>
            </w:r>
          </w:p>
        </w:tc>
        <w:tc>
          <w:tcPr/>
          <w:p>
            <w:pPr>
              <w:pStyle w:val="Compact"/>
            </w:pPr>
            <w:r>
              <w:t xml:space="preserve">Task type designation: human judgment required; may be informed by agent analysis but human is accountable.</w:t>
            </w:r>
          </w:p>
        </w:tc>
      </w:tr>
      <w:tr>
        <w:tc>
          <w:tcPr/>
          <w:p>
            <w:pPr>
              <w:pStyle w:val="Compact"/>
            </w:pPr>
            <w:r>
              <w:t xml:space="preserve">HLDD</w:t>
            </w:r>
          </w:p>
        </w:tc>
        <w:tc>
          <w:tcPr/>
          <w:p>
            <w:pPr>
              <w:pStyle w:val="Compact"/>
            </w:pPr>
            <w:r>
              <w:t xml:space="preserve">High Level Design Document: architecture artifact describing system context, data flows, integration points, security controls, and observability design.</w:t>
            </w:r>
          </w:p>
        </w:tc>
      </w:tr>
      <w:tr>
        <w:tc>
          <w:tcPr/>
          <w:p>
            <w:pPr>
              <w:pStyle w:val="Compact"/>
            </w:pPr>
            <w:r>
              <w:t xml:space="preserve">Knowledge Staging Agent</w:t>
            </w:r>
          </w:p>
        </w:tc>
        <w:tc>
          <w:tcPr/>
          <w:p>
            <w:pPr>
              <w:pStyle w:val="Compact"/>
            </w:pPr>
            <w:r>
              <w:t xml:space="preserve">Automated agent that captures validated knowledge outputs from each phase and stages them into deterministic knowledge bases.</w:t>
            </w:r>
          </w:p>
        </w:tc>
      </w:tr>
      <w:tr>
        <w:tc>
          <w:tcPr/>
          <w:p>
            <w:pPr>
              <w:pStyle w:val="Compact"/>
            </w:pPr>
            <w:r>
              <w:t xml:space="preserve">Legal Knowledge Graph (LKG)</w:t>
            </w:r>
          </w:p>
        </w:tc>
        <w:tc>
          <w:tcPr/>
          <w:p>
            <w:pPr>
              <w:pStyle w:val="Compact"/>
            </w:pPr>
            <w:r>
              <w:t xml:space="preserve">Graph database of legal clauses, regulatory requirements, contract types, and their semantic relationships for context-driven clause selection.</w:t>
            </w:r>
          </w:p>
        </w:tc>
      </w:tr>
      <w:tr>
        <w:tc>
          <w:tcPr/>
          <w:p>
            <w:pPr>
              <w:pStyle w:val="Compact"/>
            </w:pPr>
            <w:r>
              <w:t xml:space="preserve">Model Card</w:t>
            </w:r>
          </w:p>
        </w:tc>
        <w:tc>
          <w:tcPr/>
          <w:p>
            <w:pPr>
              <w:pStyle w:val="Compact"/>
            </w:pPr>
            <w:r>
              <w:t xml:space="preserve">Structured document describing an AI model’s purpose, training data, metrics, limitations, and bias assessment per SR 11-7 standards.</w:t>
            </w:r>
          </w:p>
        </w:tc>
      </w:tr>
      <w:tr>
        <w:tc>
          <w:tcPr/>
          <w:p>
            <w:pPr>
              <w:pStyle w:val="Compact"/>
            </w:pPr>
            <w:r>
              <w:t xml:space="preserve">MRM</w:t>
            </w:r>
          </w:p>
        </w:tc>
        <w:tc>
          <w:tcPr/>
          <w:p>
            <w:pPr>
              <w:pStyle w:val="Compact"/>
            </w:pPr>
            <w:r>
              <w:t xml:space="preserve">Model Risk Management: governance discipline for identifying, assessing, and mitigating risks from quantitative models, governed by SR 11-7.</w:t>
            </w:r>
          </w:p>
        </w:tc>
      </w:tr>
      <w:tr>
        <w:tc>
          <w:tcPr/>
          <w:p>
            <w:pPr>
              <w:pStyle w:val="Compact"/>
            </w:pPr>
            <w:r>
              <w:t xml:space="preserve">PRD</w:t>
            </w:r>
          </w:p>
        </w:tc>
        <w:tc>
          <w:tcPr/>
          <w:p>
            <w:pPr>
              <w:pStyle w:val="Compact"/>
            </w:pPr>
            <w:r>
              <w:t xml:space="preserve">Product Requirements Document: structured artifact defining functional, non-functional, regulatory, and AI governance requirements.</w:t>
            </w:r>
          </w:p>
        </w:tc>
      </w:tr>
      <w:tr>
        <w:tc>
          <w:tcPr/>
          <w:p>
            <w:pPr>
              <w:pStyle w:val="Compact"/>
            </w:pPr>
            <w:r>
              <w:t xml:space="preserve">RAE</w:t>
            </w:r>
          </w:p>
        </w:tc>
        <w:tc>
          <w:tcPr/>
          <w:p>
            <w:pPr>
              <w:pStyle w:val="Compact"/>
            </w:pPr>
            <w:r>
              <w:t xml:space="preserve">Risk Assessment Evaluation: formal vendor risk assessment during TPRM due diligence.</w:t>
            </w:r>
          </w:p>
        </w:tc>
      </w:tr>
      <w:tr>
        <w:tc>
          <w:tcPr/>
          <w:p>
            <w:pPr>
              <w:pStyle w:val="Compact"/>
            </w:pPr>
            <w:r>
              <w:t xml:space="preserve">SBOM</w:t>
            </w:r>
          </w:p>
        </w:tc>
        <w:tc>
          <w:tcPr/>
          <w:p>
            <w:pPr>
              <w:pStyle w:val="Compact"/>
            </w:pPr>
            <w:r>
              <w:t xml:space="preserve">Software Bill of Materials: machine-readable record of all software components and dependencies.</w:t>
            </w:r>
          </w:p>
        </w:tc>
      </w:tr>
      <w:tr>
        <w:tc>
          <w:tcPr/>
          <w:p>
            <w:pPr>
              <w:pStyle w:val="Compact"/>
            </w:pPr>
            <w:r>
              <w:t xml:space="preserve">Software Registry</w:t>
            </w:r>
          </w:p>
        </w:tc>
        <w:tc>
          <w:tcPr/>
          <w:p>
            <w:pPr>
              <w:pStyle w:val="Compact"/>
            </w:pPr>
            <w:r>
              <w:t xml:space="preserve">The institution’s authoritative, continuously-updated catalog of all software assets.</w:t>
            </w:r>
          </w:p>
        </w:tc>
      </w:tr>
      <w:tr>
        <w:tc>
          <w:tcPr/>
          <w:p>
            <w:pPr>
              <w:pStyle w:val="Compact"/>
            </w:pPr>
            <w:r>
              <w:t xml:space="preserve">SR 11-7</w:t>
            </w:r>
          </w:p>
        </w:tc>
        <w:tc>
          <w:tcPr/>
          <w:p>
            <w:pPr>
              <w:pStyle w:val="Compact"/>
            </w:pPr>
            <w:r>
              <w:t xml:space="preserve">Federal Reserve Supervisory Letter 11-7 (2011): primary regulatory guidance for Model Risk Management.</w:t>
            </w:r>
          </w:p>
        </w:tc>
      </w:tr>
      <w:tr>
        <w:tc>
          <w:tcPr/>
          <w:p>
            <w:pPr>
              <w:pStyle w:val="Compact"/>
            </w:pPr>
            <w:r>
              <w:t xml:space="preserve">TPRM</w:t>
            </w:r>
          </w:p>
        </w:tc>
        <w:tc>
          <w:tcPr/>
          <w:p>
            <w:pPr>
              <w:pStyle w:val="Compact"/>
            </w:pPr>
            <w:r>
              <w:t xml:space="preserve">Third-Party Risk Management: governance program for vendor/supplier risk throughout the relationship lifecycle.</w:t>
            </w:r>
          </w:p>
        </w:tc>
      </w:tr>
      <w:tr>
        <w:tc>
          <w:tcPr/>
          <w:p>
            <w:pPr>
              <w:pStyle w:val="Compact"/>
            </w:pPr>
            <w:r>
              <w:t xml:space="preserve">Vendor Risk Tier</w:t>
            </w:r>
          </w:p>
        </w:tc>
        <w:tc>
          <w:tcPr/>
          <w:p>
            <w:pPr>
              <w:pStyle w:val="Compact"/>
            </w:pPr>
            <w:r>
              <w:t xml:space="preserve">Classification (Tier 1–4) assigned to each vendor based on criticality, data sensitivity, concentration risk, and regulatory exposure.</w:t>
            </w:r>
          </w:p>
        </w:tc>
      </w:tr>
      <w:tr>
        <w:tc>
          <w:tcPr/>
          <w:p>
            <w:pPr>
              <w:pStyle w:val="Compact"/>
            </w:pPr>
            <w:r>
              <w:t xml:space="preserve">WORM Storage</w:t>
            </w:r>
          </w:p>
        </w:tc>
        <w:tc>
          <w:tcPr/>
          <w:p>
            <w:pPr>
              <w:pStyle w:val="Compact"/>
            </w:pPr>
            <w:r>
              <w:t xml:space="preserve">Write Once, Read Many: storage architecture where records cannot be modified after initial write, satisfying regulatory preservation requirements.</w:t>
            </w:r>
          </w:p>
        </w:tc>
      </w:tr>
    </w:tbl>
    <w:bookmarkEnd w:id="136"/>
    <w:bookmarkStart w:id="196" w:name="appendix-c-references-and-works-cited"/>
    <w:p>
      <w:pPr>
        <w:pStyle w:val="Heading2"/>
      </w:pPr>
      <w:r>
        <w:t xml:space="preserve">Appendix C: References and Works Cited</w:t>
      </w:r>
    </w:p>
    <w:bookmarkStart w:id="193" w:name="sources-from-tprm-research"/>
    <w:p>
      <w:pPr>
        <w:pStyle w:val="Heading3"/>
      </w:pPr>
      <w:r>
        <w:t xml:space="preserve">Sources from TPRM Research</w:t>
      </w:r>
    </w:p>
    <w:bookmarkStart w:id="192" w:name="works-cited"/>
    <w:p>
      <w:pPr>
        <w:pStyle w:val="Heading4"/>
      </w:pPr>
      <w:r>
        <w:t xml:space="preserve">Works cited</w:t>
      </w:r>
    </w:p>
    <w:p>
      <w:pPr>
        <w:numPr>
          <w:ilvl w:val="0"/>
          <w:numId w:val="1037"/>
        </w:numPr>
      </w:pPr>
      <w:r>
        <w:t xml:space="preserve">TPRM Lifecycle Guide with Examples and Framework Integration -</w:t>
      </w:r>
      <w:r>
        <w:t xml:space="preserve"> </w:t>
      </w:r>
      <w:r>
        <w:t xml:space="preserve">UpGuard, accessed March 1, 2026,</w:t>
      </w:r>
      <w:r>
        <w:t xml:space="preserve"> </w:t>
      </w:r>
      <w:hyperlink r:id="rId137">
        <w:r>
          <w:rPr>
            <w:rStyle w:val="Hyperlink"/>
          </w:rPr>
          <w:t xml:space="preserve">https://www.upguard.com/blog/tprm-lifecycle</w:t>
        </w:r>
      </w:hyperlink>
    </w:p>
    <w:p>
      <w:pPr>
        <w:numPr>
          <w:ilvl w:val="0"/>
          <w:numId w:val="1037"/>
        </w:numPr>
      </w:pPr>
      <w:r>
        <w:t xml:space="preserve">Reimagining Third-Party Risk in an Agentic AI World - Ballistic</w:t>
      </w:r>
      <w:r>
        <w:t xml:space="preserve"> </w:t>
      </w:r>
      <w:r>
        <w:t xml:space="preserve">Ventures, accessed March 1, 2026,</w:t>
      </w:r>
      <w:r>
        <w:t xml:space="preserve"> </w:t>
      </w:r>
      <w:hyperlink r:id="rId138">
        <w:r>
          <w:rPr>
            <w:rStyle w:val="Hyperlink"/>
          </w:rPr>
          <w:t xml:space="preserve">https://ballisticventures.com/event/reimagining-third-party-risk-in-an-agentic-ai-world/</w:t>
        </w:r>
      </w:hyperlink>
    </w:p>
    <w:p>
      <w:pPr>
        <w:numPr>
          <w:ilvl w:val="0"/>
          <w:numId w:val="1037"/>
        </w:numPr>
      </w:pPr>
      <w:r>
        <w:t xml:space="preserve">Third-Party Risk Management (TPRM): Guide + Checklist - Asher</w:t>
      </w:r>
      <w:r>
        <w:t xml:space="preserve"> </w:t>
      </w:r>
      <w:r>
        <w:t xml:space="preserve">Security, accessed March 1, 2026,</w:t>
      </w:r>
      <w:r>
        <w:t xml:space="preserve"> </w:t>
      </w:r>
      <w:hyperlink r:id="rId139">
        <w:r>
          <w:rPr>
            <w:rStyle w:val="Hyperlink"/>
          </w:rPr>
          <w:t xml:space="preserve">https://www.ashersecurity.com/third-party-risk-management-a-complete-guide/</w:t>
        </w:r>
      </w:hyperlink>
    </w:p>
    <w:p>
      <w:pPr>
        <w:numPr>
          <w:ilvl w:val="0"/>
          <w:numId w:val="1037"/>
        </w:numPr>
      </w:pPr>
      <w:r>
        <w:t xml:space="preserve">What is Third Party Risk Management? 2025 Complete Guide - Isora</w:t>
      </w:r>
      <w:r>
        <w:t xml:space="preserve"> </w:t>
      </w:r>
      <w:r>
        <w:t xml:space="preserve">GRC, accessed March 1, 2026,</w:t>
      </w:r>
      <w:r>
        <w:t xml:space="preserve"> </w:t>
      </w:r>
      <w:hyperlink r:id="rId140">
        <w:r>
          <w:rPr>
            <w:rStyle w:val="Hyperlink"/>
          </w:rPr>
          <w:t xml:space="preserve">https://www.saltycloud.com/blog/third-party-risk-management/</w:t>
        </w:r>
      </w:hyperlink>
    </w:p>
    <w:p>
      <w:pPr>
        <w:numPr>
          <w:ilvl w:val="0"/>
          <w:numId w:val="1037"/>
        </w:numPr>
      </w:pPr>
      <w:r>
        <w:t xml:space="preserve">What Is Third-Party Risk Management (TPRM)? A 2025 Guide - Atlan,</w:t>
      </w:r>
      <w:r>
        <w:t xml:space="preserve"> </w:t>
      </w:r>
      <w:r>
        <w:t xml:space="preserve">accessed March 1, 2026,</w:t>
      </w:r>
      <w:r>
        <w:t xml:space="preserve"> </w:t>
      </w:r>
      <w:hyperlink r:id="rId141">
        <w:r>
          <w:rPr>
            <w:rStyle w:val="Hyperlink"/>
          </w:rPr>
          <w:t xml:space="preserve">https://atlan.com/know/data-governance/third-party-risk-management/</w:t>
        </w:r>
      </w:hyperlink>
    </w:p>
    <w:p>
      <w:pPr>
        <w:numPr>
          <w:ilvl w:val="0"/>
          <w:numId w:val="1037"/>
        </w:numPr>
      </w:pPr>
      <w:r>
        <w:t xml:space="preserve">What is Third-Party Risk Management (TPRM)? - Panorays, accessed</w:t>
      </w:r>
      <w:r>
        <w:t xml:space="preserve"> </w:t>
      </w:r>
      <w:r>
        <w:t xml:space="preserve">March 1, 2026,</w:t>
      </w:r>
      <w:r>
        <w:t xml:space="preserve"> </w:t>
      </w:r>
      <w:hyperlink r:id="rId142">
        <w:r>
          <w:rPr>
            <w:rStyle w:val="Hyperlink"/>
          </w:rPr>
          <w:t xml:space="preserve">https://panorays.com/blog/third-party-risk-management/</w:t>
        </w:r>
      </w:hyperlink>
    </w:p>
    <w:p>
      <w:pPr>
        <w:numPr>
          <w:ilvl w:val="0"/>
          <w:numId w:val="1037"/>
        </w:numPr>
      </w:pPr>
      <w:r>
        <w:t xml:space="preserve">Third Party Risk Management: 6-Step Lifecycle &amp; Best Practices -</w:t>
      </w:r>
      <w:r>
        <w:t xml:space="preserve"> </w:t>
      </w:r>
      <w:r>
        <w:t xml:space="preserve">Venn, accessed March 1, 2026,</w:t>
      </w:r>
      <w:r>
        <w:t xml:space="preserve"> </w:t>
      </w:r>
      <w:hyperlink r:id="rId143">
        <w:r>
          <w:rPr>
            <w:rStyle w:val="Hyperlink"/>
          </w:rPr>
          <w:t xml:space="preserve">https://www.venn.com/learn/data-security/third-party-risk-management/</w:t>
        </w:r>
      </w:hyperlink>
    </w:p>
    <w:p>
      <w:pPr>
        <w:numPr>
          <w:ilvl w:val="0"/>
          <w:numId w:val="1037"/>
        </w:numPr>
      </w:pPr>
      <w:r>
        <w:t xml:space="preserve">TPRM governance: How companies strategically manage third-party</w:t>
      </w:r>
      <w:r>
        <w:t xml:space="preserve"> </w:t>
      </w:r>
      <w:r>
        <w:t xml:space="preserve">risks - KPMG, accessed March 1, 2026,</w:t>
      </w:r>
      <w:r>
        <w:t xml:space="preserve"> </w:t>
      </w:r>
      <w:hyperlink r:id="rId144">
        <w:r>
          <w:rPr>
            <w:rStyle w:val="Hyperlink"/>
          </w:rPr>
          <w:t xml:space="preserve">https://kpmg.com/de/en/services/audit/regulatory-advisory/tprm-governance-how-companies-strategically-manage-third-party-risks.html</w:t>
        </w:r>
      </w:hyperlink>
    </w:p>
    <w:p>
      <w:pPr>
        <w:numPr>
          <w:ilvl w:val="0"/>
          <w:numId w:val="1037"/>
        </w:numPr>
      </w:pPr>
      <w:r>
        <w:t xml:space="preserve">Third-Party Risk Management Implementation Roadmap: 6-Step Guide for</w:t>
      </w:r>
      <w:r>
        <w:t xml:space="preserve"> </w:t>
      </w:r>
      <w:r>
        <w:t xml:space="preserve">Enterprises, accessed March 1, 2026,</w:t>
      </w:r>
      <w:r>
        <w:t xml:space="preserve"> </w:t>
      </w:r>
      <w:hyperlink r:id="rId145">
        <w:r>
          <w:rPr>
            <w:rStyle w:val="Hyperlink"/>
          </w:rPr>
          <w:t xml:space="preserve">https://www.processunity.com/resources/blogs/third-party-risk-management-implementation-roadmap-6-step-guide-for-enterprises/</w:t>
        </w:r>
      </w:hyperlink>
    </w:p>
    <w:p>
      <w:pPr>
        <w:numPr>
          <w:ilvl w:val="0"/>
          <w:numId w:val="1037"/>
        </w:numPr>
      </w:pPr>
      <w:r>
        <w:t xml:space="preserve">Third-Party Risk Management (TPRM): Final Interagency Guidance -</w:t>
      </w:r>
      <w:r>
        <w:t xml:space="preserve"> </w:t>
      </w:r>
      <w:r>
        <w:t xml:space="preserve">KPMG International, accessed March 1, 2026,</w:t>
      </w:r>
      <w:r>
        <w:t xml:space="preserve"> </w:t>
      </w:r>
      <w:hyperlink r:id="rId146">
        <w:r>
          <w:rPr>
            <w:rStyle w:val="Hyperlink"/>
          </w:rPr>
          <w:t xml:space="preserve">https://kpmg.com/us/en/articles/2023/third-party-risk-management-final-interagency-guidance-reg-alert.html</w:t>
        </w:r>
      </w:hyperlink>
    </w:p>
    <w:p>
      <w:pPr>
        <w:numPr>
          <w:ilvl w:val="0"/>
          <w:numId w:val="1037"/>
        </w:numPr>
      </w:pPr>
      <w:r>
        <w:t xml:space="preserve">The 6 Third-Party Risk Management (TPRM) Lifecycle Phases - Aravo,</w:t>
      </w:r>
      <w:r>
        <w:t xml:space="preserve"> </w:t>
      </w:r>
      <w:r>
        <w:t xml:space="preserve">accessed March 1, 2026,</w:t>
      </w:r>
      <w:r>
        <w:t xml:space="preserve"> </w:t>
      </w:r>
      <w:hyperlink r:id="rId147">
        <w:r>
          <w:rPr>
            <w:rStyle w:val="Hyperlink"/>
          </w:rPr>
          <w:t xml:space="preserve">https://aravo.com/blog/six-phases-of-the-tprm-lifecycle/</w:t>
        </w:r>
      </w:hyperlink>
    </w:p>
    <w:p>
      <w:pPr>
        <w:numPr>
          <w:ilvl w:val="0"/>
          <w:numId w:val="1037"/>
        </w:numPr>
      </w:pPr>
      <w:r>
        <w:t xml:space="preserve">The Financial Services TPRM Shortcut: 10 Requirements to… |</w:t>
      </w:r>
      <w:r>
        <w:t xml:space="preserve"> </w:t>
      </w:r>
      <w:r>
        <w:t xml:space="preserve">Whistic, accessed March 1, 2026,</w:t>
      </w:r>
      <w:r>
        <w:t xml:space="preserve"> </w:t>
      </w:r>
      <w:hyperlink r:id="rId148">
        <w:r>
          <w:rPr>
            <w:rStyle w:val="Hyperlink"/>
          </w:rPr>
          <w:t xml:space="preserve">https://www.whistic.com/resources/blog/tprm-compliance-shortcuts-financial-services</w:t>
        </w:r>
      </w:hyperlink>
    </w:p>
    <w:p>
      <w:pPr>
        <w:numPr>
          <w:ilvl w:val="0"/>
          <w:numId w:val="1037"/>
        </w:numPr>
      </w:pPr>
      <w:r>
        <w:t xml:space="preserve">Third-Party Risk Audit Readiness Checklist: 2026 Compliance Guide -</w:t>
      </w:r>
      <w:r>
        <w:t xml:space="preserve"> </w:t>
      </w:r>
      <w:r>
        <w:t xml:space="preserve">Atlas Systems, accessed March 1, 2026,</w:t>
      </w:r>
      <w:r>
        <w:t xml:space="preserve"> </w:t>
      </w:r>
      <w:hyperlink r:id="rId149">
        <w:r>
          <w:rPr>
            <w:rStyle w:val="Hyperlink"/>
          </w:rPr>
          <w:t xml:space="preserve">https://www.atlassystems.com/blog/third-party-risk-audit-readiness-checklist</w:t>
        </w:r>
      </w:hyperlink>
    </w:p>
    <w:p>
      <w:pPr>
        <w:numPr>
          <w:ilvl w:val="0"/>
          <w:numId w:val="1037"/>
        </w:numPr>
      </w:pPr>
      <w:r>
        <w:t xml:space="preserve">Interagency Guidance on Third-Party Relationships - Federal Reserve,</w:t>
      </w:r>
      <w:r>
        <w:t xml:space="preserve"> </w:t>
      </w:r>
      <w:r>
        <w:t xml:space="preserve">accessed March 1, 2026,</w:t>
      </w:r>
      <w:r>
        <w:t xml:space="preserve"> </w:t>
      </w:r>
      <w:hyperlink r:id="rId150">
        <w:r>
          <w:rPr>
            <w:rStyle w:val="Hyperlink"/>
          </w:rPr>
          <w:t xml:space="preserve">https://www.federalreserve.gov/frrs/guidance/interagency-guidance-on-third-party-relationships.htm</w:t>
        </w:r>
      </w:hyperlink>
    </w:p>
    <w:p>
      <w:pPr>
        <w:numPr>
          <w:ilvl w:val="0"/>
          <w:numId w:val="1037"/>
        </w:numPr>
      </w:pPr>
      <w:r>
        <w:t xml:space="preserve">Third-Party Risk Management Guideline - Office of the Superintendent</w:t>
      </w:r>
      <w:r>
        <w:t xml:space="preserve"> </w:t>
      </w:r>
      <w:r>
        <w:t xml:space="preserve">of Financial Institutions, accessed March 1, 2026,</w:t>
      </w:r>
      <w:r>
        <w:t xml:space="preserve"> </w:t>
      </w:r>
      <w:hyperlink r:id="rId151">
        <w:r>
          <w:rPr>
            <w:rStyle w:val="Hyperlink"/>
          </w:rPr>
          <w:t xml:space="preserve">https://www.osfi-bsif.gc.ca/en/guidance/guidance-library/third-party-risk-management-guideline</w:t>
        </w:r>
      </w:hyperlink>
    </w:p>
    <w:p>
      <w:pPr>
        <w:numPr>
          <w:ilvl w:val="0"/>
          <w:numId w:val="1037"/>
        </w:numPr>
      </w:pPr>
      <w:r>
        <w:t xml:space="preserve">From Reactive to Predictive: How AI Is Redefining Third-Party Risk</w:t>
      </w:r>
      <w:r>
        <w:t xml:space="preserve"> </w:t>
      </w:r>
      <w:r>
        <w:t xml:space="preserve">..., accessed March 1, 2026,</w:t>
      </w:r>
      <w:r>
        <w:t xml:space="preserve"> </w:t>
      </w:r>
      <w:hyperlink r:id="rId152">
        <w:r>
          <w:rPr>
            <w:rStyle w:val="Hyperlink"/>
          </w:rPr>
          <w:t xml:space="preserve">https://www.exiger.com/perspectives/how-ai-is-redefining-third-party-risk-management/</w:t>
        </w:r>
      </w:hyperlink>
    </w:p>
    <w:p>
      <w:pPr>
        <w:numPr>
          <w:ilvl w:val="0"/>
          <w:numId w:val="1037"/>
        </w:numPr>
      </w:pPr>
      <w:r>
        <w:t xml:space="preserve">Third-Party Risk Management Guide for 2026 - UpGuard, accessed March</w:t>
      </w:r>
      <w:r>
        <w:t xml:space="preserve"> </w:t>
      </w:r>
      <w:r>
        <w:t xml:space="preserve">1, 2026,</w:t>
      </w:r>
      <w:r>
        <w:t xml:space="preserve"> </w:t>
      </w:r>
      <w:hyperlink r:id="rId153">
        <w:r>
          <w:rPr>
            <w:rStyle w:val="Hyperlink"/>
          </w:rPr>
          <w:t xml:space="preserve">https://www.upguard.com/blog/third-party-risk-management</w:t>
        </w:r>
      </w:hyperlink>
    </w:p>
    <w:p>
      <w:pPr>
        <w:numPr>
          <w:ilvl w:val="0"/>
          <w:numId w:val="1037"/>
        </w:numPr>
      </w:pPr>
      <w:r>
        <w:t xml:space="preserve">Vendor Security Questionnaire (VRAQ) Best Practices, accessed March</w:t>
      </w:r>
      <w:r>
        <w:t xml:space="preserve"> </w:t>
      </w:r>
      <w:r>
        <w:t xml:space="preserve">1, 2026,</w:t>
      </w:r>
      <w:r>
        <w:t xml:space="preserve"> </w:t>
      </w:r>
      <w:hyperlink r:id="rId154">
        <w:r>
          <w:rPr>
            <w:rStyle w:val="Hyperlink"/>
          </w:rPr>
          <w:t xml:space="preserve">https://safe.security/resources/blog/vendor-security-questionnaire-vraq-best-practices/</w:t>
        </w:r>
      </w:hyperlink>
    </w:p>
    <w:p>
      <w:pPr>
        <w:numPr>
          <w:ilvl w:val="0"/>
          <w:numId w:val="1037"/>
        </w:numPr>
      </w:pPr>
      <w:r>
        <w:t xml:space="preserve">Third-Party Risk Management 101: Guiding Principles - AuditBoard,</w:t>
      </w:r>
      <w:r>
        <w:t xml:space="preserve"> </w:t>
      </w:r>
      <w:r>
        <w:t xml:space="preserve">accessed March 1, 2026,</w:t>
      </w:r>
      <w:r>
        <w:t xml:space="preserve"> </w:t>
      </w:r>
      <w:hyperlink r:id="rId155">
        <w:r>
          <w:rPr>
            <w:rStyle w:val="Hyperlink"/>
          </w:rPr>
          <w:t xml:space="preserve">https://auditboard.com/blog/third-party-risk-management-101</w:t>
        </w:r>
      </w:hyperlink>
    </w:p>
    <w:p>
      <w:pPr>
        <w:numPr>
          <w:ilvl w:val="0"/>
          <w:numId w:val="1037"/>
        </w:numPr>
      </w:pPr>
      <w:r>
        <w:t xml:space="preserve">Third-Party Risk Management for AI: A Governance-First Approach -</w:t>
      </w:r>
      <w:r>
        <w:t xml:space="preserve"> </w:t>
      </w:r>
      <w:r>
        <w:t xml:space="preserve">Credo AI, accessed March 1, 2026,</w:t>
      </w:r>
      <w:r>
        <w:t xml:space="preserve"> </w:t>
      </w:r>
      <w:hyperlink r:id="rId156">
        <w:r>
          <w:rPr>
            <w:rStyle w:val="Hyperlink"/>
          </w:rPr>
          <w:t xml:space="preserve">https://www.credo.ai/blog/third-party-risk-management-for-ai-a-governance-first-approach</w:t>
        </w:r>
      </w:hyperlink>
    </w:p>
    <w:p>
      <w:pPr>
        <w:numPr>
          <w:ilvl w:val="0"/>
          <w:numId w:val="1037"/>
        </w:numPr>
      </w:pPr>
      <w:r>
        <w:t xml:space="preserve">While the Industry Debates Whether to Unify Cybersecurity and AI</w:t>
      </w:r>
      <w:r>
        <w:t xml:space="preserve"> </w:t>
      </w:r>
      <w:r>
        <w:t xml:space="preserve">Governance, VectorCertain Has Already Done It, accessed March 1,</w:t>
      </w:r>
      <w:r>
        <w:t xml:space="preserve"> </w:t>
      </w:r>
      <w:r>
        <w:t xml:space="preserve">2026,</w:t>
      </w:r>
      <w:r>
        <w:t xml:space="preserve"> </w:t>
      </w:r>
      <w:hyperlink r:id="rId157">
        <w:r>
          <w:rPr>
            <w:rStyle w:val="Hyperlink"/>
          </w:rPr>
          <w:t xml:space="preserve">https://www.mexc.com/en-GB/news/815531</w:t>
        </w:r>
      </w:hyperlink>
    </w:p>
    <w:p>
      <w:pPr>
        <w:numPr>
          <w:ilvl w:val="0"/>
          <w:numId w:val="1037"/>
        </w:numPr>
      </w:pPr>
      <w:r>
        <w:t xml:space="preserve">Financial Services AI Risk Management Framework – Cyber Risk ...,</w:t>
      </w:r>
      <w:r>
        <w:t xml:space="preserve"> </w:t>
      </w:r>
      <w:r>
        <w:t xml:space="preserve">accessed March 1, 2026,</w:t>
      </w:r>
      <w:r>
        <w:t xml:space="preserve"> </w:t>
      </w:r>
      <w:hyperlink r:id="rId158">
        <w:r>
          <w:rPr>
            <w:rStyle w:val="Hyperlink"/>
          </w:rPr>
          <w:t xml:space="preserve">https://cyberriskinstitute.org/artificial-intelligence-risk-management/</w:t>
        </w:r>
      </w:hyperlink>
    </w:p>
    <w:p>
      <w:pPr>
        <w:numPr>
          <w:ilvl w:val="0"/>
          <w:numId w:val="1037"/>
        </w:numPr>
      </w:pPr>
      <w:r>
        <w:t xml:space="preserve">NIST AI Risk Management Framework 1.0 | Consulting Services - RSI</w:t>
      </w:r>
      <w:r>
        <w:t xml:space="preserve"> </w:t>
      </w:r>
      <w:r>
        <w:t xml:space="preserve">Security, accessed March 1, 2026,</w:t>
      </w:r>
      <w:r>
        <w:t xml:space="preserve"> </w:t>
      </w:r>
      <w:hyperlink r:id="rId159">
        <w:r>
          <w:rPr>
            <w:rStyle w:val="Hyperlink"/>
          </w:rPr>
          <w:t xml:space="preserve">https://www.rsisecurity.com/nist-ai-risk-management/</w:t>
        </w:r>
      </w:hyperlink>
    </w:p>
    <w:p>
      <w:pPr>
        <w:numPr>
          <w:ilvl w:val="0"/>
          <w:numId w:val="1037"/>
        </w:numPr>
      </w:pPr>
      <w:r>
        <w:t xml:space="preserve">AI Risk Management | Deloitte US, accessed March 1, 2026,</w:t>
      </w:r>
      <w:r>
        <w:t xml:space="preserve"> </w:t>
      </w:r>
      <w:hyperlink r:id="rId160">
        <w:r>
          <w:rPr>
            <w:rStyle w:val="Hyperlink"/>
          </w:rPr>
          <w:t xml:space="preserve">https://www.deloitte.com/us/en/what-we-do/capabilities/applied-artificial-intelligence/articles/ai-risk-management.html</w:t>
        </w:r>
      </w:hyperlink>
    </w:p>
    <w:p>
      <w:pPr>
        <w:numPr>
          <w:ilvl w:val="0"/>
          <w:numId w:val="1037"/>
        </w:numPr>
      </w:pPr>
      <w:r>
        <w:t xml:space="preserve">Financial Services AI Risk Management Framework: Operationalizing</w:t>
      </w:r>
      <w:r>
        <w:t xml:space="preserve"> </w:t>
      </w:r>
      <w:r>
        <w:t xml:space="preserve">the 230 Control Objectives Before the Market Wakes Up - Lowenstein</w:t>
      </w:r>
      <w:r>
        <w:t xml:space="preserve"> </w:t>
      </w:r>
      <w:r>
        <w:t xml:space="preserve">Sandler LLP, accessed March 1, 2026,</w:t>
      </w:r>
      <w:r>
        <w:t xml:space="preserve"> </w:t>
      </w:r>
      <w:hyperlink r:id="rId161">
        <w:r>
          <w:rPr>
            <w:rStyle w:val="Hyperlink"/>
          </w:rPr>
          <w:t xml:space="preserve">https://www.lowenstein.com/news-insights/publications/client-alerts/financial-services-ai-risk-management-framework-operationalizing-the-230-control-objectives-before-the-market-wakes-up-data-privacy</w:t>
        </w:r>
      </w:hyperlink>
    </w:p>
    <w:p>
      <w:pPr>
        <w:numPr>
          <w:ilvl w:val="0"/>
          <w:numId w:val="1037"/>
        </w:numPr>
      </w:pPr>
      <w:r>
        <w:t xml:space="preserve">Interagency Guidance on Third-Party Relationships: Risk Management -</w:t>
      </w:r>
      <w:r>
        <w:t xml:space="preserve"> </w:t>
      </w:r>
      <w:r>
        <w:t xml:space="preserve">FDIC Archive, accessed March 1, 2026,</w:t>
      </w:r>
      <w:r>
        <w:t xml:space="preserve"> </w:t>
      </w:r>
      <w:hyperlink r:id="rId162">
        <w:r>
          <w:rPr>
            <w:rStyle w:val="Hyperlink"/>
          </w:rPr>
          <w:t xml:space="preserve">https://archive.fdic.gov/view/fdic/15465</w:t>
        </w:r>
      </w:hyperlink>
    </w:p>
    <w:p>
      <w:pPr>
        <w:numPr>
          <w:ilvl w:val="0"/>
          <w:numId w:val="1037"/>
        </w:numPr>
      </w:pPr>
      <w:r>
        <w:t xml:space="preserve">Interagency Guidance on Third-Party Relationships: Risk Management</w:t>
      </w:r>
      <w:r>
        <w:t xml:space="preserve"> </w:t>
      </w:r>
      <w:r>
        <w:t xml:space="preserve">| FDIC.gov, accessed March 1, 2026,</w:t>
      </w:r>
      <w:r>
        <w:t xml:space="preserve"> </w:t>
      </w:r>
      <w:hyperlink r:id="rId163">
        <w:r>
          <w:rPr>
            <w:rStyle w:val="Hyperlink"/>
          </w:rPr>
          <w:t xml:space="preserve">https://www.fdic.gov/news/financial-institution-letters/2023/fil23029.html</w:t>
        </w:r>
      </w:hyperlink>
    </w:p>
    <w:p>
      <w:pPr>
        <w:numPr>
          <w:ilvl w:val="0"/>
          <w:numId w:val="1037"/>
        </w:numPr>
      </w:pPr>
      <w:r>
        <w:t xml:space="preserve">Interagency Guidance for Bank Risk Management of Third-Party</w:t>
      </w:r>
      <w:r>
        <w:t xml:space="preserve"> </w:t>
      </w:r>
      <w:r>
        <w:t xml:space="preserve">Relationships, accessed March 1, 2026,</w:t>
      </w:r>
      <w:r>
        <w:t xml:space="preserve"> </w:t>
      </w:r>
      <w:hyperlink r:id="rId164">
        <w:r>
          <w:rPr>
            <w:rStyle w:val="Hyperlink"/>
          </w:rPr>
          <w:t xml:space="preserve">https://www.hunton.com/insights/legal/interagency-guidance-for-bank-risk-management-of-third-party-relationships</w:t>
        </w:r>
      </w:hyperlink>
    </w:p>
    <w:p>
      <w:pPr>
        <w:numPr>
          <w:ilvl w:val="0"/>
          <w:numId w:val="1037"/>
        </w:numPr>
      </w:pPr>
      <w:r>
        <w:t xml:space="preserve">Interagency Guidance for Bank Risk Management of Third-Party</w:t>
      </w:r>
      <w:r>
        <w:t xml:space="preserve"> </w:t>
      </w:r>
      <w:r>
        <w:t xml:space="preserve">Relationships - ICBA.org, accessed March 1, 2026,</w:t>
      </w:r>
      <w:r>
        <w:t xml:space="preserve"> </w:t>
      </w:r>
      <w:hyperlink r:id="rId165">
        <w:r>
          <w:rPr>
            <w:rStyle w:val="Hyperlink"/>
          </w:rPr>
          <w:t xml:space="preserve">https://www.icba.org/w/interagency-guidance-for-bank-risk-management-of-third-party-relationships</w:t>
        </w:r>
      </w:hyperlink>
    </w:p>
    <w:p>
      <w:pPr>
        <w:numPr>
          <w:ilvl w:val="0"/>
          <w:numId w:val="1037"/>
        </w:numPr>
      </w:pPr>
      <w:r>
        <w:t xml:space="preserve">Third party risk management 101 I CoreStream GRC, accessed March 1,</w:t>
      </w:r>
      <w:r>
        <w:t xml:space="preserve"> </w:t>
      </w:r>
      <w:r>
        <w:t xml:space="preserve">2026,</w:t>
      </w:r>
      <w:r>
        <w:t xml:space="preserve"> </w:t>
      </w:r>
      <w:hyperlink r:id="rId166">
        <w:r>
          <w:rPr>
            <w:rStyle w:val="Hyperlink"/>
          </w:rPr>
          <w:t xml:space="preserve">https://corestreamgrc.com/resources/blog/third-party-risk-management-step-by-step-guide/</w:t>
        </w:r>
      </w:hyperlink>
    </w:p>
    <w:p>
      <w:pPr>
        <w:numPr>
          <w:ilvl w:val="0"/>
          <w:numId w:val="1037"/>
        </w:numPr>
      </w:pPr>
      <w:r>
        <w:t xml:space="preserve">Third-Party Risk Management (TPRM): A Complete Guide - Gartner,</w:t>
      </w:r>
      <w:r>
        <w:t xml:space="preserve"> </w:t>
      </w:r>
      <w:r>
        <w:t xml:space="preserve">accessed March 1, 2026,</w:t>
      </w:r>
      <w:r>
        <w:t xml:space="preserve"> </w:t>
      </w:r>
      <w:hyperlink r:id="rId167">
        <w:r>
          <w:rPr>
            <w:rStyle w:val="Hyperlink"/>
          </w:rPr>
          <w:t xml:space="preserve">https://www.gartner.com/en/legal-compliance/topics/third-party-risk-management-tprm</w:t>
        </w:r>
      </w:hyperlink>
    </w:p>
    <w:p>
      <w:pPr>
        <w:numPr>
          <w:ilvl w:val="0"/>
          <w:numId w:val="1037"/>
        </w:numPr>
      </w:pPr>
      <w:r>
        <w:t xml:space="preserve">The Third-Party Vendor Risk Management Lifecycle: The Definitive</w:t>
      </w:r>
      <w:r>
        <w:t xml:space="preserve"> </w:t>
      </w:r>
      <w:r>
        <w:t xml:space="preserve">Guide | Mitratech, accessed March 1, 2026,</w:t>
      </w:r>
      <w:r>
        <w:t xml:space="preserve"> </w:t>
      </w:r>
      <w:hyperlink r:id="rId168">
        <w:r>
          <w:rPr>
            <w:rStyle w:val="Hyperlink"/>
          </w:rPr>
          <w:t xml:space="preserve">https://mitratech.com/resource-hub/blog/third-party-vendor-risk-management-lifecycle/</w:t>
        </w:r>
      </w:hyperlink>
    </w:p>
    <w:p>
      <w:pPr>
        <w:numPr>
          <w:ilvl w:val="0"/>
          <w:numId w:val="1037"/>
        </w:numPr>
      </w:pPr>
      <w:r>
        <w:t xml:space="preserve">A Complete Guide to Third Party Risk Management (TPRM) - BitSight</w:t>
      </w:r>
      <w:r>
        <w:t xml:space="preserve"> </w:t>
      </w:r>
      <w:r>
        <w:t xml:space="preserve">Technologies, accessed March 1, 2026,</w:t>
      </w:r>
      <w:r>
        <w:t xml:space="preserve"> </w:t>
      </w:r>
      <w:hyperlink r:id="rId169">
        <w:r>
          <w:rPr>
            <w:rStyle w:val="Hyperlink"/>
          </w:rPr>
          <w:t xml:space="preserve">https://www.bitsight.com/blog/ultimate-guide-tprm-what-third-party-risk-management</w:t>
        </w:r>
      </w:hyperlink>
    </w:p>
    <w:p>
      <w:pPr>
        <w:numPr>
          <w:ilvl w:val="0"/>
          <w:numId w:val="1037"/>
        </w:numPr>
      </w:pPr>
      <w:r>
        <w:t xml:space="preserve">TPRM Framework - Key Components &amp; Best Practices | Certa, accessed</w:t>
      </w:r>
      <w:r>
        <w:t xml:space="preserve"> </w:t>
      </w:r>
      <w:r>
        <w:t xml:space="preserve">March 1, 2026,</w:t>
      </w:r>
      <w:r>
        <w:t xml:space="preserve"> </w:t>
      </w:r>
      <w:hyperlink r:id="rId170">
        <w:r>
          <w:rPr>
            <w:rStyle w:val="Hyperlink"/>
          </w:rPr>
          <w:t xml:space="preserve">https://www.certa.ai/blogs/selecting-the-right-tprm-framework-key-components-and-best-practices</w:t>
        </w:r>
      </w:hyperlink>
    </w:p>
    <w:p>
      <w:pPr>
        <w:numPr>
          <w:ilvl w:val="0"/>
          <w:numId w:val="1037"/>
        </w:numPr>
      </w:pPr>
      <w:r>
        <w:t xml:space="preserve">Go/No-Go Decision Process: Steps &amp; Checklist for Projects -</w:t>
      </w:r>
      <w:r>
        <w:t xml:space="preserve"> </w:t>
      </w:r>
      <w:r>
        <w:t xml:space="preserve">Inventive AI, accessed March 1, 2026,</w:t>
      </w:r>
      <w:r>
        <w:t xml:space="preserve"> </w:t>
      </w:r>
      <w:hyperlink r:id="rId171">
        <w:r>
          <w:rPr>
            <w:rStyle w:val="Hyperlink"/>
          </w:rPr>
          <w:t xml:space="preserve">https://www.inventive.ai/blog-posts/go-no-go-decision-projects</w:t>
        </w:r>
      </w:hyperlink>
    </w:p>
    <w:p>
      <w:pPr>
        <w:numPr>
          <w:ilvl w:val="0"/>
          <w:numId w:val="1037"/>
        </w:numPr>
      </w:pPr>
      <w:r>
        <w:t xml:space="preserve">TPRM lifecycle: 7 key phases and the best practices for each |</w:t>
      </w:r>
      <w:r>
        <w:t xml:space="preserve"> </w:t>
      </w:r>
      <w:r>
        <w:t xml:space="preserve">Vanta, accessed March 1, 2026,</w:t>
      </w:r>
      <w:r>
        <w:t xml:space="preserve"> </w:t>
      </w:r>
      <w:hyperlink r:id="rId172">
        <w:r>
          <w:rPr>
            <w:rStyle w:val="Hyperlink"/>
          </w:rPr>
          <w:t xml:space="preserve">https://www.vanta.com/collection/tprm/tprm-lifecycle</w:t>
        </w:r>
      </w:hyperlink>
    </w:p>
    <w:p>
      <w:pPr>
        <w:numPr>
          <w:ilvl w:val="0"/>
          <w:numId w:val="1037"/>
        </w:numPr>
      </w:pPr>
      <w:r>
        <w:t xml:space="preserve">Audit Requirements in Third-Party Risk Management - Captain</w:t>
      </w:r>
      <w:r>
        <w:t xml:space="preserve"> </w:t>
      </w:r>
      <w:r>
        <w:t xml:space="preserve">Compliance, accessed March 1, 2026,</w:t>
      </w:r>
      <w:r>
        <w:t xml:space="preserve"> </w:t>
      </w:r>
      <w:hyperlink r:id="rId173">
        <w:r>
          <w:rPr>
            <w:rStyle w:val="Hyperlink"/>
          </w:rPr>
          <w:t xml:space="preserve">https://captaincompliance.com/education/audit-requirements-in-third-party-risk-management/</w:t>
        </w:r>
      </w:hyperlink>
    </w:p>
    <w:p>
      <w:pPr>
        <w:numPr>
          <w:ilvl w:val="0"/>
          <w:numId w:val="1037"/>
        </w:numPr>
      </w:pPr>
      <w:r>
        <w:t xml:space="preserve">Security Compliance Questionnaires: The Complete Guide For 2026 -</w:t>
      </w:r>
      <w:r>
        <w:t xml:space="preserve"> </w:t>
      </w:r>
      <w:r>
        <w:t xml:space="preserve">Workstreet, accessed March 1, 2026,</w:t>
      </w:r>
      <w:r>
        <w:t xml:space="preserve"> </w:t>
      </w:r>
      <w:hyperlink r:id="rId174">
        <w:r>
          <w:rPr>
            <w:rStyle w:val="Hyperlink"/>
          </w:rPr>
          <w:t xml:space="preserve">https://www.workstreet.com/blog/security-compliance-questionnaires</w:t>
        </w:r>
      </w:hyperlink>
    </w:p>
    <w:p>
      <w:pPr>
        <w:numPr>
          <w:ilvl w:val="0"/>
          <w:numId w:val="1037"/>
        </w:numPr>
      </w:pPr>
      <w:r>
        <w:t xml:space="preserve">Third-party risk management in 2025: How to build a scalable</w:t>
      </w:r>
      <w:r>
        <w:t xml:space="preserve"> </w:t>
      </w:r>
      <w:r>
        <w:t xml:space="preserve">program - Diligent, accessed March 1, 2026,</w:t>
      </w:r>
      <w:r>
        <w:t xml:space="preserve"> </w:t>
      </w:r>
      <w:hyperlink r:id="rId175">
        <w:r>
          <w:rPr>
            <w:rStyle w:val="Hyperlink"/>
          </w:rPr>
          <w:t xml:space="preserve">https://www.diligent.com/resources/guides/third-party-risk-management</w:t>
        </w:r>
      </w:hyperlink>
    </w:p>
    <w:p>
      <w:pPr>
        <w:numPr>
          <w:ilvl w:val="0"/>
          <w:numId w:val="1037"/>
        </w:numPr>
      </w:pPr>
      <w:r>
        <w:t xml:space="preserve">Vendor Onboarding Best Practices: Reducing Risk from Day One -</w:t>
      </w:r>
      <w:r>
        <w:t xml:space="preserve"> </w:t>
      </w:r>
      <w:r>
        <w:t xml:space="preserve">ZenGRC, accessed March 1, 2026,</w:t>
      </w:r>
      <w:r>
        <w:t xml:space="preserve"> </w:t>
      </w:r>
      <w:hyperlink r:id="rId176">
        <w:r>
          <w:rPr>
            <w:rStyle w:val="Hyperlink"/>
          </w:rPr>
          <w:t xml:space="preserve">https://www.zengrc.com/blog/vendor-onboarding-best-practices-reducing-risk-from-day-one/</w:t>
        </w:r>
      </w:hyperlink>
    </w:p>
    <w:p>
      <w:pPr>
        <w:numPr>
          <w:ilvl w:val="0"/>
          <w:numId w:val="1037"/>
        </w:numPr>
      </w:pPr>
      <w:r>
        <w:t xml:space="preserve">Best Third-Party Risk Management Technology Solutions Reviews 2026</w:t>
      </w:r>
      <w:r>
        <w:t xml:space="preserve"> </w:t>
      </w:r>
      <w:r>
        <w:t xml:space="preserve">| Gartner Peer Insights, accessed March 1, 2026,</w:t>
      </w:r>
      <w:r>
        <w:t xml:space="preserve"> </w:t>
      </w:r>
      <w:hyperlink r:id="rId177">
        <w:r>
          <w:rPr>
            <w:rStyle w:val="Hyperlink"/>
          </w:rPr>
          <w:t xml:space="preserve">https://www.gartner.com/reviews/market/third-party-risk-management-technology-solutions</w:t>
        </w:r>
      </w:hyperlink>
    </w:p>
    <w:p>
      <w:pPr>
        <w:numPr>
          <w:ilvl w:val="0"/>
          <w:numId w:val="1037"/>
        </w:numPr>
      </w:pPr>
      <w:r>
        <w:t xml:space="preserve">Enhanced Due Diligence Platform | Mitigate Business Risk, accessed</w:t>
      </w:r>
      <w:r>
        <w:t xml:space="preserve"> </w:t>
      </w:r>
      <w:r>
        <w:t xml:space="preserve">March 1, 2026,</w:t>
      </w:r>
      <w:r>
        <w:t xml:space="preserve"> </w:t>
      </w:r>
      <w:hyperlink r:id="rId178">
        <w:r>
          <w:rPr>
            <w:rStyle w:val="Hyperlink"/>
          </w:rPr>
          <w:t xml:space="preserve">https://www.neotas.com/</w:t>
        </w:r>
      </w:hyperlink>
    </w:p>
    <w:p>
      <w:pPr>
        <w:numPr>
          <w:ilvl w:val="0"/>
          <w:numId w:val="1037"/>
        </w:numPr>
      </w:pPr>
      <w:r>
        <w:t xml:space="preserve">4 AI Agents, 94% Efficiency Gain: Pioneering Agentic Third-Party</w:t>
      </w:r>
      <w:r>
        <w:t xml:space="preserve"> </w:t>
      </w:r>
      <w:r>
        <w:t xml:space="preserve">..., accessed March 1, 2026,</w:t>
      </w:r>
      <w:r>
        <w:t xml:space="preserve"> </w:t>
      </w:r>
      <w:hyperlink r:id="rId179">
        <w:r>
          <w:rPr>
            <w:rStyle w:val="Hyperlink"/>
          </w:rPr>
          <w:t xml:space="preserve">https://www.treasuredata.com/blog/agentic-tprm</w:t>
        </w:r>
      </w:hyperlink>
    </w:p>
    <w:p>
      <w:pPr>
        <w:numPr>
          <w:ilvl w:val="0"/>
          <w:numId w:val="1037"/>
        </w:numPr>
      </w:pPr>
      <w:r>
        <w:t xml:space="preserve">Understanding TPRM Compliance: A Comprehensive Guide - Mitratech,</w:t>
      </w:r>
      <w:r>
        <w:t xml:space="preserve"> </w:t>
      </w:r>
      <w:r>
        <w:t xml:space="preserve">accessed March 1, 2026,</w:t>
      </w:r>
      <w:r>
        <w:t xml:space="preserve"> </w:t>
      </w:r>
      <w:hyperlink r:id="rId180">
        <w:r>
          <w:rPr>
            <w:rStyle w:val="Hyperlink"/>
          </w:rPr>
          <w:t xml:space="preserve">https://mitratech.com/resource-hub/blog/understanding-tprm-compliance-a-comprehensive-guide/</w:t>
        </w:r>
      </w:hyperlink>
    </w:p>
    <w:p>
      <w:pPr>
        <w:numPr>
          <w:ilvl w:val="0"/>
          <w:numId w:val="1037"/>
        </w:numPr>
      </w:pPr>
      <w:r>
        <w:t xml:space="preserve">SP 800-53 Rev. 5, Security and Privacy Controls for Information</w:t>
      </w:r>
      <w:r>
        <w:t xml:space="preserve"> </w:t>
      </w:r>
      <w:r>
        <w:t xml:space="preserve">Systems and Organizations | CSRC - National Institute of Standards</w:t>
      </w:r>
      <w:r>
        <w:t xml:space="preserve"> </w:t>
      </w:r>
      <w:r>
        <w:t xml:space="preserve">and Technology, accessed March 1, 2026,</w:t>
      </w:r>
      <w:r>
        <w:t xml:space="preserve"> </w:t>
      </w:r>
      <w:hyperlink r:id="rId181">
        <w:r>
          <w:rPr>
            <w:rStyle w:val="Hyperlink"/>
          </w:rPr>
          <w:t xml:space="preserve">https://csrc.nist.gov/pubs/sp/800/53/r5/upd1/final</w:t>
        </w:r>
      </w:hyperlink>
    </w:p>
    <w:p>
      <w:pPr>
        <w:numPr>
          <w:ilvl w:val="0"/>
          <w:numId w:val="1037"/>
        </w:numPr>
      </w:pPr>
      <w:r>
        <w:t xml:space="preserve">10 Steps to Streamline Governance and Oversight in TPRM |</w:t>
      </w:r>
      <w:r>
        <w:t xml:space="preserve"> </w:t>
      </w:r>
      <w:r>
        <w:t xml:space="preserve">Mitratech, accessed March 1, 2026,</w:t>
      </w:r>
      <w:r>
        <w:t xml:space="preserve"> </w:t>
      </w:r>
      <w:hyperlink r:id="rId182">
        <w:r>
          <w:rPr>
            <w:rStyle w:val="Hyperlink"/>
          </w:rPr>
          <w:t xml:space="preserve">https://mitratech.com/resource-hub/blog/third-party-risk-governance-oversight/</w:t>
        </w:r>
      </w:hyperlink>
    </w:p>
    <w:p>
      <w:pPr>
        <w:numPr>
          <w:ilvl w:val="0"/>
          <w:numId w:val="1037"/>
        </w:numPr>
      </w:pPr>
      <w:r>
        <w:t xml:space="preserve">Evaluating Third-Party Risk Management Software for Financial</w:t>
      </w:r>
      <w:r>
        <w:t xml:space="preserve"> </w:t>
      </w:r>
      <w:r>
        <w:t xml:space="preserve">Services - Venminder, accessed March 1, 2026,</w:t>
      </w:r>
      <w:r>
        <w:t xml:space="preserve"> </w:t>
      </w:r>
      <w:hyperlink r:id="rId183">
        <w:r>
          <w:rPr>
            <w:rStyle w:val="Hyperlink"/>
          </w:rPr>
          <w:t xml:space="preserve">https://www.venminder.com/blog/evaluating-third-party-risk-management-software-financial-services</w:t>
        </w:r>
      </w:hyperlink>
    </w:p>
    <w:p>
      <w:pPr>
        <w:numPr>
          <w:ilvl w:val="0"/>
          <w:numId w:val="1037"/>
        </w:numPr>
      </w:pPr>
      <w:r>
        <w:t xml:space="preserve">Third-Party Risk Management Application | LogicGate Risk Cloud,</w:t>
      </w:r>
      <w:r>
        <w:t xml:space="preserve"> </w:t>
      </w:r>
      <w:r>
        <w:t xml:space="preserve">accessed March 1, 2026,</w:t>
      </w:r>
      <w:r>
        <w:t xml:space="preserve"> </w:t>
      </w:r>
      <w:hyperlink r:id="rId184">
        <w:r>
          <w:rPr>
            <w:rStyle w:val="Hyperlink"/>
          </w:rPr>
          <w:t xml:space="preserve">https://www.logicgate.com/platform/applications/third-party-risk-management-application/</w:t>
        </w:r>
      </w:hyperlink>
    </w:p>
    <w:p>
      <w:pPr>
        <w:numPr>
          <w:ilvl w:val="0"/>
          <w:numId w:val="1037"/>
        </w:numPr>
      </w:pPr>
      <w:r>
        <w:t xml:space="preserve">Automated Vendor Risk Assessments: From Questionnaires to</w:t>
      </w:r>
      <w:r>
        <w:t xml:space="preserve"> </w:t>
      </w:r>
      <w:r>
        <w:t xml:space="preserve">Intelligence - Panorays, accessed March 1, 2026,</w:t>
      </w:r>
      <w:r>
        <w:t xml:space="preserve"> </w:t>
      </w:r>
      <w:hyperlink r:id="rId185">
        <w:r>
          <w:rPr>
            <w:rStyle w:val="Hyperlink"/>
          </w:rPr>
          <w:t xml:space="preserve">https://panorays.com/blog/automated-vendor-risk-assessments-for-tpcrm/</w:t>
        </w:r>
      </w:hyperlink>
    </w:p>
    <w:p>
      <w:pPr>
        <w:numPr>
          <w:ilvl w:val="0"/>
          <w:numId w:val="1037"/>
        </w:numPr>
      </w:pPr>
      <w:r>
        <w:t xml:space="preserve">AI in TPRM: Evaluation Guide for Risk Managers - Atlas Systems,</w:t>
      </w:r>
      <w:r>
        <w:t xml:space="preserve"> </w:t>
      </w:r>
      <w:r>
        <w:t xml:space="preserve">accessed March 1, 2026,</w:t>
      </w:r>
      <w:r>
        <w:t xml:space="preserve"> </w:t>
      </w:r>
      <w:hyperlink r:id="rId186">
        <w:r>
          <w:rPr>
            <w:rStyle w:val="Hyperlink"/>
          </w:rPr>
          <w:t xml:space="preserve">https://www.atlassystems.com/complyscore/ai-tprm/ai-for-third-party-risk-managers</w:t>
        </w:r>
      </w:hyperlink>
    </w:p>
    <w:p>
      <w:pPr>
        <w:numPr>
          <w:ilvl w:val="0"/>
          <w:numId w:val="1037"/>
        </w:numPr>
      </w:pPr>
      <w:r>
        <w:t xml:space="preserve">How AI Is Transforming Third-Party Risk Management Workflows -</w:t>
      </w:r>
      <w:r>
        <w:t xml:space="preserve"> </w:t>
      </w:r>
      <w:r>
        <w:t xml:space="preserve">Panorays, accessed March 1, 2026,</w:t>
      </w:r>
      <w:r>
        <w:t xml:space="preserve"> </w:t>
      </w:r>
      <w:hyperlink r:id="rId187">
        <w:r>
          <w:rPr>
            <w:rStyle w:val="Hyperlink"/>
          </w:rPr>
          <w:t xml:space="preserve">https://panorays.com/blog/ai-in-third-party-risk-management/</w:t>
        </w:r>
      </w:hyperlink>
    </w:p>
    <w:p>
      <w:pPr>
        <w:numPr>
          <w:ilvl w:val="0"/>
          <w:numId w:val="1037"/>
        </w:numPr>
      </w:pPr>
      <w:r>
        <w:t xml:space="preserve">Reimagining Enterprise Delivery with Autonomous AI Agents -</w:t>
      </w:r>
      <w:r>
        <w:t xml:space="preserve"> </w:t>
      </w:r>
      <w:r>
        <w:t xml:space="preserve">RTInsights, accessed March 1, 2026,</w:t>
      </w:r>
      <w:r>
        <w:t xml:space="preserve"> </w:t>
      </w:r>
      <w:hyperlink r:id="rId188">
        <w:r>
          <w:rPr>
            <w:rStyle w:val="Hyperlink"/>
          </w:rPr>
          <w:t xml:space="preserve">https://www.rtinsights.com/reimagining-enterprise-delivery-with-autonomous-ai-agents/</w:t>
        </w:r>
      </w:hyperlink>
    </w:p>
    <w:p>
      <w:pPr>
        <w:numPr>
          <w:ilvl w:val="0"/>
          <w:numId w:val="1037"/>
        </w:numPr>
      </w:pPr>
      <w:r>
        <w:t xml:space="preserve">Risk Scoring Agent | AI Agents for Risk Assessment and Mitigation -</w:t>
      </w:r>
      <w:r>
        <w:t xml:space="preserve"> </w:t>
      </w:r>
      <w:r>
        <w:t xml:space="preserve">ZBrain, accessed March 1, 2026,</w:t>
      </w:r>
      <w:r>
        <w:t xml:space="preserve"> </w:t>
      </w:r>
      <w:hyperlink r:id="rId189">
        <w:r>
          <w:rPr>
            <w:rStyle w:val="Hyperlink"/>
          </w:rPr>
          <w:t xml:space="preserve">https://zbrain.ai/agents/Legal/all/Risk-Assessment-and-Mitigation/risk-scoring-agent/</w:t>
        </w:r>
      </w:hyperlink>
    </w:p>
    <w:p>
      <w:pPr>
        <w:numPr>
          <w:ilvl w:val="0"/>
          <w:numId w:val="1037"/>
        </w:numPr>
      </w:pPr>
      <w:r>
        <w:t xml:space="preserve">Your AI Guide for Third-Party Risk Management - Whistic, accessed</w:t>
      </w:r>
      <w:r>
        <w:t xml:space="preserve"> </w:t>
      </w:r>
      <w:r>
        <w:t xml:space="preserve">March 1, 2026,</w:t>
      </w:r>
      <w:r>
        <w:t xml:space="preserve"> </w:t>
      </w:r>
      <w:hyperlink r:id="rId190">
        <w:r>
          <w:rPr>
            <w:rStyle w:val="Hyperlink"/>
          </w:rPr>
          <w:t xml:space="preserve">https://www.whistic.com/whistic-ai-guide-for-third-party-risk-management</w:t>
        </w:r>
      </w:hyperlink>
    </w:p>
    <w:p>
      <w:pPr>
        <w:numPr>
          <w:ilvl w:val="0"/>
          <w:numId w:val="1037"/>
        </w:numPr>
      </w:pPr>
      <w:r>
        <w:t xml:space="preserve">11 Best Third Party Risk Management Tools(TPRM Tools) in 2026 -</w:t>
      </w:r>
      <w:r>
        <w:t xml:space="preserve"> </w:t>
      </w:r>
      <w:r>
        <w:t xml:space="preserve">SignalX, accessed March 1, 2026,</w:t>
      </w:r>
      <w:r>
        <w:t xml:space="preserve"> </w:t>
      </w:r>
      <w:hyperlink r:id="rId191">
        <w:r>
          <w:rPr>
            <w:rStyle w:val="Hyperlink"/>
          </w:rPr>
          <w:t xml:space="preserve">https://signalx.ai/11-best-tools-for-third-party-risk-management/</w:t>
        </w:r>
      </w:hyperlink>
    </w:p>
    <w:bookmarkEnd w:id="192"/>
    <w:bookmarkEnd w:id="193"/>
    <w:bookmarkStart w:id="194" w:name="sources-from-integrated-framework"/>
    <w:p>
      <w:pPr>
        <w:pStyle w:val="Heading3"/>
      </w:pPr>
      <w:r>
        <w:t xml:space="preserve">Sources from Integrated Framework</w:t>
      </w:r>
    </w:p>
    <w:bookmarkEnd w:id="194"/>
    <w:bookmarkStart w:id="195" w:name="references-and-works-cited"/>
    <w:p>
      <w:pPr>
        <w:pStyle w:val="Heading3"/>
      </w:pPr>
      <w:r>
        <w:t xml:space="preserve">10. References and Works Cited</w:t>
      </w:r>
    </w:p>
    <w:p>
      <w:pPr>
        <w:pStyle w:val="FirstParagraph"/>
      </w:pPr>
      <w:r>
        <w:t xml:space="preserve">The following sources inform the TPRM framework, regulatory alignment,</w:t>
      </w:r>
      <w:r>
        <w:t xml:space="preserve"> </w:t>
      </w:r>
      <w:r>
        <w:t xml:space="preserve">and best-practice benchmarks incorporated throughout this document:</w:t>
      </w:r>
    </w:p>
    <w:p>
      <w:pPr>
        <w:pStyle w:val="BodyText"/>
      </w:pPr>
      <w:r>
        <w:t xml:space="preserve">1. TPRM Lifecycle Guide with Examples and Framework Integration -</w:t>
      </w:r>
      <w:r>
        <w:t xml:space="preserve"> </w:t>
      </w:r>
      <w:r>
        <w:t xml:space="preserve">UpGuard</w:t>
      </w:r>
    </w:p>
    <w:p>
      <w:pPr>
        <w:pStyle w:val="BodyText"/>
      </w:pPr>
      <w:r>
        <w:t xml:space="preserve">2. Reimagining Third-Party Risk in an Agentic AI World - Ballistic</w:t>
      </w:r>
      <w:r>
        <w:t xml:space="preserve"> </w:t>
      </w:r>
      <w:r>
        <w:t xml:space="preserve">Ventures</w:t>
      </w:r>
    </w:p>
    <w:p>
      <w:pPr>
        <w:pStyle w:val="BodyText"/>
      </w:pPr>
      <w:r>
        <w:t xml:space="preserve">3. Third-Party Risk Management (TPRM): Guide + Checklist - Asher</w:t>
      </w:r>
      <w:r>
        <w:t xml:space="preserve"> </w:t>
      </w:r>
      <w:r>
        <w:t xml:space="preserve">Security</w:t>
      </w:r>
    </w:p>
    <w:p>
      <w:pPr>
        <w:pStyle w:val="BodyText"/>
      </w:pPr>
      <w:r>
        <w:t xml:space="preserve">4. What is Third Party Risk Management? 2025 Complete Guide - Isora GRC</w:t>
      </w:r>
    </w:p>
    <w:p>
      <w:pPr>
        <w:pStyle w:val="BodyText"/>
      </w:pPr>
      <w:r>
        <w:t xml:space="preserve">5. What Is Third-Party Risk Management (TPRM)? A 2025 Guide - Atlan</w:t>
      </w:r>
    </w:p>
    <w:p>
      <w:pPr>
        <w:pStyle w:val="BodyText"/>
      </w:pPr>
      <w:r>
        <w:t xml:space="preserve">6. What is Third-Party Risk Management (TPRM)? - Panorays</w:t>
      </w:r>
    </w:p>
    <w:p>
      <w:pPr>
        <w:pStyle w:val="BodyText"/>
      </w:pPr>
      <w:r>
        <w:t xml:space="preserve">7. Third Party Risk Management: 6-Step Lifecycle and Best Practices -</w:t>
      </w:r>
      <w:r>
        <w:t xml:space="preserve"> </w:t>
      </w:r>
      <w:r>
        <w:t xml:space="preserve">Venn</w:t>
      </w:r>
    </w:p>
    <w:p>
      <w:pPr>
        <w:pStyle w:val="BodyText"/>
      </w:pPr>
      <w:r>
        <w:t xml:space="preserve">8. TPRM Governance: How Companies Strategically Manage Third-Party</w:t>
      </w:r>
      <w:r>
        <w:t xml:space="preserve"> </w:t>
      </w:r>
      <w:r>
        <w:t xml:space="preserve">Risks - KPMG</w:t>
      </w:r>
    </w:p>
    <w:p>
      <w:pPr>
        <w:pStyle w:val="BodyText"/>
      </w:pPr>
      <w:r>
        <w:t xml:space="preserve">9. Third-Party Risk Management Implementation Roadmap: 6-Step Guide for</w:t>
      </w:r>
      <w:r>
        <w:t xml:space="preserve"> </w:t>
      </w:r>
      <w:r>
        <w:t xml:space="preserve">Enterprises - ProcessUnity</w:t>
      </w:r>
    </w:p>
    <w:p>
      <w:pPr>
        <w:pStyle w:val="BodyText"/>
      </w:pPr>
      <w:r>
        <w:t xml:space="preserve">10. Third-Party Risk Management (TPRM): Final Interagency Guidance -</w:t>
      </w:r>
      <w:r>
        <w:t xml:space="preserve"> </w:t>
      </w:r>
      <w:r>
        <w:t xml:space="preserve">KPMG International</w:t>
      </w:r>
    </w:p>
    <w:p>
      <w:pPr>
        <w:pStyle w:val="BodyText"/>
      </w:pPr>
      <w:r>
        <w:t xml:space="preserve">11. The 6 Third-Party Risk Management (TPRM) Lifecycle Phases - Aravo</w:t>
      </w:r>
    </w:p>
    <w:p>
      <w:pPr>
        <w:pStyle w:val="BodyText"/>
      </w:pPr>
      <w:r>
        <w:t xml:space="preserve">12. The Financial Services TPRM Shortcut: 10 Requirements - Whistic</w:t>
      </w:r>
    </w:p>
    <w:p>
      <w:pPr>
        <w:pStyle w:val="BodyText"/>
      </w:pPr>
      <w:r>
        <w:t xml:space="preserve">13. Third-Party Risk Audit Readiness Checklist: 2026 Compliance Guide -</w:t>
      </w:r>
      <w:r>
        <w:t xml:space="preserve"> </w:t>
      </w:r>
      <w:r>
        <w:t xml:space="preserve">Atlas Systems</w:t>
      </w:r>
    </w:p>
    <w:p>
      <w:pPr>
        <w:pStyle w:val="BodyText"/>
      </w:pPr>
      <w:r>
        <w:t xml:space="preserve">14. Interagency Guidance on Third-Party Relationships - Federal Reserve</w:t>
      </w:r>
    </w:p>
    <w:p>
      <w:pPr>
        <w:pStyle w:val="BodyText"/>
      </w:pPr>
      <w:r>
        <w:t xml:space="preserve">15. Third-Party Risk Management Guideline - Office of the</w:t>
      </w:r>
      <w:r>
        <w:t xml:space="preserve"> </w:t>
      </w:r>
      <w:r>
        <w:t xml:space="preserve">Superintendent of Financial Institutions</w:t>
      </w:r>
    </w:p>
    <w:p>
      <w:pPr>
        <w:pStyle w:val="BodyText"/>
      </w:pPr>
      <w:r>
        <w:t xml:space="preserve">16. From Reactive to Predictive: How AI Is Redefining Third-Party</w:t>
      </w:r>
      <w:r>
        <w:t xml:space="preserve"> </w:t>
      </w:r>
      <w:r>
        <w:t xml:space="preserve">Risk - Exiger</w:t>
      </w:r>
    </w:p>
    <w:p>
      <w:pPr>
        <w:pStyle w:val="BodyText"/>
      </w:pPr>
      <w:r>
        <w:t xml:space="preserve">17. Third-Party Risk Management Guide for 2026 - UpGuard</w:t>
      </w:r>
    </w:p>
    <w:p>
      <w:pPr>
        <w:pStyle w:val="BodyText"/>
      </w:pPr>
      <w:r>
        <w:t xml:space="preserve">18. Third-Party Risk Management 101: Guiding Principles - AuditBoard</w:t>
      </w:r>
    </w:p>
    <w:p>
      <w:pPr>
        <w:pStyle w:val="BodyText"/>
      </w:pPr>
      <w:r>
        <w:t xml:space="preserve">19. Third-Party Risk Management for AI: A Governance-First Approach -</w:t>
      </w:r>
      <w:r>
        <w:t xml:space="preserve"> </w:t>
      </w:r>
      <w:r>
        <w:t xml:space="preserve">Credo AI</w:t>
      </w:r>
    </w:p>
    <w:p>
      <w:pPr>
        <w:pStyle w:val="BodyText"/>
      </w:pPr>
      <w:r>
        <w:t xml:space="preserve">20. While the Industry Debates Whether to Unify Cybersecurity and AI</w:t>
      </w:r>
      <w:r>
        <w:t xml:space="preserve"> </w:t>
      </w:r>
      <w:r>
        <w:t xml:space="preserve">Governance, VectorCertain Has Already Done It - MEXC</w:t>
      </w:r>
    </w:p>
    <w:p>
      <w:pPr>
        <w:pStyle w:val="BodyText"/>
      </w:pPr>
      <w:r>
        <w:t xml:space="preserve">21. Interagency Guidance on Third-Party Relationships: Risk</w:t>
      </w:r>
      <w:r>
        <w:t xml:space="preserve"> </w:t>
      </w:r>
      <w:r>
        <w:t xml:space="preserve">Management - FDIC Archive</w:t>
      </w:r>
    </w:p>
    <w:p>
      <w:pPr>
        <w:pStyle w:val="BodyText"/>
      </w:pPr>
      <w:r>
        <w:t xml:space="preserve">22. Interagency Guidance on Third-Party Relationships: Risk</w:t>
      </w:r>
      <w:r>
        <w:t xml:space="preserve"> </w:t>
      </w:r>
      <w:r>
        <w:t xml:space="preserve">Management - FDIC.gov</w:t>
      </w:r>
    </w:p>
    <w:p>
      <w:pPr>
        <w:pStyle w:val="BodyText"/>
      </w:pPr>
      <w:r>
        <w:t xml:space="preserve">23. Interagency Guidance for Bank Risk Management of Third-Party</w:t>
      </w:r>
      <w:r>
        <w:t xml:space="preserve"> </w:t>
      </w:r>
      <w:r>
        <w:t xml:space="preserve">Relationships - Hunton</w:t>
      </w:r>
    </w:p>
    <w:p>
      <w:pPr>
        <w:pStyle w:val="BodyText"/>
      </w:pPr>
      <w:r>
        <w:t xml:space="preserve">24. Interagency Guidance for Bank Risk Management of Third-Party</w:t>
      </w:r>
      <w:r>
        <w:t xml:space="preserve"> </w:t>
      </w:r>
      <w:r>
        <w:t xml:space="preserve">Relationships - ICBA.org</w:t>
      </w:r>
    </w:p>
    <w:p>
      <w:pPr>
        <w:pStyle w:val="BodyText"/>
      </w:pPr>
      <w:r>
        <w:t xml:space="preserve">25. Third Party Risk Management 101 - CoreStream GRC</w:t>
      </w:r>
    </w:p>
    <w:p>
      <w:pPr>
        <w:pStyle w:val="BodyText"/>
      </w:pPr>
      <w:r>
        <w:t xml:space="preserve">26. Third-Party Risk Management (TPRM): A Complete Guide - Gartner</w:t>
      </w:r>
    </w:p>
    <w:p>
      <w:pPr>
        <w:pStyle w:val="BodyText"/>
      </w:pPr>
      <w:r>
        <w:t xml:space="preserve">27. The Third-Party Vendor Risk Management Lifecycle: The Definitive</w:t>
      </w:r>
      <w:r>
        <w:t xml:space="preserve"> </w:t>
      </w:r>
      <w:r>
        <w:t xml:space="preserve">Guide - Mitratech</w:t>
      </w:r>
    </w:p>
    <w:p>
      <w:pPr>
        <w:pStyle w:val="BodyText"/>
      </w:pPr>
      <w:r>
        <w:t xml:space="preserve">28. TPRM Framework - Key Components and Best Practices - Certa</w:t>
      </w:r>
    </w:p>
    <w:p>
      <w:pPr>
        <w:pStyle w:val="BodyText"/>
      </w:pPr>
      <w:r>
        <w:t xml:space="preserve">29. TPRM Lifecycle: 7 Key Phases and the Best Practices for Each -</w:t>
      </w:r>
      <w:r>
        <w:t xml:space="preserve"> </w:t>
      </w:r>
      <w:r>
        <w:t xml:space="preserve">Vanta</w:t>
      </w:r>
    </w:p>
    <w:p>
      <w:pPr>
        <w:pStyle w:val="BodyText"/>
      </w:pPr>
      <w:r>
        <w:t xml:space="preserve">30. Vendor Security Questionnaire (VRAQ) Best Practices - Safe Security</w:t>
      </w:r>
    </w:p>
    <w:p>
      <w:pPr>
        <w:pStyle w:val="BodyText"/>
      </w:pPr>
      <w:r>
        <w:t xml:space="preserve">31. A Complete Guide to Third Party Risk Management (TPRM) - BitSight</w:t>
      </w:r>
      <w:r>
        <w:t xml:space="preserve"> </w:t>
      </w:r>
      <w:r>
        <w:t xml:space="preserve">Technologies</w:t>
      </w:r>
    </w:p>
    <w:p>
      <w:pPr>
        <w:pStyle w:val="BodyText"/>
      </w:pPr>
      <w:r>
        <w:t xml:space="preserve">32. Understanding TPRM Compliance: A Comprehensive Guide - Mitratech</w:t>
      </w:r>
    </w:p>
    <w:p>
      <w:pPr>
        <w:pStyle w:val="BodyText"/>
      </w:pPr>
      <w:r>
        <w:t xml:space="preserve">33. Financial Services AI Risk Management Framework: Operationalizing</w:t>
      </w:r>
      <w:r>
        <w:t xml:space="preserve"> </w:t>
      </w:r>
      <w:r>
        <w:t xml:space="preserve">the 230 Control Objectives - Lowenstein Sandler LLP</w:t>
      </w:r>
    </w:p>
    <w:p>
      <w:pPr>
        <w:pStyle w:val="BodyText"/>
      </w:pPr>
      <w:r>
        <w:t xml:space="preserve">34. 4 AI Agents, 94% Efficiency Gain: Pioneering Agentic Third-Party</w:t>
      </w:r>
      <w:r>
        <w:t xml:space="preserve"> </w:t>
      </w:r>
      <w:r>
        <w:t xml:space="preserve">Risk - Treasure Data</w:t>
      </w:r>
    </w:p>
    <w:bookmarkEnd w:id="195"/>
    <w:bookmarkEnd w:id="196"/>
    <w:bookmarkEnd w:id="197"/>
    <w:sectPr>
      <w:headerReference r:id="rId6" w:type="default"/>
      <w:footerReference r:id="rId7"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pPr>
    <w:r>
      <w:rPr>
        <w:rFonts w:ascii="Arial" w:cs="Arial" w:eastAsia="Arial" w:hAnsi="Arial"/>
        <w:color w:val="2D2D2D"/>
        <w:sz w:val="16"/>
        <w:szCs w:val="16"/>
      </w:rPr>
      <w:t xml:space="preserve">Internal / Confidential</w:t>
    </w:r>
    <w:r>
      <w:ptab w:alignment="right" w:relativeTo="margin" w:leader="none"/>
    </w:r>
    <w:r>
      <w:rPr>
        <w:rFonts w:ascii="Arial" w:cs="Arial" w:eastAsia="Arial" w:hAnsi="Arial"/>
        <w:color w:val="2D2D2D"/>
        <w:sz w:val="16"/>
        <w:szCs w:val="16"/>
      </w:rPr>
      <w:t xml:space="preserve">Page </w:t>
    </w:r>
    <w:r>
      <w:rPr>
        <w:rFonts w:ascii="Arial" w:cs="Arial" w:eastAsia="Arial" w:hAnsi="Arial"/>
        <w:color w:val="2D2D2D"/>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i/>
        <w:iCs/>
        <w:color w:val="1B3A5C"/>
        <w:sz w:val="16"/>
        <w:szCs w:val="16"/>
      </w:rPr>
      <w:t xml:space="preserve">Enterprise Software Governance  |  Intake-to-Deployment Framework</w:t>
    </w:r>
    <w:r>
      <w:ptab w:alignment="right" w:relativeTo="margin" w:leader="none"/>
    </w:r>
    <w:r>
      <w:rPr>
        <w:rFonts w:ascii="Arial" w:cs="Arial" w:eastAsia="Arial" w:hAnsi="Arial"/>
        <w:i/>
        <w:iCs/>
        <w:color w:val="0D7377"/>
        <w:sz w:val="16"/>
        <w:szCs w:val="16"/>
      </w:rPr>
      <w:t xml:space="preserve">BPMN-Governed  |  DMN-Driven  |  Agent-Ready</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1B3A5C"/>
      <w:sz w:val="36"/>
      <w:szCs w:val="36"/>
    </w:rPr>
  </w:style>
  <w:style w:styleId="Heading2" w:type="paragraph">
    <w:name w:val="Heading 2"/>
    <w:basedOn w:val="Normal"/>
    <w:next w:val="Normal"/>
    <w:qFormat/>
    <w:pPr>
      <w:spacing w:after="120" w:before="300"/>
      <w:outlineLvl w:val="1"/>
    </w:pPr>
    <w:rPr>
      <w:rFonts w:ascii="Arial" w:cs="Arial" w:eastAsia="Arial" w:hAnsi="Arial"/>
      <w:b/>
      <w:bCs/>
      <w:color w:val="2C5F8A"/>
      <w:sz w:val="28"/>
      <w:szCs w:val="28"/>
    </w:rPr>
  </w:style>
  <w:style w:styleId="Heading3" w:type="paragraph">
    <w:name w:val="Heading 3"/>
    <w:basedOn w:val="Normal"/>
    <w:next w:val="Normal"/>
    <w:qFormat/>
    <w:pPr>
      <w:spacing w:after="100" w:before="200"/>
      <w:outlineLvl w:val="2"/>
    </w:pPr>
    <w:rPr>
      <w:rFonts w:ascii="Arial" w:cs="Arial" w:eastAsia="Arial" w:hAnsi="Arial"/>
      <w:b/>
      <w:bCs/>
      <w:color w:val="3B7DD8"/>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6" Target="header1.xml" Type="http://schemas.openxmlformats.org/officeDocument/2006/relationships/header" /><Relationship Id="rId7" Target="footer1.xml" Type="http://schemas.openxmlformats.org/officeDocument/2006/relationships/footer" /><Relationship Type="http://schemas.openxmlformats.org/officeDocument/2006/relationships/hyperlink" Id="rId147" Target="https://aravo.com/blog/six-phases-of-the-tprm-lifecycle/" TargetMode="External" /><Relationship Type="http://schemas.openxmlformats.org/officeDocument/2006/relationships/hyperlink" Id="rId162" Target="https://archive.fdic.gov/view/fdic/15465" TargetMode="External" /><Relationship Type="http://schemas.openxmlformats.org/officeDocument/2006/relationships/hyperlink" Id="rId141" Target="https://atlan.com/know/data-governance/third-party-risk-management/" TargetMode="External" /><Relationship Type="http://schemas.openxmlformats.org/officeDocument/2006/relationships/hyperlink" Id="rId155" Target="https://auditboard.com/blog/third-party-risk-management-101" TargetMode="External" /><Relationship Type="http://schemas.openxmlformats.org/officeDocument/2006/relationships/hyperlink" Id="rId138" Target="https://ballisticventures.com/event/reimagining-third-party-risk-in-an-agentic-ai-world/" TargetMode="External" /><Relationship Type="http://schemas.openxmlformats.org/officeDocument/2006/relationships/hyperlink" Id="rId173" Target="https://captaincompliance.com/education/audit-requirements-in-third-party-risk-management/" TargetMode="External" /><Relationship Type="http://schemas.openxmlformats.org/officeDocument/2006/relationships/hyperlink" Id="rId166" Target="https://corestreamgrc.com/resources/blog/third-party-risk-management-step-by-step-guide/" TargetMode="External" /><Relationship Type="http://schemas.openxmlformats.org/officeDocument/2006/relationships/hyperlink" Id="rId181" Target="https://csrc.nist.gov/pubs/sp/800/53/r5/upd1/final" TargetMode="External" /><Relationship Type="http://schemas.openxmlformats.org/officeDocument/2006/relationships/hyperlink" Id="rId158" Target="https://cyberriskinstitute.org/artificial-intelligence-risk-management/" TargetMode="External" /><Relationship Type="http://schemas.openxmlformats.org/officeDocument/2006/relationships/hyperlink" Id="rId144" Target="https://kpmg.com/de/en/services/audit/regulatory-advisory/tprm-governance-how-companies-strategically-manage-third-party-risks.html" TargetMode="External" /><Relationship Type="http://schemas.openxmlformats.org/officeDocument/2006/relationships/hyperlink" Id="rId146" Target="https://kpmg.com/us/en/articles/2023/third-party-risk-management-final-interagency-guidance-reg-alert.html" TargetMode="External" /><Relationship Type="http://schemas.openxmlformats.org/officeDocument/2006/relationships/hyperlink" Id="rId182" Target="https://mitratech.com/resource-hub/blog/third-party-risk-governance-oversight/" TargetMode="External" /><Relationship Type="http://schemas.openxmlformats.org/officeDocument/2006/relationships/hyperlink" Id="rId168" Target="https://mitratech.com/resource-hub/blog/third-party-vendor-risk-management-lifecycle/" TargetMode="External" /><Relationship Type="http://schemas.openxmlformats.org/officeDocument/2006/relationships/hyperlink" Id="rId180" Target="https://mitratech.com/resource-hub/blog/understanding-tprm-compliance-a-comprehensive-guide/" TargetMode="External" /><Relationship Type="http://schemas.openxmlformats.org/officeDocument/2006/relationships/hyperlink" Id="rId187" Target="https://panorays.com/blog/ai-in-third-party-risk-management/" TargetMode="External" /><Relationship Type="http://schemas.openxmlformats.org/officeDocument/2006/relationships/hyperlink" Id="rId185" Target="https://panorays.com/blog/automated-vendor-risk-assessments-for-tpcrm/" TargetMode="External" /><Relationship Type="http://schemas.openxmlformats.org/officeDocument/2006/relationships/hyperlink" Id="rId142" Target="https://panorays.com/blog/third-party-risk-management/" TargetMode="External" /><Relationship Type="http://schemas.openxmlformats.org/officeDocument/2006/relationships/hyperlink" Id="rId154" Target="https://safe.security/resources/blog/vendor-security-questionnaire-vraq-best-practices/" TargetMode="External" /><Relationship Type="http://schemas.openxmlformats.org/officeDocument/2006/relationships/hyperlink" Id="rId191" Target="https://signalx.ai/11-best-tools-for-third-party-risk-management/" TargetMode="External" /><Relationship Type="http://schemas.openxmlformats.org/officeDocument/2006/relationships/hyperlink" Id="rId139" Target="https://www.ashersecurity.com/third-party-risk-management-a-complete-guide/" TargetMode="External" /><Relationship Type="http://schemas.openxmlformats.org/officeDocument/2006/relationships/hyperlink" Id="rId149" Target="https://www.atlassystems.com/blog/third-party-risk-audit-readiness-checklist" TargetMode="External" /><Relationship Type="http://schemas.openxmlformats.org/officeDocument/2006/relationships/hyperlink" Id="rId186" Target="https://www.atlassystems.com/complyscore/ai-tprm/ai-for-third-party-risk-managers" TargetMode="External" /><Relationship Type="http://schemas.openxmlformats.org/officeDocument/2006/relationships/hyperlink" Id="rId169" Target="https://www.bitsight.com/blog/ultimate-guide-tprm-what-third-party-risk-management" TargetMode="External" /><Relationship Type="http://schemas.openxmlformats.org/officeDocument/2006/relationships/hyperlink" Id="rId170" Target="https://www.certa.ai/blogs/selecting-the-right-tprm-framework-key-components-and-best-practices" TargetMode="External" /><Relationship Type="http://schemas.openxmlformats.org/officeDocument/2006/relationships/hyperlink" Id="rId156" Target="https://www.credo.ai/blog/third-party-risk-management-for-ai-a-governance-first-approach" TargetMode="External" /><Relationship Type="http://schemas.openxmlformats.org/officeDocument/2006/relationships/hyperlink" Id="rId160" Target="https://www.deloitte.com/us/en/what-we-do/capabilities/applied-artificial-intelligence/articles/ai-risk-management.html" TargetMode="External" /><Relationship Type="http://schemas.openxmlformats.org/officeDocument/2006/relationships/hyperlink" Id="rId175" Target="https://www.diligent.com/resources/guides/third-party-risk-management" TargetMode="External" /><Relationship Type="http://schemas.openxmlformats.org/officeDocument/2006/relationships/hyperlink" Id="rId152" Target="https://www.exiger.com/perspectives/how-ai-is-redefining-third-party-risk-management/" TargetMode="External" /><Relationship Type="http://schemas.openxmlformats.org/officeDocument/2006/relationships/hyperlink" Id="rId163" Target="https://www.fdic.gov/news/financial-institution-letters/2023/fil23029.html" TargetMode="External" /><Relationship Type="http://schemas.openxmlformats.org/officeDocument/2006/relationships/hyperlink" Id="rId150" Target="https://www.federalreserve.gov/frrs/guidance/interagency-guidance-on-third-party-relationships.htm" TargetMode="External" /><Relationship Type="http://schemas.openxmlformats.org/officeDocument/2006/relationships/hyperlink" Id="rId167" Target="https://www.gartner.com/en/legal-compliance/topics/third-party-risk-management-tprm" TargetMode="External" /><Relationship Type="http://schemas.openxmlformats.org/officeDocument/2006/relationships/hyperlink" Id="rId177" Target="https://www.gartner.com/reviews/market/third-party-risk-management-technology-solutions" TargetMode="External" /><Relationship Type="http://schemas.openxmlformats.org/officeDocument/2006/relationships/hyperlink" Id="rId164" Target="https://www.hunton.com/insights/legal/interagency-guidance-for-bank-risk-management-of-third-party-relationships" TargetMode="External" /><Relationship Type="http://schemas.openxmlformats.org/officeDocument/2006/relationships/hyperlink" Id="rId165" Target="https://www.icba.org/w/interagency-guidance-for-bank-risk-management-of-third-party-relationships" TargetMode="External" /><Relationship Type="http://schemas.openxmlformats.org/officeDocument/2006/relationships/hyperlink" Id="rId171" Target="https://www.inventive.ai/blog-posts/go-no-go-decision-projects" TargetMode="External" /><Relationship Type="http://schemas.openxmlformats.org/officeDocument/2006/relationships/hyperlink" Id="rId184" Target="https://www.logicgate.com/platform/applications/third-party-risk-management-application/" TargetMode="External" /><Relationship Type="http://schemas.openxmlformats.org/officeDocument/2006/relationships/hyperlink" Id="rId161" Target="https://www.lowenstein.com/news-insights/publications/client-alerts/financial-services-ai-risk-management-framework-operationalizing-the-230-control-objectives-before-the-market-wakes-up-data-privacy" TargetMode="External" /><Relationship Type="http://schemas.openxmlformats.org/officeDocument/2006/relationships/hyperlink" Id="rId157" Target="https://www.mexc.com/en-GB/news/815531" TargetMode="External" /><Relationship Type="http://schemas.openxmlformats.org/officeDocument/2006/relationships/hyperlink" Id="rId178" Target="https://www.neotas.com/" TargetMode="External" /><Relationship Type="http://schemas.openxmlformats.org/officeDocument/2006/relationships/hyperlink" Id="rId151" Target="https://www.osfi-bsif.gc.ca/en/guidance/guidance-library/third-party-risk-management-guideline" TargetMode="External" /><Relationship Type="http://schemas.openxmlformats.org/officeDocument/2006/relationships/hyperlink" Id="rId145" Target="https://www.processunity.com/resources/blogs/third-party-risk-management-implementation-roadmap-6-step-guide-for-enterprises/" TargetMode="External" /><Relationship Type="http://schemas.openxmlformats.org/officeDocument/2006/relationships/hyperlink" Id="rId159" Target="https://www.rsisecurity.com/nist-ai-risk-management/" TargetMode="External" /><Relationship Type="http://schemas.openxmlformats.org/officeDocument/2006/relationships/hyperlink" Id="rId188" Target="https://www.rtinsights.com/reimagining-enterprise-delivery-with-autonomous-ai-agents/" TargetMode="External" /><Relationship Type="http://schemas.openxmlformats.org/officeDocument/2006/relationships/hyperlink" Id="rId140" Target="https://www.saltycloud.com/blog/third-party-risk-management/" TargetMode="External" /><Relationship Type="http://schemas.openxmlformats.org/officeDocument/2006/relationships/hyperlink" Id="rId179" Target="https://www.treasuredata.com/blog/agentic-tprm" TargetMode="External" /><Relationship Type="http://schemas.openxmlformats.org/officeDocument/2006/relationships/hyperlink" Id="rId153" Target="https://www.upguard.com/blog/third-party-risk-management" TargetMode="External" /><Relationship Type="http://schemas.openxmlformats.org/officeDocument/2006/relationships/hyperlink" Id="rId137" Target="https://www.upguard.com/blog/tprm-lifecycle" TargetMode="External" /><Relationship Type="http://schemas.openxmlformats.org/officeDocument/2006/relationships/hyperlink" Id="rId172" Target="https://www.vanta.com/collection/tprm/tprm-lifecycle" TargetMode="External" /><Relationship Type="http://schemas.openxmlformats.org/officeDocument/2006/relationships/hyperlink" Id="rId183" Target="https://www.venminder.com/blog/evaluating-third-party-risk-management-software-financial-services" TargetMode="External" /><Relationship Type="http://schemas.openxmlformats.org/officeDocument/2006/relationships/hyperlink" Id="rId143" Target="https://www.venn.com/learn/data-security/third-party-risk-management/" TargetMode="External" /><Relationship Type="http://schemas.openxmlformats.org/officeDocument/2006/relationships/hyperlink" Id="rId148" Target="https://www.whistic.com/resources/blog/tprm-compliance-shortcuts-financial-services" TargetMode="External" /><Relationship Type="http://schemas.openxmlformats.org/officeDocument/2006/relationships/hyperlink" Id="rId190" Target="https://www.whistic.com/whistic-ai-guide-for-third-party-risk-management" TargetMode="External" /><Relationship Type="http://schemas.openxmlformats.org/officeDocument/2006/relationships/hyperlink" Id="rId174" Target="https://www.workstreet.com/blog/security-compliance-questionnaires" TargetMode="External" /><Relationship Type="http://schemas.openxmlformats.org/officeDocument/2006/relationships/hyperlink" Id="rId176" Target="https://www.zengrc.com/blog/vendor-onboarding-best-practices-reducing-risk-from-day-one/" TargetMode="External" /><Relationship Type="http://schemas.openxmlformats.org/officeDocument/2006/relationships/hyperlink" Id="rId189" Target="https://zbrain.ai/agents/Legal/all/Risk-Assessment-and-Mitigation/risk-scoring-agent/" TargetMode="External"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147" Target="https://aravo.com/blog/six-phases-of-the-tprm-lifecycle/" TargetMode="External" /><Relationship Type="http://schemas.openxmlformats.org/officeDocument/2006/relationships/hyperlink" Id="rId162" Target="https://archive.fdic.gov/view/fdic/15465" TargetMode="External" /><Relationship Type="http://schemas.openxmlformats.org/officeDocument/2006/relationships/hyperlink" Id="rId141" Target="https://atlan.com/know/data-governance/third-party-risk-management/" TargetMode="External" /><Relationship Type="http://schemas.openxmlformats.org/officeDocument/2006/relationships/hyperlink" Id="rId155" Target="https://auditboard.com/blog/third-party-risk-management-101" TargetMode="External" /><Relationship Type="http://schemas.openxmlformats.org/officeDocument/2006/relationships/hyperlink" Id="rId138" Target="https://ballisticventures.com/event/reimagining-third-party-risk-in-an-agentic-ai-world/" TargetMode="External" /><Relationship Type="http://schemas.openxmlformats.org/officeDocument/2006/relationships/hyperlink" Id="rId173" Target="https://captaincompliance.com/education/audit-requirements-in-third-party-risk-management/" TargetMode="External" /><Relationship Type="http://schemas.openxmlformats.org/officeDocument/2006/relationships/hyperlink" Id="rId166" Target="https://corestreamgrc.com/resources/blog/third-party-risk-management-step-by-step-guide/" TargetMode="External" /><Relationship Type="http://schemas.openxmlformats.org/officeDocument/2006/relationships/hyperlink" Id="rId181" Target="https://csrc.nist.gov/pubs/sp/800/53/r5/upd1/final" TargetMode="External" /><Relationship Type="http://schemas.openxmlformats.org/officeDocument/2006/relationships/hyperlink" Id="rId158" Target="https://cyberriskinstitute.org/artificial-intelligence-risk-management/" TargetMode="External" /><Relationship Type="http://schemas.openxmlformats.org/officeDocument/2006/relationships/hyperlink" Id="rId144" Target="https://kpmg.com/de/en/services/audit/regulatory-advisory/tprm-governance-how-companies-strategically-manage-third-party-risks.html" TargetMode="External" /><Relationship Type="http://schemas.openxmlformats.org/officeDocument/2006/relationships/hyperlink" Id="rId146" Target="https://kpmg.com/us/en/articles/2023/third-party-risk-management-final-interagency-guidance-reg-alert.html" TargetMode="External" /><Relationship Type="http://schemas.openxmlformats.org/officeDocument/2006/relationships/hyperlink" Id="rId182" Target="https://mitratech.com/resource-hub/blog/third-party-risk-governance-oversight/" TargetMode="External" /><Relationship Type="http://schemas.openxmlformats.org/officeDocument/2006/relationships/hyperlink" Id="rId168" Target="https://mitratech.com/resource-hub/blog/third-party-vendor-risk-management-lifecycle/" TargetMode="External" /><Relationship Type="http://schemas.openxmlformats.org/officeDocument/2006/relationships/hyperlink" Id="rId180" Target="https://mitratech.com/resource-hub/blog/understanding-tprm-compliance-a-comprehensive-guide/" TargetMode="External" /><Relationship Type="http://schemas.openxmlformats.org/officeDocument/2006/relationships/hyperlink" Id="rId187" Target="https://panorays.com/blog/ai-in-third-party-risk-management/" TargetMode="External" /><Relationship Type="http://schemas.openxmlformats.org/officeDocument/2006/relationships/hyperlink" Id="rId185" Target="https://panorays.com/blog/automated-vendor-risk-assessments-for-tpcrm/" TargetMode="External" /><Relationship Type="http://schemas.openxmlformats.org/officeDocument/2006/relationships/hyperlink" Id="rId142" Target="https://panorays.com/blog/third-party-risk-management/" TargetMode="External" /><Relationship Type="http://schemas.openxmlformats.org/officeDocument/2006/relationships/hyperlink" Id="rId154" Target="https://safe.security/resources/blog/vendor-security-questionnaire-vraq-best-practices/" TargetMode="External" /><Relationship Type="http://schemas.openxmlformats.org/officeDocument/2006/relationships/hyperlink" Id="rId191" Target="https://signalx.ai/11-best-tools-for-third-party-risk-management/" TargetMode="External" /><Relationship Type="http://schemas.openxmlformats.org/officeDocument/2006/relationships/hyperlink" Id="rId139" Target="https://www.ashersecurity.com/third-party-risk-management-a-complete-guide/" TargetMode="External" /><Relationship Type="http://schemas.openxmlformats.org/officeDocument/2006/relationships/hyperlink" Id="rId149" Target="https://www.atlassystems.com/blog/third-party-risk-audit-readiness-checklist" TargetMode="External" /><Relationship Type="http://schemas.openxmlformats.org/officeDocument/2006/relationships/hyperlink" Id="rId186" Target="https://www.atlassystems.com/complyscore/ai-tprm/ai-for-third-party-risk-managers" TargetMode="External" /><Relationship Type="http://schemas.openxmlformats.org/officeDocument/2006/relationships/hyperlink" Id="rId169" Target="https://www.bitsight.com/blog/ultimate-guide-tprm-what-third-party-risk-management" TargetMode="External" /><Relationship Type="http://schemas.openxmlformats.org/officeDocument/2006/relationships/hyperlink" Id="rId170" Target="https://www.certa.ai/blogs/selecting-the-right-tprm-framework-key-components-and-best-practices" TargetMode="External" /><Relationship Type="http://schemas.openxmlformats.org/officeDocument/2006/relationships/hyperlink" Id="rId156" Target="https://www.credo.ai/blog/third-party-risk-management-for-ai-a-governance-first-approach" TargetMode="External" /><Relationship Type="http://schemas.openxmlformats.org/officeDocument/2006/relationships/hyperlink" Id="rId160" Target="https://www.deloitte.com/us/en/what-we-do/capabilities/applied-artificial-intelligence/articles/ai-risk-management.html" TargetMode="External" /><Relationship Type="http://schemas.openxmlformats.org/officeDocument/2006/relationships/hyperlink" Id="rId175" Target="https://www.diligent.com/resources/guides/third-party-risk-management" TargetMode="External" /><Relationship Type="http://schemas.openxmlformats.org/officeDocument/2006/relationships/hyperlink" Id="rId152" Target="https://www.exiger.com/perspectives/how-ai-is-redefining-third-party-risk-management/" TargetMode="External" /><Relationship Type="http://schemas.openxmlformats.org/officeDocument/2006/relationships/hyperlink" Id="rId163" Target="https://www.fdic.gov/news/financial-institution-letters/2023/fil23029.html" TargetMode="External" /><Relationship Type="http://schemas.openxmlformats.org/officeDocument/2006/relationships/hyperlink" Id="rId150" Target="https://www.federalreserve.gov/frrs/guidance/interagency-guidance-on-third-party-relationships.htm" TargetMode="External" /><Relationship Type="http://schemas.openxmlformats.org/officeDocument/2006/relationships/hyperlink" Id="rId167" Target="https://www.gartner.com/en/legal-compliance/topics/third-party-risk-management-tprm" TargetMode="External" /><Relationship Type="http://schemas.openxmlformats.org/officeDocument/2006/relationships/hyperlink" Id="rId177" Target="https://www.gartner.com/reviews/market/third-party-risk-management-technology-solutions" TargetMode="External" /><Relationship Type="http://schemas.openxmlformats.org/officeDocument/2006/relationships/hyperlink" Id="rId164" Target="https://www.hunton.com/insights/legal/interagency-guidance-for-bank-risk-management-of-third-party-relationships" TargetMode="External" /><Relationship Type="http://schemas.openxmlformats.org/officeDocument/2006/relationships/hyperlink" Id="rId165" Target="https://www.icba.org/w/interagency-guidance-for-bank-risk-management-of-third-party-relationships" TargetMode="External" /><Relationship Type="http://schemas.openxmlformats.org/officeDocument/2006/relationships/hyperlink" Id="rId171" Target="https://www.inventive.ai/blog-posts/go-no-go-decision-projects" TargetMode="External" /><Relationship Type="http://schemas.openxmlformats.org/officeDocument/2006/relationships/hyperlink" Id="rId184" Target="https://www.logicgate.com/platform/applications/third-party-risk-management-application/" TargetMode="External" /><Relationship Type="http://schemas.openxmlformats.org/officeDocument/2006/relationships/hyperlink" Id="rId161" Target="https://www.lowenstein.com/news-insights/publications/client-alerts/financial-services-ai-risk-management-framework-operationalizing-the-230-control-objectives-before-the-market-wakes-up-data-privacy" TargetMode="External" /><Relationship Type="http://schemas.openxmlformats.org/officeDocument/2006/relationships/hyperlink" Id="rId157" Target="https://www.mexc.com/en-GB/news/815531" TargetMode="External" /><Relationship Type="http://schemas.openxmlformats.org/officeDocument/2006/relationships/hyperlink" Id="rId178" Target="https://www.neotas.com/" TargetMode="External" /><Relationship Type="http://schemas.openxmlformats.org/officeDocument/2006/relationships/hyperlink" Id="rId151" Target="https://www.osfi-bsif.gc.ca/en/guidance/guidance-library/third-party-risk-management-guideline" TargetMode="External" /><Relationship Type="http://schemas.openxmlformats.org/officeDocument/2006/relationships/hyperlink" Id="rId145" Target="https://www.processunity.com/resources/blogs/third-party-risk-management-implementation-roadmap-6-step-guide-for-enterprises/" TargetMode="External" /><Relationship Type="http://schemas.openxmlformats.org/officeDocument/2006/relationships/hyperlink" Id="rId159" Target="https://www.rsisecurity.com/nist-ai-risk-management/" TargetMode="External" /><Relationship Type="http://schemas.openxmlformats.org/officeDocument/2006/relationships/hyperlink" Id="rId188" Target="https://www.rtinsights.com/reimagining-enterprise-delivery-with-autonomous-ai-agents/" TargetMode="External" /><Relationship Type="http://schemas.openxmlformats.org/officeDocument/2006/relationships/hyperlink" Id="rId140" Target="https://www.saltycloud.com/blog/third-party-risk-management/" TargetMode="External" /><Relationship Type="http://schemas.openxmlformats.org/officeDocument/2006/relationships/hyperlink" Id="rId179" Target="https://www.treasuredata.com/blog/agentic-tprm" TargetMode="External" /><Relationship Type="http://schemas.openxmlformats.org/officeDocument/2006/relationships/hyperlink" Id="rId153" Target="https://www.upguard.com/blog/third-party-risk-management" TargetMode="External" /><Relationship Type="http://schemas.openxmlformats.org/officeDocument/2006/relationships/hyperlink" Id="rId137" Target="https://www.upguard.com/blog/tprm-lifecycle" TargetMode="External" /><Relationship Type="http://schemas.openxmlformats.org/officeDocument/2006/relationships/hyperlink" Id="rId172" Target="https://www.vanta.com/collection/tprm/tprm-lifecycle" TargetMode="External" /><Relationship Type="http://schemas.openxmlformats.org/officeDocument/2006/relationships/hyperlink" Id="rId183" Target="https://www.venminder.com/blog/evaluating-third-party-risk-management-software-financial-services" TargetMode="External" /><Relationship Type="http://schemas.openxmlformats.org/officeDocument/2006/relationships/hyperlink" Id="rId143" Target="https://www.venn.com/learn/data-security/third-party-risk-management/" TargetMode="External" /><Relationship Type="http://schemas.openxmlformats.org/officeDocument/2006/relationships/hyperlink" Id="rId148" Target="https://www.whistic.com/resources/blog/tprm-compliance-shortcuts-financial-services" TargetMode="External" /><Relationship Type="http://schemas.openxmlformats.org/officeDocument/2006/relationships/hyperlink" Id="rId190" Target="https://www.whistic.com/whistic-ai-guide-for-third-party-risk-management" TargetMode="External" /><Relationship Type="http://schemas.openxmlformats.org/officeDocument/2006/relationships/hyperlink" Id="rId174" Target="https://www.workstreet.com/blog/security-compliance-questionnaires" TargetMode="External" /><Relationship Type="http://schemas.openxmlformats.org/officeDocument/2006/relationships/hyperlink" Id="rId176" Target="https://www.zengrc.com/blog/vendor-onboarding-best-practices-reducing-risk-from-day-one/" TargetMode="External" /><Relationship Type="http://schemas.openxmlformats.org/officeDocument/2006/relationships/hyperlink" Id="rId189" Target="https://zbrain.ai/agents/Legal/all/Risk-Assessment-and-Mitigation/risk-scoring-agent/"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2026-03-02T04:37:49Z</dcterms:created>
  <dcterms:modified xsi:type="dcterms:W3CDTF">2026-03-02T04:37:49Z</dcterms:modified>
</cp:coreProperties>
</file>

<file path=docProps/custom.xml><?xml version="1.0" encoding="utf-8"?>
<Properties xmlns="http://schemas.openxmlformats.org/officeDocument/2006/custom-properties" xmlns:vt="http://schemas.openxmlformats.org/officeDocument/2006/docPropsVTypes"/>
</file>