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Heading1"/>
      </w:pPr>
      <w:bookmarkStart w:id="1" w:name="퇴직연금-통합-관리-플랫폼-구축-보고서"/>
      <w:r>
        <w:t>퇴직연금 통합 관리 플랫폼 구축 보고서</w:t>
      </w:r>
    </w:p>
    <w:p>
      <w:pPr>
        <w:pStyle w:val="Heading2"/>
      </w:pPr>
      <w:bookmarkStart w:id="2" w:name="ifrs-1019-퇴직급여-회계-alm-재정검증-ai-의사결정"/>
      <w:r>
        <w:t>(IFRS 1019 퇴직급여 회계 · ALM · 재정검증 · AI 의사결정)</w:t>
      </w:r>
    </w:p>
    <w:p>
      <w:pPr>
        <w:jc w:val="right"/>
        <w:rPr/>
      </w:pPr>
      <w:r>
        <w:pict>
          <v:rect id="1025" style="margin-left:0pt;margin-top:0pt;width:0pt;height:1.5pt;mso-position-horizontal-relative:column;mso-position-vertical-relative:line;z-index:0" o:hrpct="1000" o:hralign="center" o:hrstd="t" o:hrnoshade="f" o:hr="t" o:allowincell="t" filled="t" fillcolor="#ffffff" stroked="t" strokecolor="#0" strokeweight="1pt">
            <v:stroke joinstyle="round"/>
          </v:rect>
        </w:pict>
      </w:r>
    </w:p>
    <w:p>
      <w:pPr>
        <w:pStyle w:val="Heading2"/>
        <w:jc w:val="right"/>
        <w:rPr>
          <w:lang w:eastAsia="ko-KR"/>
          <w:rFonts w:hint="eastAsia"/>
          <w:sz w:val="24"/>
          <w:szCs w:val="24"/>
          <w:rtl w:val="off"/>
        </w:rPr>
      </w:pPr>
      <w:bookmarkEnd w:id="2"/>
      <w:bookmarkStart w:id="3" w:name="보고서-개요"/>
      <w:r>
        <w:rPr>
          <w:lang w:eastAsia="ko-KR"/>
          <w:rFonts w:hint="eastAsia"/>
          <w:sz w:val="24"/>
          <w:szCs w:val="24"/>
          <w:rtl w:val="off"/>
        </w:rPr>
        <w:t>2025.12</w:t>
      </w:r>
    </w:p>
    <w:p>
      <w:pPr>
        <w:pStyle w:val="BodyText"/>
        <w:jc w:val="right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위키소프트</w:t>
      </w:r>
    </w:p>
    <w:p>
      <w:pPr>
        <w:pStyle w:val="Heading2"/>
        <w:rPr>
          <w:lang w:eastAsia="ko-KR"/>
          <w:rFonts w:hint="eastAsia"/>
          <w:rtl w:val="off"/>
        </w:rPr>
      </w:pPr>
    </w:p>
    <w:p>
      <w:pPr>
        <w:pStyle w:val="Heading2"/>
      </w:pPr>
      <w:r>
        <w:t>1. 보고서 개요</w:t>
      </w:r>
    </w:p>
    <w:p>
      <w:pPr>
        <w:pStyle w:val="FirstParagraph"/>
      </w:pPr>
      <w:r>
        <w:t>본 보고서는 기업의 퇴직연금 및 퇴직급여 제도를</w:t>
      </w:r>
      <w:r>
        <w:t xml:space="preserve"> </w:t>
      </w:r>
      <w:r>
        <w:rPr>
          <w:b/>
          <w:bCs/>
        </w:rPr>
        <w:t>IFRS 1019(퇴직급여 회계)</w:t>
      </w:r>
      <w:r>
        <w:t xml:space="preserve"> </w:t>
      </w:r>
      <w:r>
        <w:t>기준에 맞추어 정확히 관리하고, 동시에</w:t>
      </w:r>
      <w:r>
        <w:t xml:space="preserve"> </w:t>
      </w:r>
      <w:r>
        <w:rPr>
          <w:b/>
          <w:bCs/>
        </w:rPr>
        <w:t>ALM(Asset-Liability Management)</w:t>
      </w:r>
      <w:r>
        <w:t xml:space="preserve"> </w:t>
      </w:r>
      <w:r>
        <w:t>기반의 장기 재정 안정성과</w:t>
      </w:r>
      <w:r>
        <w:t xml:space="preserve"> </w:t>
      </w:r>
      <w:r>
        <w:rPr>
          <w:b/>
          <w:bCs/>
        </w:rPr>
        <w:t>AI 기반 의사결정 지원</w:t>
      </w:r>
      <w:r>
        <w:t>까지 통합적으로 구현하기 위한</w:t>
      </w:r>
      <w:r>
        <w:t xml:space="preserve"> </w:t>
      </w:r>
      <w:r>
        <w:rPr>
          <w:lang w:eastAsia="ko-KR"/>
          <w:color w:val="FF0000"/>
          <w:rtl w:val="off"/>
        </w:rPr>
        <w:t>“</w:t>
      </w:r>
      <w:r>
        <w:rPr>
          <w:b/>
          <w:bCs/>
          <w:color w:val="FF0000"/>
        </w:rPr>
        <w:t>기업용</w:t>
      </w:r>
      <w:r>
        <w:rPr>
          <w:lang w:eastAsia="ko-KR"/>
          <w:rFonts w:hint="eastAsia"/>
          <w:b/>
          <w:bCs/>
          <w:color w:val="FF0000"/>
          <w:rtl w:val="off"/>
        </w:rPr>
        <w:tab/>
      </w:r>
      <w:r>
        <w:rPr>
          <w:lang w:eastAsia="ko-KR"/>
          <w:b/>
          <w:bCs/>
          <w:color w:val="FF0000"/>
          <w:rtl w:val="off"/>
        </w:rPr>
        <w:t>”</w:t>
      </w:r>
      <w:r>
        <w:rPr>
          <w:b/>
          <w:bCs/>
        </w:rPr>
        <w:t xml:space="preserve"> 통합 플랫폼 구축 방안</w:t>
      </w:r>
      <w:r>
        <w:t>을 제시한다.</w:t>
      </w:r>
    </w:p>
    <w:p>
      <w:pPr>
        <w:pStyle w:val="BodyText"/>
      </w:pPr>
      <w:r>
        <w:t>본 시스템은 단순한 계산 도구가 아니라, 회계·재무·HR·경영진이 동일한 데이터를 기반으로 의사결정을 내릴 수 있는</w:t>
      </w:r>
      <w:r>
        <w:t xml:space="preserve"> </w:t>
      </w:r>
      <w:r>
        <w:rPr>
          <w:b/>
          <w:bCs/>
        </w:rPr>
        <w:t>전사적 전략 인프라</w:t>
      </w:r>
      <w:r>
        <w:t>를 목표로 한다.</w:t>
      </w:r>
    </w:p>
    <w:p>
      <w:r>
        <w:pict>
          <v:rect id="1026" style="margin-left:0pt;margin-top:0pt;width:0pt;height:1.5pt;mso-position-horizontal-relative:column;mso-position-vertical-relative:line;z-index:0" o:hrpct="1000" o:hralign="center" o:hrstd="t" o:hrnoshade="f" o:hr="t" o:allowincell="t" filled="t" fillcolor="#ffffff" stroked="t" strokecolor="#0" strokeweight="1pt">
            <v:stroke joinstyle="round"/>
          </v:rect>
        </w:pict>
      </w:r>
    </w:p>
    <w:p>
      <w:pPr>
        <w:pStyle w:val="Heading2"/>
      </w:pPr>
      <w:bookmarkEnd w:id="3"/>
      <w:bookmarkStart w:id="4" w:name="추진-배경-및-필요성"/>
      <w:r>
        <w:t>2. 추진 배경 및 필요성</w:t>
      </w:r>
    </w:p>
    <w:p>
      <w:pPr>
        <w:pStyle w:val="Heading3"/>
      </w:pPr>
      <w:bookmarkStart w:id="5" w:name="현행-문제점"/>
      <w:r>
        <w:t>2.1 현행 문제점</w:t>
      </w:r>
    </w:p>
    <w:p>
      <w:pPr>
        <w:pStyle w:val="Compact"/>
        <w:numPr>
          <w:ilvl w:val="0"/>
          <w:numId w:val="1"/>
        </w:numPr>
      </w:pPr>
      <w:r>
        <w:t>IFRS 1019 퇴직급여 계산을 엑셀 및 외부 컨설팅에 의존</w:t>
      </w:r>
    </w:p>
    <w:p>
      <w:pPr>
        <w:pStyle w:val="Compact"/>
        <w:numPr>
          <w:ilvl w:val="0"/>
          <w:numId w:val="1"/>
        </w:numPr>
      </w:pPr>
      <w:r>
        <w:t>ALM 분석이 일회성 보고서 수준에 머무름</w:t>
      </w:r>
    </w:p>
    <w:p>
      <w:pPr>
        <w:pStyle w:val="Compact"/>
        <w:numPr>
          <w:ilvl w:val="0"/>
          <w:numId w:val="1"/>
        </w:numPr>
      </w:pPr>
      <w:r>
        <w:t>장기 재정위험(적립비율 하락, 자금 부족)을 사후적으로 인지</w:t>
      </w:r>
    </w:p>
    <w:p>
      <w:pPr>
        <w:pStyle w:val="Compact"/>
        <w:numPr>
          <w:ilvl w:val="0"/>
          <w:numId w:val="1"/>
        </w:numPr>
      </w:pPr>
      <w:r>
        <w:t>담당자 교체 시 노하우 및 판단 근거 소실</w:t>
      </w:r>
    </w:p>
    <w:p>
      <w:pPr>
        <w:pStyle w:val="Compact"/>
        <w:numPr>
          <w:ilvl w:val="0"/>
          <w:numId w:val="1"/>
        </w:numPr>
      </w:pPr>
      <w:r>
        <w:t>감사 및 이사회 보고 시 설명자료를 수작업으로 재작성</w:t>
      </w:r>
    </w:p>
    <w:p>
      <w:pPr>
        <w:pStyle w:val="Heading3"/>
      </w:pPr>
      <w:bookmarkEnd w:id="5"/>
      <w:bookmarkStart w:id="6" w:name="환경-변화"/>
      <w:r>
        <w:t>2.2 환경 변화</w:t>
      </w:r>
    </w:p>
    <w:p>
      <w:pPr>
        <w:pStyle w:val="Compact"/>
        <w:numPr>
          <w:ilvl w:val="0"/>
          <w:numId w:val="2"/>
        </w:numPr>
      </w:pPr>
      <w:r>
        <w:t>금리 변동성 확대 → 퇴직급여 부채 및 OCI 변동성 증가</w:t>
      </w:r>
    </w:p>
    <w:p>
      <w:pPr>
        <w:pStyle w:val="Compact"/>
        <w:numPr>
          <w:ilvl w:val="0"/>
          <w:numId w:val="2"/>
        </w:numPr>
      </w:pPr>
      <w:r>
        <w:t>고령화 및 임금구조 변화 → 장기 인건비 리스크 확대</w:t>
      </w:r>
    </w:p>
    <w:p>
      <w:pPr>
        <w:pStyle w:val="Compact"/>
        <w:numPr>
          <w:ilvl w:val="0"/>
          <w:numId w:val="2"/>
        </w:numPr>
      </w:pPr>
      <w:r>
        <w:t>IFRS 감사 기준 강화 → 계산 재현성·가정 합리성 요구 증대</w:t>
      </w:r>
    </w:p>
    <w:p>
      <w:r>
        <w:pict>
          <v:rect id="1027" style="margin-left:0pt;margin-top:0pt;width:0pt;height:1.5pt;mso-position-horizontal-relative:column;mso-position-vertical-relative:line;z-index:0" o:hrpct="1000" o:hralign="center" o:hrstd="t" o:hrnoshade="f" o:hr="t" o:allowincell="t" filled="t" fillcolor="#ffffff" stroked="t" strokecolor="#0" strokeweight="1pt">
            <v:stroke joinstyle="round"/>
          </v:rect>
        </w:pict>
      </w:r>
    </w:p>
    <w:p>
      <w:pPr>
        <w:pStyle w:val="Heading2"/>
      </w:pPr>
      <w:bookmarkEnd w:id="4"/>
      <w:bookmarkEnd w:id="6"/>
      <w:bookmarkStart w:id="7" w:name="시스템-목표-및-범위"/>
      <w:r>
        <w:t>3. 시스템 목표 및 범위</w:t>
      </w:r>
    </w:p>
    <w:p>
      <w:pPr>
        <w:pStyle w:val="Heading3"/>
      </w:pPr>
      <w:bookmarkStart w:id="8" w:name="시스템-목표"/>
      <w:r>
        <w:t>3.1 시스템 목표</w:t>
      </w:r>
    </w:p>
    <w:p>
      <w:pPr>
        <w:pStyle w:val="Compact"/>
        <w:numPr>
          <w:ilvl w:val="0"/>
          <w:numId w:val="3"/>
        </w:numPr>
      </w:pPr>
      <w:r>
        <w:t>IFRS 1019 기준에 부합하는</w:t>
      </w:r>
      <w:r>
        <w:t xml:space="preserve"> </w:t>
      </w:r>
      <w:r>
        <w:rPr>
          <w:b/>
          <w:bCs/>
        </w:rPr>
        <w:t>정확하고 재현 가능한 퇴직급여 부채 계산</w:t>
      </w:r>
    </w:p>
    <w:p>
      <w:pPr>
        <w:pStyle w:val="Compact"/>
        <w:numPr>
          <w:ilvl w:val="0"/>
          <w:numId w:val="3"/>
        </w:numPr>
      </w:pPr>
      <w:r>
        <w:t>ALM 기반의</w:t>
      </w:r>
      <w:r>
        <w:t xml:space="preserve"> </w:t>
      </w:r>
      <w:r>
        <w:rPr>
          <w:b/>
          <w:bCs/>
        </w:rPr>
        <w:t>자산·부채 통합 관리 및 갭 분석</w:t>
      </w:r>
    </w:p>
    <w:p>
      <w:pPr>
        <w:pStyle w:val="Compact"/>
        <w:numPr>
          <w:ilvl w:val="0"/>
          <w:numId w:val="3"/>
        </w:numPr>
      </w:pPr>
      <w:r>
        <w:t>중·장기</w:t>
      </w:r>
      <w:r>
        <w:t xml:space="preserve"> </w:t>
      </w:r>
      <w:r>
        <w:rPr>
          <w:b/>
          <w:bCs/>
        </w:rPr>
        <w:t>재정검증(Funding Test)</w:t>
      </w:r>
      <w:r>
        <w:t xml:space="preserve"> </w:t>
      </w:r>
      <w:r>
        <w:t>을 통한 선제적 리스크 관리</w:t>
      </w:r>
    </w:p>
    <w:p>
      <w:pPr>
        <w:pStyle w:val="Compact"/>
        <w:numPr>
          <w:ilvl w:val="0"/>
          <w:numId w:val="3"/>
        </w:numPr>
      </w:pPr>
      <w:r>
        <w:t>AI 기반</w:t>
      </w:r>
      <w:r>
        <w:t xml:space="preserve"> </w:t>
      </w:r>
      <w:r>
        <w:rPr>
          <w:b/>
          <w:bCs/>
        </w:rPr>
        <w:t>가정 검증·이상치 탐지·전략 추천</w:t>
      </w:r>
    </w:p>
    <w:p>
      <w:pPr>
        <w:pStyle w:val="Compact"/>
        <w:numPr>
          <w:ilvl w:val="0"/>
          <w:numId w:val="3"/>
        </w:numPr>
      </w:pPr>
      <w:r>
        <w:t>감사·경영진 보고 자동화를 통한 운영 효율성 제고</w:t>
      </w:r>
    </w:p>
    <w:p>
      <w:pPr>
        <w:pStyle w:val="Heading3"/>
      </w:pPr>
      <w:bookmarkEnd w:id="8"/>
      <w:bookmarkStart w:id="9" w:name="적용-범위"/>
      <w:r>
        <w:t>3.2 적용 범위</w:t>
      </w:r>
    </w:p>
    <w:p>
      <w:pPr>
        <w:pStyle w:val="Compact"/>
        <w:numPr>
          <w:ilvl w:val="0"/>
          <w:numId w:val="4"/>
        </w:numPr>
      </w:pPr>
      <w:r>
        <w:t>DB형 퇴직연금 (필요 시 DC/혼합 확장 가능)</w:t>
      </w:r>
    </w:p>
    <w:p>
      <w:pPr>
        <w:pStyle w:val="Compact"/>
        <w:numPr>
          <w:ilvl w:val="0"/>
          <w:numId w:val="4"/>
        </w:numPr>
      </w:pPr>
      <w:r>
        <w:t>전사 또는 법인/사업장 단위</w:t>
      </w:r>
    </w:p>
    <w:p>
      <w:pPr>
        <w:pStyle w:val="Compact"/>
        <w:numPr>
          <w:ilvl w:val="0"/>
          <w:numId w:val="4"/>
        </w:numPr>
      </w:pPr>
      <w:r>
        <w:t>회계, 재무(ALM), HR, 감사, 경영진</w:t>
      </w:r>
    </w:p>
    <w:p>
      <w:r>
        <w:pict>
          <v:rect id="1028" style="margin-left:0pt;margin-top:0pt;width:0pt;height:1.5pt;mso-position-horizontal-relative:column;mso-position-vertical-relative:line;z-index:0" o:hrpct="1000" o:hralign="center" o:hrstd="t" o:hrnoshade="f" o:hr="t" o:allowincell="t" filled="t" fillcolor="#ffffff" stroked="t" strokecolor="#0" strokeweight="1pt">
            <v:stroke joinstyle="round"/>
          </v:rect>
        </w:pict>
      </w:r>
    </w:p>
    <w:p>
      <w:pPr>
        <w:pStyle w:val="Heading2"/>
      </w:pPr>
      <w:bookmarkEnd w:id="7"/>
      <w:bookmarkEnd w:id="9"/>
      <w:bookmarkStart w:id="10" w:name="전체-시스템-아키텍처-개요"/>
      <w:r>
        <w:t>4. 전체 시스템 아키텍처 개요</w:t>
      </w:r>
    </w:p>
    <w:p>
      <w:pPr>
        <w:pStyle w:val="Heading3"/>
      </w:pPr>
      <w:bookmarkStart w:id="11" w:name="구조-개념"/>
      <w:r>
        <w:t>4.1 구조 개념</w:t>
      </w:r>
    </w:p>
    <w:p>
      <w:pPr>
        <w:pStyle w:val="Compact"/>
        <w:numPr>
          <w:ilvl w:val="0"/>
          <w:numId w:val="5"/>
        </w:numPr>
      </w:pPr>
      <w:r>
        <w:rPr>
          <w:b/>
          <w:bCs/>
        </w:rPr>
        <w:t>계산 엔진</w:t>
      </w:r>
      <w:r>
        <w:t>: IFRS 1019 및 ALM 계산 (Deterministic Engine)</w:t>
      </w:r>
    </w:p>
    <w:p>
      <w:pPr>
        <w:pStyle w:val="Compact"/>
        <w:numPr>
          <w:ilvl w:val="0"/>
          <w:numId w:val="5"/>
        </w:numPr>
      </w:pPr>
      <w:r>
        <w:rPr>
          <w:b/>
          <w:bCs/>
        </w:rPr>
        <w:t>AI 레이어</w:t>
      </w:r>
      <w:r>
        <w:t>: 판단 보조 및 추천 (Advisory Layer)</w:t>
      </w:r>
    </w:p>
    <w:p>
      <w:pPr>
        <w:pStyle w:val="Compact"/>
        <w:numPr>
          <w:ilvl w:val="0"/>
          <w:numId w:val="5"/>
        </w:numPr>
      </w:pPr>
      <w:r>
        <w:rPr>
          <w:b/>
          <w:bCs/>
        </w:rPr>
        <w:t>UI/대시보드</w:t>
      </w:r>
      <w:r>
        <w:t>: 역할 기반 시각화</w:t>
      </w:r>
    </w:p>
    <w:p>
      <w:pPr>
        <w:pStyle w:val="Compact"/>
        <w:numPr>
          <w:ilvl w:val="0"/>
          <w:numId w:val="5"/>
        </w:numPr>
      </w:pPr>
      <w:r>
        <w:rPr>
          <w:b/>
          <w:bCs/>
        </w:rPr>
        <w:t>데이터 레이어</w:t>
      </w:r>
      <w:r>
        <w:t>: 버전·기준일·시나리오 관리</w:t>
      </w:r>
    </w:p>
    <w:p>
      <w:pPr>
        <w:pStyle w:val="Heading3"/>
      </w:pPr>
      <w:bookmarkEnd w:id="11"/>
      <w:bookmarkStart w:id="12" w:name="핵심-원칙"/>
      <w:r>
        <w:t>4.2 핵심 원칙</w:t>
      </w:r>
    </w:p>
    <w:p>
      <w:pPr>
        <w:pStyle w:val="Compact"/>
        <w:numPr>
          <w:ilvl w:val="0"/>
          <w:numId w:val="6"/>
        </w:numPr>
      </w:pPr>
      <w:r>
        <w:t>IFRS 계산 결과를 Single Source of Truth로 활용</w:t>
      </w:r>
    </w:p>
    <w:p>
      <w:pPr>
        <w:pStyle w:val="Compact"/>
        <w:numPr>
          <w:ilvl w:val="0"/>
          <w:numId w:val="6"/>
        </w:numPr>
      </w:pPr>
      <w:r>
        <w:t>모든 계산 결과는 버전 관리 및 재현 가능</w:t>
      </w:r>
    </w:p>
    <w:p>
      <w:pPr>
        <w:pStyle w:val="Compact"/>
        <w:numPr>
          <w:ilvl w:val="0"/>
          <w:numId w:val="6"/>
        </w:numPr>
      </w:pPr>
      <w:r>
        <w:t>AI는 자동 반영 금지, 항상 사용자 승인 필요</w:t>
      </w:r>
    </w:p>
    <w:p>
      <w:r>
        <w:pict>
          <v:rect id="1029" style="margin-left:0pt;margin-top:0pt;width:0pt;height:1.5pt;mso-position-horizontal-relative:column;mso-position-vertical-relative:line;z-index:0" o:hrpct="1000" o:hralign="center" o:hrstd="t" o:hrnoshade="f" o:hr="t" o:allowincell="t" filled="t" fillcolor="#ffffff" stroked="t" strokecolor="#0" strokeweight="1pt">
            <v:stroke joinstyle="round"/>
          </v:rect>
        </w:pict>
      </w:r>
    </w:p>
    <w:p>
      <w:pPr>
        <w:pStyle w:val="Heading2"/>
      </w:pPr>
      <w:bookmarkEnd w:id="10"/>
      <w:bookmarkEnd w:id="12"/>
      <w:bookmarkStart w:id="13" w:name="ifrs-1019-퇴직급여-부채-관리"/>
      <w:r>
        <w:t>5. IFRS 1019 퇴직급여 부채 관리</w:t>
      </w:r>
    </w:p>
    <w:p>
      <w:pPr>
        <w:pStyle w:val="Heading3"/>
      </w:pPr>
      <w:bookmarkStart w:id="14" w:name="부채-계산-체계"/>
      <w:r>
        <w:t>5.1 부채 계산 체계</w:t>
      </w:r>
    </w:p>
    <w:p>
      <w:pPr>
        <w:pStyle w:val="Compact"/>
        <w:numPr>
          <w:ilvl w:val="0"/>
          <w:numId w:val="7"/>
        </w:numPr>
      </w:pPr>
      <w:r>
        <w:t>개인별 Projected Unit Credit Method(PUC)</w:t>
      </w:r>
    </w:p>
    <w:p>
      <w:pPr>
        <w:pStyle w:val="Compact"/>
        <w:numPr>
          <w:ilvl w:val="0"/>
          <w:numId w:val="7"/>
        </w:numPr>
      </w:pPr>
      <w:r>
        <w:t>할인율: AA급 회사채 커브 기반</w:t>
      </w:r>
    </w:p>
    <w:p>
      <w:pPr>
        <w:pStyle w:val="Compact"/>
        <w:numPr>
          <w:ilvl w:val="0"/>
          <w:numId w:val="7"/>
        </w:numPr>
      </w:pPr>
      <w:r>
        <w:t>주요 가정: 임금상승률, 이직률, 사망률, 정년</w:t>
      </w:r>
    </w:p>
    <w:p>
      <w:pPr>
        <w:pStyle w:val="Heading3"/>
      </w:pPr>
      <w:bookmarkEnd w:id="14"/>
      <w:bookmarkStart w:id="15" w:name="계산-구성-요소"/>
      <w:r>
        <w:t>5.2 계산 구성 요소</w:t>
      </w:r>
    </w:p>
    <w:p>
      <w:pPr>
        <w:pStyle w:val="Compact"/>
        <w:numPr>
          <w:ilvl w:val="0"/>
          <w:numId w:val="8"/>
        </w:numPr>
      </w:pPr>
      <w:r>
        <w:t>기초 DBO</w:t>
      </w:r>
    </w:p>
    <w:p>
      <w:pPr>
        <w:pStyle w:val="Compact"/>
        <w:numPr>
          <w:ilvl w:val="0"/>
          <w:numId w:val="8"/>
        </w:numPr>
      </w:pPr>
      <w:r>
        <w:t>당기근무원가(Current Service Cost)</w:t>
      </w:r>
    </w:p>
    <w:p>
      <w:pPr>
        <w:pStyle w:val="Compact"/>
        <w:numPr>
          <w:ilvl w:val="0"/>
          <w:numId w:val="8"/>
        </w:numPr>
      </w:pPr>
      <w:r>
        <w:t>과거근무원가(Past Service Cost)</w:t>
      </w:r>
    </w:p>
    <w:p>
      <w:pPr>
        <w:pStyle w:val="Compact"/>
        <w:numPr>
          <w:ilvl w:val="0"/>
          <w:numId w:val="8"/>
        </w:numPr>
      </w:pPr>
      <w:r>
        <w:t>이자비용(Interest Cost)</w:t>
      </w:r>
    </w:p>
    <w:p>
      <w:pPr>
        <w:pStyle w:val="Compact"/>
        <w:numPr>
          <w:ilvl w:val="0"/>
          <w:numId w:val="8"/>
        </w:numPr>
      </w:pPr>
      <w:r>
        <w:t>급여지급(Benefits Paid)</w:t>
      </w:r>
    </w:p>
    <w:p>
      <w:pPr>
        <w:pStyle w:val="Compact"/>
        <w:numPr>
          <w:ilvl w:val="0"/>
          <w:numId w:val="8"/>
        </w:numPr>
      </w:pPr>
      <w:r>
        <w:t>재측정(Remeasurement → OCI)</w:t>
      </w:r>
    </w:p>
    <w:p>
      <w:pPr>
        <w:pStyle w:val="Heading3"/>
      </w:pPr>
      <w:bookmarkEnd w:id="15"/>
      <w:bookmarkStart w:id="16" w:name="회계-처리"/>
      <w:r>
        <w:t>5.3 회계 처리</w:t>
      </w:r>
    </w:p>
    <w:p>
      <w:pPr>
        <w:pStyle w:val="Compact"/>
        <w:numPr>
          <w:ilvl w:val="0"/>
          <w:numId w:val="9"/>
        </w:numPr>
      </w:pPr>
      <w:r>
        <w:t>손익(PL) / 기타포괄손익(OCI) 자동 분리</w:t>
      </w:r>
    </w:p>
    <w:p>
      <w:pPr>
        <w:pStyle w:val="Compact"/>
        <w:numPr>
          <w:ilvl w:val="0"/>
          <w:numId w:val="9"/>
        </w:numPr>
      </w:pPr>
      <w:r>
        <w:t>회계 분개 자동 생성 및 ERP 연계</w:t>
      </w:r>
    </w:p>
    <w:p>
      <w:pPr>
        <w:pStyle w:val="Compact"/>
        <w:numPr>
          <w:ilvl w:val="0"/>
          <w:numId w:val="9"/>
        </w:numPr>
      </w:pPr>
      <w:r>
        <w:t>공시 주석 및 감사 증빙 자료 자동 생성</w:t>
      </w:r>
    </w:p>
    <w:p>
      <w:r>
        <w:pict>
          <v:rect id="1030" style="margin-left:0pt;margin-top:0pt;width:0pt;height:1.5pt;mso-position-horizontal-relative:column;mso-position-vertical-relative:line;z-index:0" o:hrpct="1000" o:hralign="center" o:hrstd="t" o:hrnoshade="f" o:hr="t" o:allowincell="t" filled="t" fillcolor="#ffffff" stroked="t" strokecolor="#0" strokeweight="1pt">
            <v:stroke joinstyle="round"/>
          </v:rect>
        </w:pict>
      </w:r>
    </w:p>
    <w:p>
      <w:pPr>
        <w:pStyle w:val="Heading2"/>
      </w:pPr>
      <w:bookmarkEnd w:id="13"/>
      <w:bookmarkEnd w:id="16"/>
      <w:bookmarkStart w:id="17" w:name="almasset-liability-management"/>
      <w:r>
        <w:t>6. ALM(Asset-Liability Management)</w:t>
      </w:r>
    </w:p>
    <w:p>
      <w:pPr>
        <w:pStyle w:val="Heading3"/>
      </w:pPr>
      <w:bookmarkStart w:id="18" w:name="부채-기반-alm"/>
      <w:r>
        <w:t>6.1 부채 기반 ALM</w:t>
      </w:r>
    </w:p>
    <w:p>
      <w:pPr>
        <w:pStyle w:val="Compact"/>
        <w:numPr>
          <w:ilvl w:val="0"/>
          <w:numId w:val="10"/>
        </w:numPr>
      </w:pPr>
      <w:r>
        <w:t>IFRS 부채를 기준으로 지급 시점별 현금흐름 재구성</w:t>
      </w:r>
    </w:p>
    <w:p>
      <w:pPr>
        <w:pStyle w:val="Compact"/>
        <w:numPr>
          <w:ilvl w:val="0"/>
          <w:numId w:val="10"/>
        </w:numPr>
      </w:pPr>
      <w:r>
        <w:t>부채 듀레이션 및 PV01 산출</w:t>
      </w:r>
    </w:p>
    <w:p>
      <w:pPr>
        <w:pStyle w:val="Heading3"/>
      </w:pPr>
      <w:bookmarkEnd w:id="18"/>
      <w:bookmarkStart w:id="19" w:name="자산-관리"/>
      <w:r>
        <w:t>6.2 자산 관리</w:t>
      </w:r>
    </w:p>
    <w:p>
      <w:pPr>
        <w:pStyle w:val="Compact"/>
        <w:numPr>
          <w:ilvl w:val="0"/>
          <w:numId w:val="11"/>
        </w:numPr>
      </w:pPr>
      <w:r>
        <w:t>사외적립자산 포트폴리오 현황</w:t>
      </w:r>
    </w:p>
    <w:p>
      <w:pPr>
        <w:pStyle w:val="Compact"/>
        <w:numPr>
          <w:ilvl w:val="0"/>
          <w:numId w:val="11"/>
        </w:numPr>
      </w:pPr>
      <w:r>
        <w:t>자산 듀레이션, 유동성, 수익률, 리스크</w:t>
      </w:r>
    </w:p>
    <w:p>
      <w:pPr>
        <w:pStyle w:val="Heading3"/>
      </w:pPr>
      <w:bookmarkEnd w:id="19"/>
      <w:bookmarkStart w:id="20" w:name="갭-분석"/>
      <w:r>
        <w:t>6.3 갭 분석</w:t>
      </w:r>
    </w:p>
    <w:p>
      <w:pPr>
        <w:pStyle w:val="Compact"/>
        <w:numPr>
          <w:ilvl w:val="0"/>
          <w:numId w:val="12"/>
        </w:numPr>
      </w:pPr>
      <w:r>
        <w:t>듀레이션 갭</w:t>
      </w:r>
    </w:p>
    <w:p>
      <w:pPr>
        <w:pStyle w:val="Compact"/>
        <w:numPr>
          <w:ilvl w:val="0"/>
          <w:numId w:val="12"/>
        </w:numPr>
      </w:pPr>
      <w:r>
        <w:t>현금흐름 매칭률(1년/3년/5년)</w:t>
      </w:r>
    </w:p>
    <w:p>
      <w:pPr>
        <w:pStyle w:val="Compact"/>
        <w:numPr>
          <w:ilvl w:val="0"/>
          <w:numId w:val="12"/>
        </w:numPr>
      </w:pPr>
      <w:r>
        <w:t>부족 발생 구간 식별</w:t>
      </w:r>
    </w:p>
    <w:p>
      <w:r>
        <w:pict>
          <v:rect id="1031" style="margin-left:0pt;margin-top:0pt;width:0pt;height:1.5pt;mso-position-horizontal-relative:column;mso-position-vertical-relative:line;z-index:0" o:hrpct="1000" o:hralign="center" o:hrstd="t" o:hrnoshade="f" o:hr="t" o:allowincell="t" filled="t" fillcolor="#ffffff" stroked="t" strokecolor="#0" strokeweight="1pt">
            <v:stroke joinstyle="round"/>
          </v:rect>
        </w:pict>
      </w:r>
    </w:p>
    <w:p>
      <w:pPr>
        <w:pStyle w:val="Heading2"/>
      </w:pPr>
      <w:bookmarkEnd w:id="17"/>
      <w:bookmarkEnd w:id="20"/>
      <w:bookmarkStart w:id="21" w:name="재정검증funding-test"/>
      <w:r>
        <w:t>7. 재정검증(Funding Test)</w:t>
      </w:r>
    </w:p>
    <w:p>
      <w:pPr>
        <w:pStyle w:val="Heading3"/>
      </w:pPr>
      <w:bookmarkStart w:id="22" w:name="목적"/>
      <w:r>
        <w:t>7.1 목적</w:t>
      </w:r>
    </w:p>
    <w:p>
      <w:pPr>
        <w:pStyle w:val="Compact"/>
        <w:numPr>
          <w:ilvl w:val="0"/>
          <w:numId w:val="13"/>
        </w:numPr>
      </w:pPr>
      <w:r>
        <w:t>장기 재정 지속 가능성 평가</w:t>
      </w:r>
    </w:p>
    <w:p>
      <w:pPr>
        <w:pStyle w:val="Compact"/>
        <w:numPr>
          <w:ilvl w:val="0"/>
          <w:numId w:val="13"/>
        </w:numPr>
      </w:pPr>
      <w:r>
        <w:t>적립비율 착시 방지</w:t>
      </w:r>
    </w:p>
    <w:p>
      <w:pPr>
        <w:pStyle w:val="Heading3"/>
      </w:pPr>
      <w:bookmarkEnd w:id="22"/>
      <w:bookmarkStart w:id="23" w:name="주요-지표"/>
      <w:r>
        <w:t>7.2 주요 지표</w:t>
      </w:r>
    </w:p>
    <w:p>
      <w:pPr>
        <w:pStyle w:val="Compact"/>
        <w:numPr>
          <w:ilvl w:val="0"/>
          <w:numId w:val="14"/>
        </w:numPr>
      </w:pPr>
      <w:r>
        <w:t>5년 / 10년 / 20년 적립비율 전망</w:t>
      </w:r>
    </w:p>
    <w:p>
      <w:pPr>
        <w:pStyle w:val="Compact"/>
        <w:numPr>
          <w:ilvl w:val="0"/>
          <w:numId w:val="14"/>
        </w:numPr>
      </w:pPr>
      <w:r>
        <w:t>자금 부족 발생 시점</w:t>
      </w:r>
    </w:p>
    <w:p>
      <w:pPr>
        <w:pStyle w:val="Compact"/>
        <w:numPr>
          <w:ilvl w:val="0"/>
          <w:numId w:val="14"/>
        </w:numPr>
      </w:pPr>
      <w:r>
        <w:t>추가 적립 필요액</w:t>
      </w:r>
    </w:p>
    <w:p>
      <w:pPr>
        <w:pStyle w:val="Heading3"/>
      </w:pPr>
      <w:bookmarkEnd w:id="23"/>
      <w:bookmarkStart w:id="24" w:name="시나리오-분석"/>
      <w:r>
        <w:t>7.3 시나리오 분석</w:t>
      </w:r>
    </w:p>
    <w:p>
      <w:pPr>
        <w:pStyle w:val="Compact"/>
        <w:numPr>
          <w:ilvl w:val="0"/>
          <w:numId w:val="15"/>
        </w:numPr>
      </w:pPr>
      <w:r>
        <w:t>기대수익률 변화</w:t>
      </w:r>
    </w:p>
    <w:p>
      <w:pPr>
        <w:pStyle w:val="Compact"/>
        <w:numPr>
          <w:ilvl w:val="0"/>
          <w:numId w:val="15"/>
        </w:numPr>
      </w:pPr>
      <w:r>
        <w:t>임금상승률 변화</w:t>
      </w:r>
    </w:p>
    <w:p>
      <w:pPr>
        <w:pStyle w:val="Compact"/>
        <w:numPr>
          <w:ilvl w:val="0"/>
          <w:numId w:val="15"/>
        </w:numPr>
      </w:pPr>
      <w:r>
        <w:t>신규채용 가정</w:t>
      </w:r>
    </w:p>
    <w:p>
      <w:pPr>
        <w:pStyle w:val="Compact"/>
        <w:numPr>
          <w:ilvl w:val="0"/>
          <w:numId w:val="15"/>
        </w:numPr>
      </w:pPr>
      <w:r>
        <w:t>적립정책 변경</w:t>
      </w:r>
    </w:p>
    <w:p>
      <w:r>
        <w:pict>
          <v:rect id="1032" style="margin-left:0pt;margin-top:0pt;width:0pt;height:1.5pt;mso-position-horizontal-relative:column;mso-position-vertical-relative:line;z-index:0" o:hrpct="1000" o:hralign="center" o:hrstd="t" o:hrnoshade="f" o:hr="t" o:allowincell="t" filled="t" fillcolor="#ffffff" stroked="t" strokecolor="#0" strokeweight="1pt">
            <v:stroke joinstyle="round"/>
          </v:rect>
        </w:pict>
      </w:r>
    </w:p>
    <w:p>
      <w:pPr>
        <w:pStyle w:val="Heading2"/>
      </w:pPr>
      <w:bookmarkEnd w:id="21"/>
      <w:bookmarkEnd w:id="24"/>
      <w:bookmarkStart w:id="25" w:name="ai-의사결정-지원-기능"/>
      <w:r>
        <w:t>8. AI 의사결정 지원 기능</w:t>
      </w:r>
    </w:p>
    <w:p>
      <w:pPr>
        <w:pStyle w:val="Heading3"/>
      </w:pPr>
      <w:bookmarkStart w:id="26" w:name="가정-적정성-평가"/>
      <w:r>
        <w:t>8.1 가정 적정성 평가</w:t>
      </w:r>
    </w:p>
    <w:p>
      <w:pPr>
        <w:pStyle w:val="Compact"/>
        <w:numPr>
          <w:ilvl w:val="0"/>
          <w:numId w:val="16"/>
        </w:numPr>
      </w:pPr>
      <w:r>
        <w:t>현재 가정 vs 과거 추세 vs 시장 데이터 비교</w:t>
      </w:r>
    </w:p>
    <w:p>
      <w:pPr>
        <w:pStyle w:val="Compact"/>
        <w:numPr>
          <w:ilvl w:val="0"/>
          <w:numId w:val="16"/>
        </w:numPr>
      </w:pPr>
      <w:r>
        <w:t>가정별 적정성 점수 제공</w:t>
      </w:r>
    </w:p>
    <w:p>
      <w:pPr>
        <w:pStyle w:val="Heading3"/>
      </w:pPr>
      <w:bookmarkEnd w:id="26"/>
      <w:bookmarkStart w:id="27" w:name="데이터-이상치-탐지"/>
      <w:r>
        <w:t>8.2 데이터 이상치 탐지</w:t>
      </w:r>
    </w:p>
    <w:p>
      <w:pPr>
        <w:pStyle w:val="Compact"/>
        <w:numPr>
          <w:ilvl w:val="0"/>
          <w:numId w:val="17"/>
        </w:numPr>
      </w:pPr>
      <w:r>
        <w:t>명부 및 급여 패턴 기반 이상 탐지</w:t>
      </w:r>
    </w:p>
    <w:p>
      <w:pPr>
        <w:pStyle w:val="Compact"/>
        <w:numPr>
          <w:ilvl w:val="0"/>
          <w:numId w:val="17"/>
        </w:numPr>
      </w:pPr>
      <w:r>
        <w:t>HR 확인 및 조치 이력 관리</w:t>
      </w:r>
    </w:p>
    <w:p>
      <w:pPr>
        <w:pStyle w:val="Heading3"/>
      </w:pPr>
      <w:bookmarkEnd w:id="27"/>
      <w:bookmarkStart w:id="28" w:name="alm-전략-추천"/>
      <w:r>
        <w:t>8.3 ALM 전략 추천</w:t>
      </w:r>
    </w:p>
    <w:p>
      <w:pPr>
        <w:pStyle w:val="Compact"/>
        <w:numPr>
          <w:ilvl w:val="0"/>
          <w:numId w:val="18"/>
        </w:numPr>
      </w:pPr>
      <w:r>
        <w:t>듀레이션 조정</w:t>
      </w:r>
    </w:p>
    <w:p>
      <w:pPr>
        <w:pStyle w:val="Compact"/>
        <w:numPr>
          <w:ilvl w:val="0"/>
          <w:numId w:val="18"/>
        </w:numPr>
      </w:pPr>
      <w:r>
        <w:t>자산 배분 변경</w:t>
      </w:r>
    </w:p>
    <w:p>
      <w:pPr>
        <w:pStyle w:val="Compact"/>
        <w:numPr>
          <w:ilvl w:val="0"/>
          <w:numId w:val="18"/>
        </w:numPr>
      </w:pPr>
      <w:r>
        <w:t>추가 적립 시나리오 제안</w:t>
      </w:r>
    </w:p>
    <w:p>
      <w:pPr>
        <w:pStyle w:val="Heading3"/>
      </w:pPr>
      <w:bookmarkEnd w:id="28"/>
      <w:bookmarkStart w:id="29" w:name="재정위험-조기경보"/>
      <w:r>
        <w:t>8.4 재정위험 조기경보</w:t>
      </w:r>
    </w:p>
    <w:p>
      <w:pPr>
        <w:pStyle w:val="Compact"/>
        <w:numPr>
          <w:ilvl w:val="0"/>
          <w:numId w:val="19"/>
        </w:numPr>
      </w:pPr>
      <w:r>
        <w:t>적립비율 하락 가능성 예측</w:t>
      </w:r>
    </w:p>
    <w:p>
      <w:pPr>
        <w:pStyle w:val="Compact"/>
        <w:numPr>
          <w:ilvl w:val="0"/>
          <w:numId w:val="19"/>
        </w:numPr>
      </w:pPr>
      <w:r>
        <w:t>현금부족 리스크 사전 경고</w:t>
      </w:r>
    </w:p>
    <w:p>
      <w:pPr>
        <w:pStyle w:val="Heading3"/>
      </w:pPr>
      <w:bookmarkEnd w:id="29"/>
      <w:bookmarkStart w:id="30" w:name="설명-자동-생성"/>
      <w:r>
        <w:t>8.5 설명 자동 생성</w:t>
      </w:r>
    </w:p>
    <w:p>
      <w:pPr>
        <w:pStyle w:val="Compact"/>
        <w:numPr>
          <w:ilvl w:val="0"/>
          <w:numId w:val="20"/>
        </w:numPr>
      </w:pPr>
      <w:r>
        <w:t>IFRS 주석 문구</w:t>
      </w:r>
    </w:p>
    <w:p>
      <w:pPr>
        <w:pStyle w:val="Compact"/>
        <w:numPr>
          <w:ilvl w:val="0"/>
          <w:numId w:val="20"/>
        </w:numPr>
      </w:pPr>
      <w:r>
        <w:t>이사회·경영진 보고용 요약</w:t>
      </w:r>
    </w:p>
    <w:p>
      <w:pPr>
        <w:pStyle w:val="Compact"/>
        <w:numPr>
          <w:ilvl w:val="0"/>
          <w:numId w:val="20"/>
        </w:numPr>
      </w:pPr>
      <w:r>
        <w:t>감사 질의 대응 문서</w:t>
      </w:r>
    </w:p>
    <w:p>
      <w:r>
        <w:pict>
          <v:rect id="1033" style="margin-left:0pt;margin-top:0pt;width:0pt;height:1.5pt;mso-position-horizontal-relative:column;mso-position-vertical-relative:line;z-index:0" o:hrpct="1000" o:hralign="center" o:hrstd="t" o:hrnoshade="f" o:hr="t" o:allowincell="t" filled="t" fillcolor="#ffffff" stroked="t" strokecolor="#0" strokeweight="1pt">
            <v:stroke joinstyle="round"/>
          </v:rect>
        </w:pict>
      </w:r>
    </w:p>
    <w:p>
      <w:pPr>
        <w:pStyle w:val="Heading2"/>
      </w:pPr>
      <w:bookmarkEnd w:id="25"/>
      <w:bookmarkEnd w:id="30"/>
      <w:bookmarkStart w:id="31" w:name="권한-및-거버넌스"/>
      <w:r>
        <w:t>9. 권한 및 거버넌스</w:t>
      </w:r>
    </w:p>
    <w:p>
      <w:pPr>
        <w:pStyle w:val="Heading3"/>
      </w:pPr>
      <w:bookmarkStart w:id="32" w:name="역할-기반-접근-제어rbac"/>
      <w:r>
        <w:t>9.1 역할 기반 접근 제어(RBAC)</w:t>
      </w:r>
    </w:p>
    <w:p>
      <w:pPr>
        <w:pStyle w:val="Compact"/>
        <w:numPr>
          <w:ilvl w:val="0"/>
          <w:numId w:val="21"/>
        </w:numPr>
      </w:pPr>
      <w:r>
        <w:t>회계: IFRS 계산·분개 확정</w:t>
      </w:r>
    </w:p>
    <w:p>
      <w:pPr>
        <w:pStyle w:val="Compact"/>
        <w:numPr>
          <w:ilvl w:val="0"/>
          <w:numId w:val="21"/>
        </w:numPr>
      </w:pPr>
      <w:r>
        <w:t>재무: ALM 분석·재정검증</w:t>
      </w:r>
    </w:p>
    <w:p>
      <w:pPr>
        <w:pStyle w:val="Compact"/>
        <w:numPr>
          <w:ilvl w:val="0"/>
          <w:numId w:val="21"/>
        </w:numPr>
      </w:pPr>
      <w:r>
        <w:t>HR: 명부 관리</w:t>
      </w:r>
    </w:p>
    <w:p>
      <w:pPr>
        <w:pStyle w:val="Compact"/>
        <w:numPr>
          <w:ilvl w:val="0"/>
          <w:numId w:val="21"/>
        </w:numPr>
      </w:pPr>
      <w:r>
        <w:t>감사: 조회 및 로그 검증</w:t>
      </w:r>
    </w:p>
    <w:p>
      <w:pPr>
        <w:pStyle w:val="Compact"/>
        <w:numPr>
          <w:ilvl w:val="0"/>
          <w:numId w:val="21"/>
        </w:numPr>
      </w:pPr>
      <w:r>
        <w:t>관리자: 전체 설정</w:t>
      </w:r>
    </w:p>
    <w:p>
      <w:pPr>
        <w:pStyle w:val="Heading3"/>
      </w:pPr>
      <w:bookmarkEnd w:id="32"/>
      <w:bookmarkStart w:id="33" w:name="ai-거버넌스"/>
      <w:r>
        <w:t>9.2 AI 거버넌스</w:t>
      </w:r>
    </w:p>
    <w:p>
      <w:pPr>
        <w:pStyle w:val="Compact"/>
        <w:numPr>
          <w:ilvl w:val="0"/>
          <w:numId w:val="22"/>
        </w:numPr>
      </w:pPr>
      <w:r>
        <w:t>AI 자동 반영 금지</w:t>
      </w:r>
    </w:p>
    <w:p>
      <w:pPr>
        <w:pStyle w:val="Compact"/>
        <w:numPr>
          <w:ilvl w:val="0"/>
          <w:numId w:val="22"/>
        </w:numPr>
      </w:pPr>
      <w:r>
        <w:t>모든 추천에 설명 및 근거 제공</w:t>
      </w:r>
    </w:p>
    <w:p>
      <w:pPr>
        <w:pStyle w:val="Compact"/>
        <w:numPr>
          <w:ilvl w:val="0"/>
          <w:numId w:val="22"/>
        </w:numPr>
      </w:pPr>
      <w:r>
        <w:t>판단 이력 및 로그 영구 보관</w:t>
      </w:r>
    </w:p>
    <w:p>
      <w:r>
        <w:pict>
          <v:rect id="1034" style="margin-left:0pt;margin-top:0pt;width:0pt;height:1.5pt;mso-position-horizontal-relative:column;mso-position-vertical-relative:line;z-index:0" o:hrpct="1000" o:hralign="center" o:hrstd="t" o:hrnoshade="f" o:hr="t" o:allowincell="t" filled="t" fillcolor="#ffffff" stroked="t" strokecolor="#0" strokeweight="1pt">
            <v:stroke joinstyle="round"/>
          </v:rect>
        </w:pict>
      </w:r>
    </w:p>
    <w:p>
      <w:pPr>
        <w:pStyle w:val="Heading2"/>
      </w:pPr>
      <w:bookmarkEnd w:id="31"/>
      <w:bookmarkEnd w:id="33"/>
      <w:bookmarkStart w:id="34" w:name="도입-로드맵"/>
      <w:r>
        <w:t>10. 도입 로드맵</w:t>
      </w:r>
    </w:p>
    <w:p>
      <w:pPr>
        <w:pStyle w:val="Compact"/>
        <w:numPr>
          <w:ilvl w:val="0"/>
          <w:numId w:val="23"/>
        </w:numPr>
        <w:rPr>
          <w:lang w:eastAsia="ko-KR"/>
          <w:rFonts w:hint="eastAsia"/>
          <w:rtl w:val="off"/>
        </w:rPr>
      </w:pPr>
      <w:bookmarkStart w:id="35" w:name="phase-1-34개월"/>
      <w:r>
        <w:t xml:space="preserve">Phase 1 </w:t>
      </w:r>
    </w:p>
    <w:p>
      <w:pPr>
        <w:pStyle w:val="Compact"/>
        <w:numPr>
          <w:ilvl w:val="0"/>
          <w:numId w:val="23"/>
        </w:numPr>
      </w:pPr>
      <w:r>
        <w:t>IFRS 계산 자동화</w:t>
      </w:r>
    </w:p>
    <w:p>
      <w:pPr>
        <w:pStyle w:val="Compact"/>
        <w:numPr>
          <w:ilvl w:val="0"/>
          <w:numId w:val="23"/>
        </w:numPr>
      </w:pPr>
      <w:r>
        <w:t>데이터 정합성 및 감사 대응 체계 구축</w:t>
      </w:r>
    </w:p>
    <w:p>
      <w:pPr>
        <w:pStyle w:val="Heading3"/>
      </w:pPr>
      <w:bookmarkEnd w:id="35"/>
      <w:bookmarkStart w:id="36" w:name="phase-2-23개월"/>
      <w:r>
        <w:t xml:space="preserve">Phase 2 </w:t>
      </w:r>
    </w:p>
    <w:p>
      <w:pPr>
        <w:pStyle w:val="Compact"/>
        <w:numPr>
          <w:ilvl w:val="0"/>
          <w:numId w:val="24"/>
        </w:numPr>
      </w:pPr>
      <w:r>
        <w:t>ALM 갭 분석</w:t>
      </w:r>
    </w:p>
    <w:p>
      <w:pPr>
        <w:pStyle w:val="Compact"/>
        <w:numPr>
          <w:ilvl w:val="0"/>
          <w:numId w:val="24"/>
        </w:numPr>
      </w:pPr>
      <w:r>
        <w:t>재정검증 대시보드</w:t>
      </w:r>
    </w:p>
    <w:p>
      <w:pPr>
        <w:pStyle w:val="Heading3"/>
      </w:pPr>
      <w:bookmarkEnd w:id="36"/>
      <w:bookmarkStart w:id="37" w:name="phase-3-선택-2개월"/>
      <w:r>
        <w:t xml:space="preserve">Phase 3 </w:t>
      </w:r>
    </w:p>
    <w:p>
      <w:pPr>
        <w:pStyle w:val="Compact"/>
        <w:numPr>
          <w:ilvl w:val="0"/>
          <w:numId w:val="25"/>
        </w:numPr>
      </w:pPr>
      <w:r>
        <w:t>AI 의사결정 지원 기능 확장</w:t>
      </w:r>
    </w:p>
    <w:p>
      <w:r>
        <w:pict>
          <v:rect id="1035" style="margin-left:0pt;margin-top:0pt;width:0pt;height:1.5pt;mso-position-horizontal-relative:column;mso-position-vertical-relative:line;z-index:0" o:hrpct="1000" o:hralign="center" o:hrstd="t" o:hrnoshade="f" o:hr="t" o:allowincell="t" filled="t" fillcolor="#ffffff" stroked="t" strokecolor="#0" strokeweight="1pt">
            <v:stroke joinstyle="round"/>
          </v:rect>
        </w:pict>
      </w:r>
    </w:p>
    <w:p>
      <w:pPr>
        <w:pStyle w:val="Heading2"/>
      </w:pPr>
      <w:bookmarkEnd w:id="34"/>
      <w:bookmarkEnd w:id="37"/>
      <w:bookmarkStart w:id="38" w:name="기대-효과"/>
      <w:r>
        <w:t>11. 기대 효과</w:t>
      </w:r>
    </w:p>
    <w:p>
      <w:pPr>
        <w:pStyle w:val="Compact"/>
        <w:numPr>
          <w:ilvl w:val="0"/>
          <w:numId w:val="26"/>
        </w:numPr>
      </w:pPr>
      <w:r>
        <w:t>외부 컨설팅 비용 절감</w:t>
      </w:r>
    </w:p>
    <w:p>
      <w:pPr>
        <w:pStyle w:val="Compact"/>
        <w:numPr>
          <w:ilvl w:val="0"/>
          <w:numId w:val="26"/>
        </w:numPr>
      </w:pPr>
      <w:r>
        <w:t>결산 및 감사 리스크 감소</w:t>
      </w:r>
    </w:p>
    <w:p>
      <w:pPr>
        <w:pStyle w:val="Compact"/>
        <w:numPr>
          <w:ilvl w:val="0"/>
          <w:numId w:val="26"/>
        </w:numPr>
      </w:pPr>
      <w:r>
        <w:t>장기 재정위험 사전 관리</w:t>
      </w:r>
    </w:p>
    <w:p>
      <w:pPr>
        <w:pStyle w:val="Compact"/>
        <w:numPr>
          <w:ilvl w:val="0"/>
          <w:numId w:val="26"/>
        </w:numPr>
      </w:pPr>
      <w:r>
        <w:t>조직 지식의 시스템화</w:t>
      </w:r>
    </w:p>
    <w:p>
      <w:pPr>
        <w:pStyle w:val="Compact"/>
        <w:numPr>
          <w:ilvl w:val="0"/>
          <w:numId w:val="26"/>
        </w:numPr>
        <w:rPr>
          <w:lang/>
          <w:rtl w:val="off"/>
        </w:rPr>
      </w:pPr>
      <w:r>
        <w:t>경영진 의사결정 품질 향상</w:t>
      </w:r>
    </w:p>
    <w:p>
      <w:pPr>
        <w:rPr>
          <w:lang/>
          <w:rtl w:val="off"/>
        </w:rPr>
      </w:pPr>
    </w:p>
    <w:p>
      <w:pPr>
        <w:pStyle w:val="Heading1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퇴직연금 통합 관리 플랫폼</w:t>
      </w:r>
      <w:r>
        <w:rPr>
          <w:lang w:eastAsia="ko-KR"/>
          <w:b/>
          <w:bCs/>
          <w:sz w:val="24"/>
          <w:szCs w:val="24"/>
          <w:rtl w:val="off"/>
        </w:rPr>
        <w:t xml:space="preserve"> </w:t>
      </w:r>
      <w:r>
        <w:rPr>
          <w:b/>
          <w:bCs/>
          <w:sz w:val="24"/>
          <w:szCs w:val="24"/>
        </w:rPr>
        <w:t>경쟁/대체 수단 대비 포지션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6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구분</w:t>
            </w:r>
          </w:p>
        </w:tc>
        <w:tc>
          <w:tcPr>
            <w:tcW w:w="1728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엑셀</w:t>
            </w:r>
          </w:p>
        </w:tc>
        <w:tc>
          <w:tcPr>
            <w:tcW w:w="1728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외부 컨설팅</w:t>
            </w:r>
          </w:p>
        </w:tc>
        <w:tc>
          <w:tcPr>
            <w:tcW w:w="1728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단일 ALM 툴</w:t>
            </w:r>
          </w:p>
        </w:tc>
        <w:tc>
          <w:tcPr>
            <w:tcW w:w="1728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본 시스템</w:t>
            </w:r>
          </w:p>
        </w:tc>
      </w:tr>
      <w:tr>
        <w:trPr>
          <w:trHeight w:val="566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IFRS 1019 계산</w:t>
            </w:r>
          </w:p>
        </w:tc>
        <w:tc>
          <w:tcPr>
            <w:tcW w:w="1728" w:type="dxa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△</w:t>
            </w:r>
          </w:p>
        </w:tc>
        <w:tc>
          <w:tcPr>
            <w:tcW w:w="1728" w:type="dxa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●</w:t>
            </w:r>
          </w:p>
        </w:tc>
        <w:tc>
          <w:tcPr>
            <w:tcW w:w="1728" w:type="dxa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×</w:t>
            </w:r>
          </w:p>
        </w:tc>
        <w:tc>
          <w:tcPr>
            <w:tcW w:w="1728" w:type="dxa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●</w:t>
            </w:r>
          </w:p>
        </w:tc>
      </w:tr>
      <w:tr>
        <w:trPr>
          <w:trHeight w:val="566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ALM 분석</w:t>
            </w:r>
          </w:p>
        </w:tc>
        <w:tc>
          <w:tcPr>
            <w:tcW w:w="1728" w:type="dxa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×</w:t>
            </w:r>
          </w:p>
        </w:tc>
        <w:tc>
          <w:tcPr>
            <w:tcW w:w="1728" w:type="dxa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△</w:t>
            </w:r>
          </w:p>
        </w:tc>
        <w:tc>
          <w:tcPr>
            <w:tcW w:w="1728" w:type="dxa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●</w:t>
            </w:r>
          </w:p>
        </w:tc>
        <w:tc>
          <w:tcPr>
            <w:tcW w:w="1728" w:type="dxa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●</w:t>
            </w:r>
          </w:p>
        </w:tc>
      </w:tr>
      <w:tr>
        <w:trPr>
          <w:trHeight w:val="566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장기 재정검증</w:t>
            </w:r>
          </w:p>
        </w:tc>
        <w:tc>
          <w:tcPr>
            <w:tcW w:w="1728" w:type="dxa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×</w:t>
            </w:r>
          </w:p>
        </w:tc>
        <w:tc>
          <w:tcPr>
            <w:tcW w:w="1728" w:type="dxa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△</w:t>
            </w:r>
          </w:p>
        </w:tc>
        <w:tc>
          <w:tcPr>
            <w:tcW w:w="1728" w:type="dxa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△</w:t>
            </w:r>
          </w:p>
        </w:tc>
        <w:tc>
          <w:tcPr>
            <w:tcW w:w="1728" w:type="dxa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●</w:t>
            </w:r>
          </w:p>
        </w:tc>
      </w:tr>
      <w:tr>
        <w:trPr>
          <w:trHeight w:val="566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AI 의사결정 지원</w:t>
            </w:r>
          </w:p>
        </w:tc>
        <w:tc>
          <w:tcPr>
            <w:tcW w:w="1728" w:type="dxa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×</w:t>
            </w:r>
          </w:p>
        </w:tc>
        <w:tc>
          <w:tcPr>
            <w:tcW w:w="1728" w:type="dxa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×</w:t>
            </w:r>
          </w:p>
        </w:tc>
        <w:tc>
          <w:tcPr>
            <w:tcW w:w="1728" w:type="dxa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×</w:t>
            </w:r>
          </w:p>
        </w:tc>
        <w:tc>
          <w:tcPr>
            <w:tcW w:w="1728" w:type="dxa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●</w:t>
            </w:r>
          </w:p>
        </w:tc>
      </w:tr>
      <w:tr>
        <w:trPr>
          <w:trHeight w:val="566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감사 대응·재현성</w:t>
            </w:r>
          </w:p>
        </w:tc>
        <w:tc>
          <w:tcPr>
            <w:tcW w:w="1728" w:type="dxa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×</w:t>
            </w:r>
          </w:p>
        </w:tc>
        <w:tc>
          <w:tcPr>
            <w:tcW w:w="1728" w:type="dxa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△</w:t>
            </w:r>
          </w:p>
        </w:tc>
        <w:tc>
          <w:tcPr>
            <w:tcW w:w="1728" w:type="dxa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×</w:t>
            </w:r>
          </w:p>
        </w:tc>
        <w:tc>
          <w:tcPr>
            <w:tcW w:w="1728" w:type="dxa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●</w:t>
            </w:r>
          </w:p>
        </w:tc>
      </w:tr>
      <w:tr>
        <w:trPr>
          <w:trHeight w:val="566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내부 데이터 통합</w:t>
            </w:r>
          </w:p>
        </w:tc>
        <w:tc>
          <w:tcPr>
            <w:tcW w:w="1728" w:type="dxa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△</w:t>
            </w:r>
          </w:p>
        </w:tc>
        <w:tc>
          <w:tcPr>
            <w:tcW w:w="1728" w:type="dxa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×</w:t>
            </w:r>
          </w:p>
        </w:tc>
        <w:tc>
          <w:tcPr>
            <w:tcW w:w="1728" w:type="dxa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△</w:t>
            </w:r>
          </w:p>
        </w:tc>
        <w:tc>
          <w:tcPr>
            <w:tcW w:w="1728" w:type="dxa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●</w:t>
            </w:r>
          </w:p>
        </w:tc>
      </w:tr>
      <w:tr>
        <w:trPr>
          <w:trHeight w:val="566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지속적 활용</w:t>
            </w:r>
          </w:p>
        </w:tc>
        <w:tc>
          <w:tcPr>
            <w:tcW w:w="1728" w:type="dxa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×</w:t>
            </w:r>
          </w:p>
        </w:tc>
        <w:tc>
          <w:tcPr>
            <w:tcW w:w="1728" w:type="dxa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×</w:t>
            </w:r>
          </w:p>
        </w:tc>
        <w:tc>
          <w:tcPr>
            <w:tcW w:w="1728" w:type="dxa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△</w:t>
            </w:r>
          </w:p>
        </w:tc>
        <w:tc>
          <w:tcPr>
            <w:tcW w:w="1728" w:type="dxa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●</w:t>
            </w:r>
          </w:p>
        </w:tc>
      </w:tr>
      <w:tr>
        <w:trPr>
          <w:trHeight w:val="566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조직 지식 내재화</w:t>
            </w:r>
          </w:p>
        </w:tc>
        <w:tc>
          <w:tcPr>
            <w:tcW w:w="1728" w:type="dxa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×</w:t>
            </w:r>
          </w:p>
        </w:tc>
        <w:tc>
          <w:tcPr>
            <w:tcW w:w="1728" w:type="dxa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×</w:t>
            </w:r>
          </w:p>
        </w:tc>
        <w:tc>
          <w:tcPr>
            <w:tcW w:w="1728" w:type="dxa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×</w:t>
            </w:r>
          </w:p>
        </w:tc>
        <w:tc>
          <w:tcPr>
            <w:tcW w:w="1728" w:type="dxa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●</w:t>
            </w:r>
          </w:p>
        </w:tc>
      </w:tr>
    </w:tbl>
    <w:p>
      <w:pPr>
        <w:rPr>
          <w:lang/>
          <w:rtl w:val="off"/>
        </w:rPr>
      </w:pPr>
    </w:p>
    <w:p>
      <w:pPr>
        <w:pStyle w:val="Heading1"/>
        <w:rPr>
          <w:lang/>
          <w:rtl w:val="off"/>
        </w:rPr>
      </w:pPr>
      <w:r>
        <w:rPr>
          <w:lang w:eastAsia="ko-KR"/>
          <w:b/>
          <w:bCs/>
          <w:sz w:val="24"/>
          <w:szCs w:val="24"/>
          <w:rtl w:val="off"/>
        </w:rPr>
        <w:t>이 시스템 도입후</w:t>
      </w:r>
    </w:p>
    <w:tbl>
      <w:tblPr>
        <w:tblStyle w:val="a6"/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2906"/>
        <w:gridCol w:w="2906"/>
        <w:gridCol w:w="2906"/>
      </w:tblGrid>
      <w:tr>
        <w:trPr/>
        <w:tc>
          <w:tcPr/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항목</w:t>
            </w:r>
          </w:p>
        </w:tc>
        <w:tc>
          <w:tcPr/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Before</w:t>
            </w:r>
          </w:p>
        </w:tc>
        <w:tc>
          <w:tcPr/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After</w:t>
            </w:r>
          </w:p>
        </w:tc>
      </w:tr>
    </w:tbl>
    <w:tbl>
      <w:tblPr>
        <w:tblStyle w:val="a6"/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2906"/>
        <w:gridCol w:w="2906"/>
        <w:gridCol w:w="2906"/>
      </w:tblGrid>
      <w:tr>
        <w:trPr/>
        <w:tc>
          <w:tcPr/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IFRS 계산</w:t>
            </w:r>
          </w:p>
        </w:tc>
        <w:tc>
          <w:tcPr/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외부 의존</w:t>
            </w:r>
          </w:p>
        </w:tc>
        <w:tc>
          <w:tcPr/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내부 자동화</w:t>
            </w:r>
          </w:p>
        </w:tc>
      </w:tr>
    </w:tbl>
    <w:tbl>
      <w:tblPr>
        <w:tblStyle w:val="a6"/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2906"/>
        <w:gridCol w:w="2906"/>
        <w:gridCol w:w="2906"/>
      </w:tblGrid>
      <w:tr>
        <w:trPr/>
        <w:tc>
          <w:tcPr/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재정위험 인지</w:t>
            </w:r>
          </w:p>
        </w:tc>
        <w:tc>
          <w:tcPr/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사후</w:t>
            </w:r>
          </w:p>
        </w:tc>
        <w:tc>
          <w:tcPr/>
          <w:p>
            <w:pPr>
              <w:jc w:val="center"/>
              <w:rPr>
                <w:b w:val="0"/>
                <w:sz w:val="22"/>
                <w:szCs w:val="22"/>
              </w:rPr>
            </w:pPr>
            <w:r>
              <w:rPr>
                <w:sz w:val="22"/>
                <w:szCs w:val="22"/>
              </w:rPr>
              <w:t>3~5년 사전</w:t>
            </w:r>
          </w:p>
        </w:tc>
      </w:tr>
    </w:tbl>
    <w:tbl>
      <w:tblPr>
        <w:tblStyle w:val="a6"/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2906"/>
        <w:gridCol w:w="2906"/>
        <w:gridCol w:w="2906"/>
      </w:tblGrid>
      <w:tr>
        <w:trPr/>
        <w:tc>
          <w:tcPr/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ALM</w:t>
            </w:r>
          </w:p>
        </w:tc>
        <w:tc>
          <w:tcPr/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감각</w:t>
            </w:r>
          </w:p>
        </w:tc>
        <w:tc>
          <w:tcPr/>
          <w:p>
            <w:pPr>
              <w:jc w:val="center"/>
              <w:rPr>
                <w:b w:val="0"/>
                <w:sz w:val="22"/>
                <w:szCs w:val="22"/>
              </w:rPr>
            </w:pPr>
            <w:r>
              <w:rPr>
                <w:sz w:val="22"/>
                <w:szCs w:val="22"/>
              </w:rPr>
              <w:t>정량·시뮬 기반</w:t>
            </w:r>
          </w:p>
        </w:tc>
      </w:tr>
    </w:tbl>
    <w:tbl>
      <w:tblPr>
        <w:tblStyle w:val="a6"/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2906"/>
        <w:gridCol w:w="2906"/>
        <w:gridCol w:w="2906"/>
      </w:tblGrid>
      <w:tr>
        <w:trPr/>
        <w:tc>
          <w:tcPr/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감사 대응</w:t>
            </w:r>
          </w:p>
        </w:tc>
        <w:tc>
          <w:tcPr/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설명 노동</w:t>
            </w:r>
          </w:p>
        </w:tc>
        <w:tc>
          <w:tcPr/>
          <w:p>
            <w:pPr>
              <w:jc w:val="center"/>
              <w:rPr>
                <w:b w:val="0"/>
                <w:sz w:val="22"/>
                <w:szCs w:val="22"/>
              </w:rPr>
            </w:pPr>
            <w:r>
              <w:rPr>
                <w:sz w:val="22"/>
                <w:szCs w:val="22"/>
              </w:rPr>
              <w:t>자동 생성</w:t>
            </w:r>
          </w:p>
        </w:tc>
      </w:tr>
    </w:tbl>
    <w:tbl>
      <w:tblPr>
        <w:tblStyle w:val="a6"/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2906"/>
        <w:gridCol w:w="2906"/>
        <w:gridCol w:w="2906"/>
      </w:tblGrid>
      <w:tr>
        <w:trPr/>
        <w:tc>
          <w:tcPr/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의사결정</w:t>
            </w:r>
          </w:p>
        </w:tc>
        <w:tc>
          <w:tcPr/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개인</w:t>
            </w:r>
          </w:p>
        </w:tc>
        <w:tc>
          <w:tcPr/>
          <w:p>
            <w:pPr>
              <w:jc w:val="center"/>
              <w:rPr>
                <w:b w:val="0"/>
                <w:sz w:val="22"/>
                <w:szCs w:val="22"/>
              </w:rPr>
            </w:pPr>
            <w:r>
              <w:rPr>
                <w:sz w:val="22"/>
                <w:szCs w:val="22"/>
              </w:rPr>
              <w:t>시스템화</w:t>
            </w:r>
          </w:p>
        </w:tc>
      </w:tr>
    </w:tbl>
    <w:p>
      <w:pPr>
        <w:rPr/>
      </w:pPr>
    </w:p>
    <w:p>
      <w:pPr/>
    </w:p>
    <w:p>
      <w:r>
        <w:pict>
          <v:rect id="1036" style="margin-left:0pt;margin-top:0pt;width:0pt;height:1.5pt;mso-position-horizontal-relative:column;mso-position-vertical-relative:line;z-index:0" o:hrpct="1000" o:hralign="center" o:hrstd="t" o:hrnoshade="f" o:hr="t" o:allowincell="t" filled="t" fillcolor="#ffffff" stroked="t" strokecolor="#0" strokeweight="1pt">
            <v:stroke joinstyle="round"/>
          </v:rect>
        </w:pict>
      </w:r>
    </w:p>
    <w:p>
      <w:pPr>
        <w:pStyle w:val="Heading2"/>
      </w:pPr>
      <w:bookmarkEnd w:id="38"/>
      <w:bookmarkStart w:id="39" w:name="결론"/>
      <w:r>
        <w:t>12. 결론</w:t>
      </w:r>
    </w:p>
    <w:p>
      <w:pPr>
        <w:pStyle w:val="FirstParagraph"/>
      </w:pPr>
      <w:r>
        <w:t>본 퇴직연금 통합 관리 플랫폼은 단순한 IT 시스템이 아니라, 기업의</w:t>
      </w:r>
      <w:r>
        <w:t xml:space="preserve"> </w:t>
      </w:r>
      <w:r>
        <w:rPr>
          <w:b/>
          <w:bCs/>
        </w:rPr>
        <w:t>장기 인건비와 재무 안정성을 관리하는 핵심 전략 인프라</w:t>
      </w:r>
      <w:r>
        <w:t>이다.</w:t>
      </w:r>
    </w:p>
    <w:p>
      <w:pPr>
        <w:pStyle w:val="BodyText"/>
      </w:pPr>
      <w:r>
        <w:t>IFRS 기준의 정확한 회계 처리, ALM 기반의 미래 리스크 관리, AI를 활용한 의사결정 지원을 통해 기업은 퇴직급여를 더 이상 사후 관리 대상이 아닌</w:t>
      </w:r>
      <w:r>
        <w:t xml:space="preserve"> </w:t>
      </w:r>
      <w:r>
        <w:rPr>
          <w:b/>
          <w:bCs/>
        </w:rPr>
        <w:t>선제적 관리 자산</w:t>
      </w:r>
      <w:r>
        <w:t>으로 전환할 수 있다.</w:t>
      </w:r>
    </w:p>
    <w:p>
      <w:r>
        <w:pict>
          <v:rect id="1037" style="margin-left:0pt;margin-top:0pt;width:0pt;height:1.5pt;mso-position-horizontal-relative:column;mso-position-vertical-relative:line;z-index:0" o:hrpct="1000" o:hralign="center" o:hrstd="t" o:hrnoshade="f" o:hr="t" o:allowincell="t" filled="t" fillcolor="#ffffff" stroked="t" strokecolor="#0" strokeweight="1pt">
            <v:stroke joinstyle="round"/>
          </v:rect>
        </w:pict>
      </w:r>
    </w:p>
    <w:p>
      <w:pPr>
        <w:pStyle w:val="Heading2"/>
      </w:pPr>
      <w:r>
        <w:t>1</w:t>
      </w:r>
      <w:r>
        <w:rPr>
          <w:lang w:eastAsia="ko-KR"/>
          <w:rtl w:val="off"/>
        </w:rPr>
        <w:t>3</w:t>
      </w:r>
      <w:r>
        <w:t xml:space="preserve">. </w:t>
      </w:r>
      <w:r>
        <w:rPr>
          <w:lang w:eastAsia="ko-KR"/>
          <w:rtl w:val="off"/>
        </w:rPr>
        <w:t>비지니스 가치여부</w:t>
      </w:r>
    </w:p>
    <w:p>
      <w:pPr>
        <w:rPr>
          <w:lang w:eastAsia="ko-KR"/>
          <w:rFonts w:hint="eastAsia"/>
          <w:rtl w:val="off"/>
        </w:rPr>
      </w:pPr>
    </w:p>
    <w:p>
      <w:pPr>
        <w:rPr/>
      </w:pPr>
      <w:r>
        <w:rPr>
          <w:lang w:eastAsia="ko-KR"/>
          <w:rtl w:val="off"/>
        </w:rPr>
        <w:t>13-</w:t>
      </w:r>
      <w:r>
        <w:rPr/>
        <w:t xml:space="preserve">1. 요약 </w:t>
      </w:r>
    </w:p>
    <w:p>
      <w:pPr>
        <w:rPr/>
      </w:pPr>
      <w:r>
        <w:rPr/>
        <w:t>본 시스템은 ‘니치하지만 확실한 B2B 필수 시장’이며,</w:t>
      </w:r>
      <w:r>
        <w:rPr/>
        <w:br/>
      </w:r>
      <w:r>
        <w:rPr/>
        <w:t>국내만 보수적으로 잡아도 연 1,000억 원 내외의 잠재 시장이 존재합니다.</w:t>
      </w:r>
    </w:p>
    <w:p>
      <w:pPr>
        <w:rPr>
          <w:b w:val="0"/>
        </w:rPr>
      </w:pPr>
      <w:r>
        <w:rPr/>
        <w:t xml:space="preserve">수요 성격: </w:t>
      </w:r>
      <w:r>
        <w:rPr/>
        <w:t>의무·규제·리스크 기반 수요 (경기 비탄력적)</w:t>
      </w:r>
    </w:p>
    <w:p>
      <w:pPr>
        <w:rPr>
          <w:b w:val="0"/>
        </w:rPr>
      </w:pPr>
      <w:r>
        <w:rPr/>
        <w:t xml:space="preserve">고객: </w:t>
      </w:r>
      <w:r>
        <w:rPr/>
        <w:t>중견~대기업, 공공기관</w:t>
      </w:r>
    </w:p>
    <w:p>
      <w:pPr>
        <w:rPr/>
      </w:pPr>
      <w:r>
        <w:rPr/>
        <w:t>구매 결정자: CFO / 재무·회계 임원</w:t>
      </w:r>
    </w:p>
    <w:p>
      <w:pPr>
        <w:rPr>
          <w:b w:val="0"/>
        </w:rPr>
      </w:pPr>
      <w:r>
        <w:rPr/>
        <w:t xml:space="preserve">경쟁 상황: </w:t>
      </w:r>
      <w:r>
        <w:rPr/>
        <w:t>“제대로 된 통합 솔루션은 사실상 공백”</w:t>
      </w:r>
    </w:p>
    <w:p>
      <w:pPr>
        <w:rPr>
          <w:lang w:eastAsia="ko-KR"/>
          <w:rFonts w:hint="eastAsia"/>
          <w:rtl w:val="off"/>
        </w:rPr>
      </w:pPr>
    </w:p>
    <w:p>
      <w:pPr>
        <w:rPr/>
      </w:pPr>
      <w:r>
        <w:rPr>
          <w:lang w:eastAsia="ko-KR"/>
          <w:rtl w:val="off"/>
        </w:rPr>
        <w:t>13-</w:t>
      </w:r>
      <w:r>
        <w:rPr/>
        <w:t>2. 시장 정의 (TAM / SAM / SOM)</w:t>
      </w:r>
      <w:r>
        <w:rPr/>
        <w:t>2.1 타깃 시장 정의</w:t>
      </w:r>
      <w:r>
        <w:rPr/>
        <w:t>🎯 타깃 고객</w:t>
      </w:r>
    </w:p>
    <w:tbl>
      <w:tblPr>
        <w:tblStyle w:val="a6"/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4360"/>
        <w:gridCol w:w="4360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/w:tcPr>
          <w:p>
            <w:pPr>
              <w:rPr/>
            </w:pPr>
            <w:r>
              <w:rPr/>
              <w:t>구분</w:t>
            </w:r>
          </w:p>
        </w:tc>
        <w:tc>
          <w:tcPr/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/>
            </w:pPr>
            <w:r>
              <w:rPr/>
              <w:t>대상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/w:tcPr>
          <w:p>
            <w:pPr>
              <w:rPr/>
            </w:pPr>
            <w:r>
              <w:rPr/>
              <w:t>민간</w:t>
            </w:r>
          </w:p>
        </w:tc>
        <w:tc>
          <w:tcPr/>
          <w:p>
            <w:pPr>
              <w:rPr/>
            </w:pPr>
            <w:r>
              <w:rPr/>
              <w:t>상장사, 대기업, 중견기업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/w:tcPr>
          <w:p>
            <w:pPr>
              <w:rPr/>
            </w:pPr>
            <w:r>
              <w:rPr/>
              <w:t>공공</w:t>
            </w:r>
          </w:p>
        </w:tc>
        <w:tc>
          <w:tcPr/>
          <w:p>
            <w:pPr>
              <w:rPr/>
            </w:pPr>
            <w:r>
              <w:rPr/>
              <w:t>공기업, 준정부기관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/w:tcPr>
          <w:p>
            <w:pPr>
              <w:rPr/>
            </w:pPr>
            <w:r>
              <w:rPr/>
              <w:t>금융</w:t>
            </w:r>
          </w:p>
        </w:tc>
        <w:tc>
          <w:tcPr/>
          <w:p>
            <w:pPr>
              <w:rPr/>
            </w:pPr>
            <w:r>
              <w:rPr/>
              <w:t>금융지주, 보험, 연기금 자회사</w:t>
            </w:r>
          </w:p>
        </w:tc>
      </w:tr>
    </w:tbl>
    <w:p>
      <w:pPr>
        <w:rPr/>
      </w:pPr>
    </w:p>
    <w:p>
      <w:pPr>
        <w:rPr>
          <w:b w:val="0"/>
        </w:rPr>
      </w:pPr>
      <w:r>
        <w:rPr/>
        <w:t>IFRS 퇴직급여 부채 필수 공시</w:t>
      </w:r>
    </w:p>
    <w:p>
      <w:pPr>
        <w:rPr>
          <w:b w:val="0"/>
        </w:rPr>
      </w:pPr>
      <w:r>
        <w:rPr/>
        <w:t>퇴직연금(DB) 또는 혼합형 보유</w:t>
      </w:r>
    </w:p>
    <w:p>
      <w:pPr>
        <w:rPr>
          <w:b w:val="0"/>
        </w:rPr>
      </w:pPr>
      <w:r>
        <w:rPr/>
        <w:t>재정·회계 리스크 상시 관리 필요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/>
      </w:pPr>
      <w:r>
        <w:rPr>
          <w:lang w:eastAsia="ko-KR"/>
          <w:rtl w:val="off"/>
        </w:rPr>
        <w:t>13-3</w:t>
      </w:r>
      <w:r>
        <w:rPr/>
        <w:t xml:space="preserve"> 국내 시장 규모 (보수적 추정)</w:t>
      </w:r>
      <w:r>
        <w:rPr/>
        <w:t>(1) 대상 기업 수</w:t>
      </w:r>
    </w:p>
    <w:p>
      <w:pPr>
        <w:rPr>
          <w:b w:val="0"/>
        </w:rPr>
      </w:pPr>
      <w:r>
        <w:rPr/>
        <w:t>상장사 + 대기업 + 중견기업 + 공공기관</w:t>
      </w:r>
      <w:r>
        <w:rPr/>
        <w:br/>
      </w:r>
      <w:r>
        <w:rPr/>
        <w:t xml:space="preserve">→ </w:t>
      </w:r>
      <w:r>
        <w:rPr/>
        <w:t>약 4,000~5,000개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 xml:space="preserve">  </w:t>
      </w:r>
    </w:p>
    <w:p>
      <w:pPr>
        <w:rPr/>
      </w:pPr>
      <w:r>
        <w:rPr>
          <w:lang w:eastAsia="ko-KR"/>
          <w:rtl w:val="off"/>
        </w:rPr>
        <w:t>-</w:t>
      </w:r>
      <w:r>
        <w:rPr/>
        <w:t xml:space="preserve"> 연간 지불 가능 금액 (기업 1곳 기준)</w:t>
      </w:r>
    </w:p>
    <w:tbl>
      <w:tblPr>
        <w:tblStyle w:val="a6"/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4360"/>
        <w:gridCol w:w="4360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/w:tcPr>
          <w:p>
            <w:pPr>
              <w:rPr/>
            </w:pPr>
            <w:r>
              <w:rPr/>
              <w:t>유형</w:t>
            </w:r>
          </w:p>
        </w:tc>
        <w:tc>
          <w:tcPr/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/>
            </w:pPr>
            <w:r>
              <w:rPr/>
              <w:t>연 비용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/w:tcPr>
          <w:p>
            <w:pPr>
              <w:rPr/>
            </w:pPr>
            <w:r>
              <w:rPr/>
              <w:t>내부 구축형(라이선스+유지)</w:t>
            </w:r>
          </w:p>
        </w:tc>
        <w:tc>
          <w:tcPr/>
          <w:p>
            <w:pPr>
              <w:rPr/>
            </w:pPr>
            <w:r>
              <w:rPr/>
              <w:t>1.5~3억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/w:tcPr>
          <w:p>
            <w:pPr>
              <w:rPr/>
            </w:pPr>
            <w:r>
              <w:rPr/>
              <w:t>SaaS/구독형</w:t>
            </w:r>
          </w:p>
        </w:tc>
        <w:tc>
          <w:tcPr/>
          <w:p>
            <w:pPr>
              <w:rPr/>
            </w:pPr>
            <w:r>
              <w:rPr/>
              <w:t>0.5~1.5억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/w:tcPr>
          <w:p>
            <w:pPr>
              <w:rPr/>
            </w:pPr>
            <w:r>
              <w:rPr/>
              <w:t>컨설팅+시스템 혼합</w:t>
            </w:r>
          </w:p>
        </w:tc>
        <w:tc>
          <w:tcPr/>
          <w:p>
            <w:pPr>
              <w:rPr/>
            </w:pPr>
            <w:r>
              <w:rPr/>
              <w:t>2~4억</w:t>
            </w:r>
          </w:p>
        </w:tc>
      </w:tr>
    </w:tbl>
    <w:p>
      <w:pPr>
        <w:rPr>
          <w:lang w:eastAsia="ko-KR"/>
          <w:rFonts w:hint="eastAsia"/>
          <w:rtl w:val="off"/>
        </w:rPr>
      </w:pPr>
    </w:p>
    <w:p>
      <w:pPr>
        <w:rPr/>
      </w:pPr>
      <w:r>
        <w:rPr/>
        <w:t>📐 TAM (총 시장)</w:t>
      </w:r>
    </w:p>
    <w:p>
      <w:pPr>
        <w:rPr>
          <w:b w:val="0"/>
        </w:rPr>
      </w:pPr>
      <w:r>
        <w:rPr/>
        <w:t xml:space="preserve">4,000 × 평균 2억 = </w:t>
      </w:r>
      <w:r>
        <w:rPr/>
        <w:t>8,000억 원</w:t>
      </w:r>
    </w:p>
    <w:p>
      <w:pPr>
        <w:rPr/>
      </w:pPr>
      <w:r>
        <w:rPr/>
        <w:t>📐 SAM (현실적 접근 가능 시장, 약 30%)</w:t>
      </w:r>
    </w:p>
    <w:p>
      <w:pPr>
        <w:rPr>
          <w:b w:val="0"/>
        </w:rPr>
      </w:pPr>
      <w:r>
        <w:rPr/>
        <w:t>2,400억 원</w:t>
      </w:r>
    </w:p>
    <w:p>
      <w:pPr>
        <w:rPr/>
      </w:pPr>
      <w:r>
        <w:rPr/>
        <w:t>📐 SOM (초기 3~5년 점유 목표 5~10%)</w:t>
      </w:r>
    </w:p>
    <w:p>
      <w:pPr>
        <w:rPr>
          <w:b w:val="0"/>
        </w:rPr>
      </w:pPr>
      <w:r>
        <w:rPr/>
        <w:t>120~240억 원</w:t>
      </w:r>
    </w:p>
    <w:p>
      <w:pPr>
        <w:rPr>
          <w:b w:val="0"/>
        </w:rPr>
      </w:pPr>
      <w:r>
        <w:rPr/>
        <w:t xml:space="preserve">👉 </w:t>
      </w:r>
      <w:r>
        <w:rPr/>
        <w:t>국내만 기준</w:t>
      </w:r>
      <w:r>
        <w:rPr/>
        <w:t>, 해외 제외입니다.</w:t>
      </w:r>
    </w:p>
    <w:p>
      <w:pPr>
        <w:rPr>
          <w:lang w:eastAsia="ko-KR"/>
          <w:rFonts w:hint="eastAsia"/>
          <w:rtl w:val="off"/>
        </w:rPr>
      </w:pPr>
    </w:p>
    <w:p>
      <w:pPr>
        <w:rPr/>
      </w:pPr>
      <w:r>
        <w:rPr/>
        <w:t>3. 수요가 “실제로 존재하는” 이유 (정성 분석)</w:t>
      </w:r>
      <w:r>
        <w:rPr/>
        <w:t>3.1 회계·감사 환경 변화 (강력)</w:t>
      </w:r>
    </w:p>
    <w:p>
      <w:pPr>
        <w:rPr/>
      </w:pPr>
      <w:r>
        <w:rPr/>
        <w:t>IFRS 퇴직급여 감사 강화</w:t>
      </w:r>
    </w:p>
    <w:p>
      <w:pPr>
        <w:rPr/>
      </w:pPr>
      <w:r>
        <w:rPr/>
        <w:t>할인율·가정에 대한 감사 질문 증가</w:t>
      </w:r>
    </w:p>
    <w:p>
      <w:pPr>
        <w:rPr>
          <w:b w:val="0"/>
        </w:rPr>
      </w:pPr>
      <w:r>
        <w:rPr/>
        <w:t xml:space="preserve">“왜 이 가정을 썼는가?” </w:t>
      </w:r>
      <w:r>
        <w:rPr/>
        <w:t>설명 책임 확대</w:t>
      </w:r>
    </w:p>
    <w:p>
      <w:pPr>
        <w:rPr>
          <w:lang w:eastAsia="ko-KR"/>
          <w:rFonts w:hint="eastAsia"/>
          <w:rtl w:val="off"/>
        </w:rPr>
      </w:pPr>
    </w:p>
    <w:p>
      <w:pPr>
        <w:rPr/>
      </w:pPr>
      <w:r>
        <w:rPr/>
        <w:t>📌 현재 현실</w:t>
      </w:r>
    </w:p>
    <w:p>
      <w:pPr>
        <w:rPr>
          <w:b w:val="0"/>
        </w:rPr>
      </w:pPr>
      <w:r>
        <w:rPr/>
        <w:t xml:space="preserve">엑셀 + 회계법인 의존 → </w:t>
      </w:r>
      <w:r>
        <w:rPr/>
        <w:t>리스크·비용 증가</w:t>
      </w:r>
    </w:p>
    <w:p>
      <w:pPr>
        <w:rPr>
          <w:b w:val="0"/>
        </w:rPr>
      </w:pPr>
      <w:r>
        <w:rPr/>
        <w:t xml:space="preserve">➡️ </w:t>
      </w:r>
      <w:r>
        <w:rPr/>
        <w:t>시스템 수요 필연</w:t>
      </w:r>
    </w:p>
    <w:p>
      <w:pPr>
        <w:rPr>
          <w:lang w:eastAsia="ko-KR"/>
          <w:rFonts w:hint="eastAsia"/>
          <w:rtl w:val="off"/>
        </w:rPr>
      </w:pPr>
    </w:p>
    <w:p>
      <w:pPr>
        <w:rPr/>
      </w:pPr>
      <w:r>
        <w:rPr>
          <w:lang w:eastAsia="ko-KR"/>
          <w:rtl w:val="off"/>
        </w:rPr>
        <w:t>13-4</w:t>
      </w:r>
      <w:r>
        <w:rPr/>
        <w:t xml:space="preserve"> ALM에 대한 CFO 인식 변화</w:t>
      </w:r>
      <w:r>
        <w:rPr/>
        <w:t>과거:</w:t>
      </w:r>
    </w:p>
    <w:p>
      <w:pPr>
        <w:rPr/>
      </w:pPr>
      <w:r>
        <w:rPr/>
        <w:t>“퇴직연금은 비용이다”</w:t>
      </w:r>
    </w:p>
    <w:p>
      <w:pPr>
        <w:rPr/>
      </w:pPr>
      <w:r>
        <w:rPr/>
        <w:t>현재:</w:t>
      </w:r>
    </w:p>
    <w:p>
      <w:pPr>
        <w:rPr>
          <w:b w:val="0"/>
        </w:rPr>
      </w:pPr>
      <w:r>
        <w:rPr/>
        <w:t xml:space="preserve">“퇴직급여는 </w:t>
      </w:r>
      <w:r>
        <w:rPr/>
        <w:t>장기 부채 + 재무 리스크</w:t>
      </w:r>
      <w:r>
        <w:rPr/>
        <w:t>다”</w:t>
      </w:r>
    </w:p>
    <w:p>
      <w:pPr>
        <w:rPr/>
      </w:pPr>
      <w:r>
        <w:rPr/>
        <w:t>금리 변동성 ↑</w:t>
      </w:r>
    </w:p>
    <w:p>
      <w:pPr>
        <w:rPr/>
      </w:pPr>
      <w:r>
        <w:rPr/>
        <w:t>인건비 구조 변화</w:t>
      </w:r>
    </w:p>
    <w:p>
      <w:pPr>
        <w:rPr/>
      </w:pPr>
      <w:r>
        <w:rPr/>
        <w:t>인력 고령화</w:t>
      </w:r>
    </w:p>
    <w:p>
      <w:pPr>
        <w:rPr>
          <w:b w:val="0"/>
        </w:rPr>
      </w:pPr>
      <w:r>
        <w:rPr/>
        <w:t xml:space="preserve">➡️ </w:t>
      </w:r>
      <w:r>
        <w:rPr/>
        <w:t>단순 운용 툴로는 부족</w:t>
      </w:r>
    </w:p>
    <w:p>
      <w:pPr>
        <w:rPr>
          <w:lang w:eastAsia="ko-KR"/>
          <w:rFonts w:hint="eastAsia"/>
          <w:rtl w:val="off"/>
        </w:rPr>
      </w:pPr>
    </w:p>
    <w:p>
      <w:pPr>
        <w:rPr/>
      </w:pPr>
      <w:r>
        <w:rPr>
          <w:lang w:eastAsia="ko-KR"/>
          <w:rtl w:val="off"/>
        </w:rPr>
        <w:t>13-5</w:t>
      </w:r>
      <w:r>
        <w:rPr/>
        <w:t xml:space="preserve"> 경쟁 솔루션의 공백 (중요)</w:t>
      </w:r>
      <w:r>
        <w:rPr/>
        <w:t>현재 대안들의 한계</w:t>
      </w:r>
    </w:p>
    <w:tbl>
      <w:tblPr>
        <w:tblStyle w:val="a6"/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4360"/>
        <w:gridCol w:w="4360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/w:tcPr>
          <w:p>
            <w:pPr>
              <w:rPr/>
            </w:pPr>
            <w:r>
              <w:rPr/>
              <w:t>대안</w:t>
            </w:r>
          </w:p>
        </w:tc>
        <w:tc>
          <w:tcPr/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/>
            </w:pPr>
            <w:r>
              <w:rPr/>
              <w:t>한계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/w:tcPr>
          <w:p>
            <w:pPr>
              <w:rPr/>
            </w:pPr>
            <w:r>
              <w:rPr/>
              <w:t>엑셀</w:t>
            </w:r>
          </w:p>
        </w:tc>
        <w:tc>
          <w:tcPr/>
          <w:p>
            <w:pPr>
              <w:rPr/>
            </w:pPr>
            <w:r>
              <w:rPr/>
              <w:t>감사·재현 불가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/w:tcPr>
          <w:p>
            <w:pPr>
              <w:rPr/>
            </w:pPr>
            <w:r>
              <w:rPr/>
              <w:t>회계법인 보고서</w:t>
            </w:r>
          </w:p>
        </w:tc>
        <w:tc>
          <w:tcPr/>
          <w:p>
            <w:pPr>
              <w:rPr/>
            </w:pPr>
            <w:r>
              <w:rPr/>
              <w:t>연 1회, 비실시간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/w:tcPr>
          <w:p>
            <w:pPr>
              <w:rPr/>
            </w:pPr>
            <w:r>
              <w:rPr/>
              <w:t>연금사업자 시스템</w:t>
            </w:r>
          </w:p>
        </w:tc>
        <w:tc>
          <w:tcPr/>
          <w:p>
            <w:pPr>
              <w:rPr/>
            </w:pPr>
            <w:r>
              <w:rPr/>
              <w:t>운용 중심, 부채/ALM 약함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/w:tcPr>
          <w:p>
            <w:pPr>
              <w:rPr/>
            </w:pPr>
            <w:r>
              <w:rPr/>
              <w:t>ERP</w:t>
            </w:r>
          </w:p>
        </w:tc>
        <w:tc>
          <w:tcPr/>
          <w:p>
            <w:pPr>
              <w:rPr/>
            </w:pPr>
            <w:r>
              <w:rPr/>
              <w:t>퇴직급여 계산까지만</w:t>
            </w:r>
          </w:p>
        </w:tc>
      </w:tr>
    </w:tbl>
    <w:p>
      <w:pPr>
        <w:rPr>
          <w:b w:val="0"/>
        </w:rPr>
      </w:pPr>
      <w:r>
        <w:rPr/>
        <w:t xml:space="preserve">📌 </w:t>
      </w:r>
      <w:r>
        <w:rPr/>
        <w:t>“부채 + ALM + 재정검증 + 감사 대응” 통합 솔루션은 거의 없음</w:t>
      </w:r>
    </w:p>
    <w:p>
      <w:pPr>
        <w:rPr>
          <w:b w:val="0"/>
        </w:rPr>
      </w:pPr>
      <w:r>
        <w:rPr/>
        <w:t xml:space="preserve">➡️ </w:t>
      </w:r>
      <w:r>
        <w:rPr/>
        <w:t>명확한 포지션</w:t>
      </w:r>
    </w:p>
    <w:p>
      <w:pPr>
        <w:rPr>
          <w:lang w:eastAsia="ko-KR"/>
          <w:rFonts w:hint="eastAsia"/>
          <w:rtl w:val="off"/>
        </w:rPr>
      </w:pPr>
    </w:p>
    <w:p>
      <w:pPr>
        <w:rPr/>
      </w:pPr>
      <w:r>
        <w:rPr>
          <w:lang w:eastAsia="ko-KR"/>
          <w:rtl w:val="off"/>
        </w:rPr>
        <w:t>13-6</w:t>
      </w:r>
      <w:r>
        <w:rPr/>
        <w:t>. 수요 발생 트리거 (구매가 일어나는 순간)</w:t>
      </w:r>
      <w:r>
        <w:rPr/>
        <w:t>실제 도입은 아래 이벤트에서 터집니다.</w:t>
      </w:r>
    </w:p>
    <w:tbl>
      <w:tblPr>
        <w:tblStyle w:val="a6"/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4360"/>
        <w:gridCol w:w="4360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/w:tcPr>
          <w:p>
            <w:pPr>
              <w:rPr/>
            </w:pPr>
            <w:r>
              <w:rPr/>
              <w:t>트리거</w:t>
            </w:r>
          </w:p>
        </w:tc>
        <w:tc>
          <w:tcPr/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/>
            </w:pPr>
            <w:r>
              <w:rPr/>
              <w:t>설명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/w:tcPr>
          <w:p>
            <w:pPr>
              <w:rPr/>
            </w:pPr>
            <w:r>
              <w:rPr/>
              <w:t>외부 감사 이슈</w:t>
            </w:r>
          </w:p>
        </w:tc>
        <w:tc>
          <w:tcPr/>
          <w:p>
            <w:pPr>
              <w:rPr/>
            </w:pPr>
            <w:r>
              <w:rPr/>
              <w:t>할인율·OCI 질문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/w:tcPr>
          <w:p>
            <w:pPr>
              <w:rPr/>
            </w:pPr>
            <w:r>
              <w:rPr/>
              <w:t>대규모 인사 변화</w:t>
            </w:r>
          </w:p>
        </w:tc>
        <w:tc>
          <w:tcPr/>
          <w:p>
            <w:pPr>
              <w:rPr/>
            </w:pPr>
            <w:r>
              <w:rPr/>
              <w:t>정년·임금피크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/w:tcPr>
          <w:p>
            <w:pPr>
              <w:rPr/>
            </w:pPr>
            <w:r>
              <w:rPr/>
              <w:t>금리 급변</w:t>
            </w:r>
          </w:p>
        </w:tc>
        <w:tc>
          <w:tcPr/>
          <w:p>
            <w:pPr>
              <w:rPr/>
            </w:pPr>
            <w:r>
              <w:rPr/>
              <w:t>적립비율 급락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/w:tcPr>
          <w:p>
            <w:pPr>
              <w:rPr/>
            </w:pPr>
            <w:r>
              <w:rPr/>
              <w:t>DB → DC 전환 검토</w:t>
            </w:r>
          </w:p>
        </w:tc>
        <w:tc>
          <w:tcPr/>
          <w:p>
            <w:pPr>
              <w:rPr/>
            </w:pPr>
            <w:r>
              <w:rPr/>
              <w:t>재정 시뮬 필요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/w:tcPr>
          <w:p>
            <w:pPr>
              <w:rPr/>
            </w:pPr>
            <w:r>
              <w:rPr/>
              <w:t>내부 통제 강화</w:t>
            </w:r>
          </w:p>
        </w:tc>
        <w:tc>
          <w:tcPr/>
          <w:p>
            <w:pPr>
              <w:rPr/>
            </w:pPr>
            <w:r>
              <w:rPr/>
              <w:t>엑셀 사용 제한</w:t>
            </w:r>
          </w:p>
        </w:tc>
      </w:tr>
    </w:tbl>
    <w:p>
      <w:pPr>
        <w:rPr>
          <w:b w:val="0"/>
        </w:rPr>
      </w:pPr>
      <w:r>
        <w:rPr/>
        <w:t xml:space="preserve">➡️ </w:t>
      </w:r>
      <w:r>
        <w:rPr/>
        <w:t>“필요해서 산다”</w:t>
      </w:r>
      <w:r>
        <w:rPr/>
        <w:br/>
      </w:r>
      <w:r>
        <w:rPr/>
        <w:t xml:space="preserve">➡️ 마케팅보다 </w:t>
      </w:r>
      <w:r>
        <w:rPr/>
        <w:t>문제 발생이 영업</w:t>
      </w:r>
    </w:p>
    <w:p>
      <w:pPr>
        <w:rPr>
          <w:lang w:eastAsia="ko-KR"/>
          <w:rFonts w:hint="eastAsia"/>
          <w:rtl w:val="off"/>
        </w:rPr>
      </w:pPr>
    </w:p>
    <w:p>
      <w:pPr>
        <w:rPr/>
      </w:pPr>
      <w:r>
        <w:rPr>
          <w:lang w:eastAsia="ko-KR"/>
          <w:rtl w:val="off"/>
        </w:rPr>
        <w:t>13-7</w:t>
      </w:r>
      <w:r>
        <w:rPr/>
        <w:t>. 가격 저항이 낮은 이유 (중요)</w:t>
      </w:r>
    </w:p>
    <w:p>
      <w:pPr>
        <w:rPr/>
      </w:pPr>
      <w:r>
        <w:rPr/>
        <w:t>연 1~2억 시스템 비용</w:t>
      </w:r>
      <w:r>
        <w:rPr/>
        <w:br/>
      </w:r>
      <w:r>
        <w:rPr/>
        <w:t>vs</w:t>
      </w:r>
    </w:p>
    <w:p>
      <w:pPr>
        <w:rPr/>
      </w:pPr>
      <w:r>
        <w:rPr/>
        <w:t>퇴직급여 부채 수천억</w:t>
      </w:r>
    </w:p>
    <w:p>
      <w:pPr>
        <w:rPr/>
      </w:pPr>
      <w:r>
        <w:rPr/>
        <w:t>OCI 변동 수백억 가능성</w:t>
      </w:r>
    </w:p>
    <w:p>
      <w:pPr>
        <w:rPr/>
      </w:pPr>
      <w:r>
        <w:rPr/>
        <w:t>📌 CFO 관점:</w:t>
      </w:r>
    </w:p>
    <w:p>
      <w:pPr>
        <w:rPr/>
      </w:pPr>
      <w:r>
        <w:rPr/>
        <w:t>“보험처럼 사는 시스템”</w:t>
      </w:r>
    </w:p>
    <w:p>
      <w:pPr>
        <w:rPr>
          <w:lang w:eastAsia="ko-KR"/>
          <w:rFonts w:hint="eastAsia"/>
          <w:rtl w:val="off"/>
        </w:rPr>
      </w:pPr>
    </w:p>
    <w:p>
      <w:pPr>
        <w:rPr/>
      </w:pPr>
      <w:r>
        <w:rPr>
          <w:lang w:eastAsia="ko-KR"/>
          <w:rtl w:val="off"/>
        </w:rPr>
        <w:t>13-8</w:t>
      </w:r>
      <w:r>
        <w:rPr/>
        <w:t>. 해외 확장성 (옵션 가치)</w:t>
      </w:r>
    </w:p>
    <w:p>
      <w:pPr>
        <w:rPr/>
      </w:pPr>
      <w:r>
        <w:rPr/>
        <w:t>IFRS 적용 국가: 유럽, 호주, 아시아 다수</w:t>
      </w:r>
    </w:p>
    <w:p>
      <w:pPr>
        <w:rPr/>
      </w:pPr>
      <w:r>
        <w:rPr/>
        <w:t>ALM 구조는 국가 불문</w:t>
      </w:r>
    </w:p>
    <w:p>
      <w:pPr>
        <w:rPr/>
      </w:pPr>
      <w:r>
        <w:rPr/>
        <w:t>언어·가정만 로컬라이즈</w:t>
      </w:r>
    </w:p>
    <w:p>
      <w:pPr>
        <w:rPr>
          <w:b w:val="0"/>
        </w:rPr>
      </w:pPr>
      <w:r>
        <w:rPr/>
        <w:t xml:space="preserve">👉 </w:t>
      </w:r>
      <w:r>
        <w:rPr/>
        <w:t>국내 성공 → 해외 확장 구조</w:t>
      </w:r>
    </w:p>
    <w:p>
      <w:pPr>
        <w:rPr>
          <w:lang w:eastAsia="ko-KR"/>
          <w:rFonts w:hint="eastAsia"/>
          <w:rtl w:val="off"/>
        </w:rPr>
      </w:pPr>
    </w:p>
    <w:p>
      <w:pPr>
        <w:rPr/>
      </w:pPr>
      <w:r>
        <w:rPr/>
        <w:t>7. 시장 수요 예측 결론</w:t>
      </w:r>
      <w:r>
        <w:rPr/>
        <w:t>✔ 정량</w:t>
      </w:r>
    </w:p>
    <w:p>
      <w:pPr>
        <w:rPr>
          <w:b w:val="0"/>
        </w:rPr>
      </w:pPr>
      <w:r>
        <w:rPr/>
        <w:t xml:space="preserve">국내 SOM: </w:t>
      </w:r>
      <w:r>
        <w:rPr/>
        <w:t>연 100~200억 충분히 가능</w:t>
      </w:r>
    </w:p>
    <w:p>
      <w:pPr>
        <w:rPr>
          <w:b w:val="0"/>
        </w:rPr>
      </w:pPr>
      <w:r>
        <w:rPr/>
        <w:t xml:space="preserve">3~5년 내 누적 매출 </w:t>
      </w:r>
      <w:r>
        <w:rPr/>
        <w:t>500억+</w:t>
      </w:r>
    </w:p>
    <w:p>
      <w:pPr>
        <w:rPr/>
      </w:pPr>
    </w:p>
    <w:p>
      <w:pPr>
        <w:pStyle w:val="FirstParagraph"/>
      </w:pPr>
      <w:bookmarkEnd w:id="1"/>
      <w:bookmarkEnd w:id="39"/>
    </w:p>
    <w:sectPr>
      <w:pgSz w:w="11906" w:h="16838"/>
      <w:pgMar w:top="1985" w:right="1701" w:bottom="1701" w:left="1701" w:header="720" w:footer="720" w:gutter="0"/>
      <w:cols/>
      <w:docGrid w:linePitch="360"/>
      <w:footnotePr>
        <w:numRestart w:val="eachSect"/>
      </w:footnotePr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Consolas">
    <w:panose1 w:val="020B0609020204030204"/>
    <w:family w:val="Consolas"/>
    <w:charset w:val="00"/>
    <w:notTrueType w:val="false"/>
    <w:sig w:usb0="E00006FF" w:usb1="0000FCFF" w:usb2="00000001" w:usb3="00000001" w:csb0="6000019F" w:csb1="DFD70000"/>
  </w:font>
  <w:font w:name="Symbol">
    <w:panose1 w:val="05050102010706020507"/>
    <w:family w:val="Symbol"/>
    <w:charset w:val="00"/>
    <w:notTrueType w:val="false"/>
    <w:sig w:usb0="00000001" w:usb1="00000001" w:usb2="00000001" w:usb3="00000001" w:csb0="80000000" w:csb1="00000001"/>
  </w:font>
  <w:font w:name="Courier New">
    <w:panose1 w:val="02070309020205020404"/>
    <w:family w:val="Courier New"/>
    <w:charset w:val="00"/>
    <w:notTrueType w:val="false"/>
    <w:sig w:usb0="E0002EFF" w:usb1="C0007843" w:usb2="00000009" w:usb3="00000001" w:csb0="400001FF" w:csb1="FFFF0000"/>
  </w:font>
  <w:font w:name="Wingdings">
    <w:panose1 w:val="05000000000000000000"/>
    <w:family w:val="Wingdings"/>
    <w:charset w:val="00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>
    <w:nsid w:val="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nsid w:val="a99411"/>
    <w:multiLevelType w:val="multilevel"/>
    <w:lvl w:ilvl="0">
      <w:start w:val="1"/>
      <w:lvlText w:val="%1."/>
      <w:lvlJc w:val="left"/>
      <w:pPr>
        <w:ind w:left="720" w:hanging="360"/>
      </w:pPr>
    </w:lvl>
    <w:lvl w:ilvl="1">
      <w:start w:val="1"/>
      <w:lvlText w:val="%2."/>
      <w:lvlJc w:val="left"/>
      <w:pPr>
        <w:ind w:left="1440" w:hanging="360"/>
      </w:pPr>
    </w:lvl>
    <w:lvl w:ilvl="2">
      <w:start w:val="1"/>
      <w:lvlText w:val="%3."/>
      <w:lvlJc w:val="left"/>
      <w:pPr>
        <w:ind w:left="2160" w:hanging="360"/>
      </w:pPr>
    </w:lvl>
    <w:lvl w:ilvl="3">
      <w:start w:val="1"/>
      <w:lvlText w:val="%4."/>
      <w:lvlJc w:val="left"/>
      <w:pPr>
        <w:ind w:left="2880" w:hanging="360"/>
      </w:pPr>
    </w:lvl>
    <w:lvl w:ilvl="4">
      <w:start w:val="1"/>
      <w:lvlText w:val="%5."/>
      <w:lvlJc w:val="left"/>
      <w:pPr>
        <w:ind w:left="3600" w:hanging="360"/>
      </w:pPr>
    </w:lvl>
    <w:lvl w:ilvl="5">
      <w:start w:val="1"/>
      <w:lvlText w:val="%6."/>
      <w:lvlJc w:val="left"/>
      <w:pPr>
        <w:ind w:left="4320" w:hanging="360"/>
      </w:pPr>
    </w:lvl>
    <w:lvl w:ilvl="6">
      <w:start w:val="1"/>
      <w:lvlText w:val="%7."/>
      <w:lvlJc w:val="left"/>
      <w:pPr>
        <w:ind w:left="5040" w:hanging="360"/>
      </w:pPr>
    </w:lvl>
    <w:lvl w:ilvl="7">
      <w:start w:val="1"/>
      <w:lvlText w:val="%8."/>
      <w:lvlJc w:val="left"/>
      <w:pPr>
        <w:ind w:left="5760" w:hanging="360"/>
      </w:pPr>
    </w:lvl>
    <w:lvl w:ilvl="8">
      <w:start w:val="1"/>
      <w:lvlText w:val="%9."/>
      <w:lvlJc w:val="left"/>
      <w:pPr>
        <w:ind w:left="6480" w:hanging="360"/>
      </w:pPr>
    </w:lvl>
  </w:abstractNum>
  <w:abstractNum w:abstractNumId="3">
    <w:nsid w:val="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>
    <w:nsid w:val="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>
    <w:nsid w:val="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>
    <w:nsid w:val="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>
    <w:nsid w:val="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>
    <w:nsid w:val="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>
    <w:nsid w:val="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>
    <w:nsid w:val="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>
    <w:nsid w:val="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>
    <w:nsid w:val="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3">
    <w:nsid w:val="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4">
    <w:nsid w:val="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5">
    <w:nsid w:val="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6">
    <w:nsid w:val="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7">
    <w:nsid w:val="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8">
    <w:nsid w:val="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9">
    <w:nsid w:val="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0">
    <w:nsid w:val="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1">
    <w:nsid w:val="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2">
    <w:nsid w:val="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3">
    <w:nsid w:val="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4">
    <w:nsid w:val="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5">
    <w:nsid w:val="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360"/>
  <w:drawingGridVerticalSpacing w:val="360"/>
  <w:displayHorizontalDrawingGridEvery w:val="1"/>
  <w:displayVerticalDrawingGridEvery w:val="1"/>
  <w:characterSpacingControl w:val="doNotCompress"/>
  <w:savePreviewPicture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Bidi"/>
        <w:sz w:val="24"/>
        <w:szCs w:val="24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customStyle="1" w:styleId="Normal">
    <w:name w:val="Normal"/>
    <w:qFormat/>
  </w:style>
  <w:style w:type="paragraph" w:customStyle="1" w:styleId="BodyText">
    <w:name w:val="Body Text"/>
    <w:basedOn w:val="Normal"/>
    <w:link w:val="BodyTextChar"/>
    <w:qFormat/>
    <w:pPr>
      <w:spacing w:after="180" w:before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after="36" w:before="36"/>
    </w:pPr>
  </w:style>
  <w:style w:type="paragraph" w:customStyle="1" w:styleId="Title">
    <w:name w:val="Title"/>
    <w:uiPriority w:val="10"/>
    <w:basedOn w:val="Normal"/>
    <w:next w:val="BodyText"/>
    <w:link w:val="TitleChar"/>
    <w:qFormat/>
    <w:pPr>
      <w:contextualSpacing/>
      <w:jc w:val="center"/>
      <w:spacing w:after="80" w:line="240" w:lineRule="auto"/>
    </w:pPr>
    <w:rPr>
      <w:rFonts w:asciiTheme="majorHAnsi" w:eastAsiaTheme="majorEastAsia" w:hAnsiTheme="majorHAnsi" w:cstheme="majorBidi"/>
      <w:sz w:val="56"/>
      <w:szCs w:val="56"/>
      <w:kern w:val="28"/>
      <w:spacing w:val="-10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sz w:val="56"/>
      <w:szCs w:val="56"/>
      <w:kern w:val="28"/>
      <w:spacing w:val="-10"/>
    </w:rPr>
  </w:style>
  <w:style w:type="paragraph" w:customStyle="1" w:styleId="Subtitle">
    <w:name w:val="Subtitle"/>
    <w:uiPriority w:val="11"/>
    <w:basedOn w:val="Title"/>
    <w:next w:val="BodyText"/>
    <w:link w:val="SubtitleChar"/>
    <w:qFormat/>
    <w:pPr>
      <w:numPr>
        <w:ilvl w:val="1"/>
      </w:numPr>
    </w:pPr>
    <w:rPr>
      <w:rFonts w:eastAsiaTheme="majorEastAsia" w:cstheme="majorBidi"/>
      <w:sz w:val="28"/>
      <w:szCs w:val="28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eastAsiaTheme="majorEastAsia" w:cstheme="majorBidi"/>
      <w:color w:val="595959"/>
      <w:sz w:val="28"/>
      <w:szCs w:val="28"/>
      <w:spacing w:val="15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customStyle="1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Normal"/>
    <w:qFormat/>
    <w:pPr>
      <w:keepNext/>
      <w:keepLines/>
      <w:jc w:val="center"/>
      <w:spacing w:after="0" w:before="300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type="paragraph" w:customStyle="1" w:styleId="Bibliography">
    <w:name w:val="Bibliography"/>
    <w:basedOn w:val="Normal"/>
    <w:next w:val="Normal"/>
    <w:qFormat/>
    <w:pPr/>
    <w:rPr/>
  </w:style>
  <w:style w:type="paragraph" w:customStyle="1" w:styleId="Heading1">
    <w:name w:val="heading 1"/>
    <w:uiPriority w:val="9"/>
    <w:basedOn w:val="Normal"/>
    <w:next w:val="BodyText"/>
    <w:link w:val="Heading1Char"/>
    <w:qFormat/>
    <w:pPr>
      <w:keepNext/>
      <w:keepLines/>
      <w:outlineLvl w:val="0"/>
      <w:spacing w:after="80" w:before="360"/>
    </w:pPr>
    <w:rPr>
      <w:rFonts w:asciiTheme="majorHAnsi" w:eastAsiaTheme="majorEastAsia" w:hAnsiTheme="majorHAnsi" w:cstheme="majorBidi"/>
      <w:color w:val="104861"/>
      <w:sz w:val="40"/>
      <w:szCs w:val="40"/>
    </w:rPr>
  </w:style>
  <w:style w:type="paragraph" w:customStyle="1" w:styleId="Heading2">
    <w:name w:val="heading 2"/>
    <w:uiPriority w:val="9"/>
    <w:basedOn w:val="Normal"/>
    <w:next w:val="BodyText"/>
    <w:link w:val="Heading2Char"/>
    <w:qFormat/>
    <w:semiHidden/>
    <w:unhideWhenUsed/>
    <w:pPr>
      <w:keepNext/>
      <w:keepLines/>
      <w:outlineLvl w:val="1"/>
      <w:spacing w:after="80" w:before="160"/>
    </w:pPr>
    <w:rPr>
      <w:rFonts w:asciiTheme="majorHAnsi" w:eastAsiaTheme="majorEastAsia" w:hAnsiTheme="majorHAnsi" w:cstheme="majorBidi"/>
      <w:color w:val="104861"/>
      <w:sz w:val="32"/>
      <w:szCs w:val="32"/>
    </w:rPr>
  </w:style>
  <w:style w:type="paragraph" w:customStyle="1" w:styleId="Heading3">
    <w:name w:val="heading 3"/>
    <w:uiPriority w:val="9"/>
    <w:basedOn w:val="Normal"/>
    <w:next w:val="BodyText"/>
    <w:link w:val="Heading3Char"/>
    <w:qFormat/>
    <w:semiHidden/>
    <w:unhideWhenUsed/>
    <w:pPr>
      <w:keepNext/>
      <w:keepLines/>
      <w:outlineLvl w:val="2"/>
      <w:spacing w:after="80" w:before="160"/>
    </w:pPr>
    <w:rPr>
      <w:rFonts w:eastAsiaTheme="majorEastAsia" w:cstheme="majorBidi"/>
      <w:color w:val="104861"/>
      <w:sz w:val="28"/>
      <w:szCs w:val="28"/>
    </w:rPr>
  </w:style>
  <w:style w:type="paragraph" w:customStyle="1" w:styleId="Heading4">
    <w:name w:val="heading 4"/>
    <w:uiPriority w:val="9"/>
    <w:basedOn w:val="Normal"/>
    <w:next w:val="BodyText"/>
    <w:link w:val="Heading4Char"/>
    <w:qFormat/>
    <w:semiHidden/>
    <w:unhideWhenUsed/>
    <w:pPr>
      <w:keepNext/>
      <w:keepLines/>
      <w:outlineLvl w:val="3"/>
      <w:spacing w:after="40" w:before="80"/>
    </w:pPr>
    <w:rPr>
      <w:rFonts w:eastAsiaTheme="majorEastAsia" w:cstheme="majorBidi"/>
      <w:i/>
      <w:iCs/>
      <w:color w:val="104861"/>
    </w:rPr>
  </w:style>
  <w:style w:type="paragraph" w:customStyle="1" w:styleId="Heading5">
    <w:name w:val="heading 5"/>
    <w:uiPriority w:val="9"/>
    <w:basedOn w:val="Normal"/>
    <w:next w:val="BodyText"/>
    <w:link w:val="Heading5Char"/>
    <w:qFormat/>
    <w:semiHidden/>
    <w:unhideWhenUsed/>
    <w:pPr>
      <w:keepNext/>
      <w:keepLines/>
      <w:outlineLvl w:val="4"/>
      <w:spacing w:after="40" w:before="80"/>
    </w:pPr>
    <w:rPr>
      <w:rFonts w:eastAsiaTheme="majorEastAsia" w:cstheme="majorBidi"/>
      <w:color w:val="104861"/>
    </w:rPr>
  </w:style>
  <w:style w:type="paragraph" w:customStyle="1" w:styleId="Heading6">
    <w:name w:val="heading 6"/>
    <w:uiPriority w:val="9"/>
    <w:basedOn w:val="Normal"/>
    <w:next w:val="BodyText"/>
    <w:link w:val="Heading6Char"/>
    <w:qFormat/>
    <w:semiHidden/>
    <w:unhideWhenUsed/>
    <w:pPr>
      <w:keepNext/>
      <w:keepLines/>
      <w:outlineLvl w:val="5"/>
      <w:spacing w:after="0" w:before="40"/>
    </w:pPr>
    <w:rPr>
      <w:rFonts w:eastAsiaTheme="majorEastAsia" w:cstheme="majorBidi"/>
      <w:i/>
      <w:iCs/>
      <w:color w:val="595959"/>
    </w:rPr>
  </w:style>
  <w:style w:type="paragraph" w:customStyle="1" w:styleId="Heading7">
    <w:name w:val="heading 7"/>
    <w:uiPriority w:val="9"/>
    <w:basedOn w:val="Normal"/>
    <w:next w:val="BodyText"/>
    <w:link w:val="Heading7Char"/>
    <w:qFormat/>
    <w:semiHidden/>
    <w:unhideWhenUsed/>
    <w:pPr>
      <w:keepNext/>
      <w:keepLines/>
      <w:outlineLvl w:val="6"/>
      <w:spacing w:after="0" w:before="40"/>
    </w:pPr>
    <w:rPr>
      <w:rFonts w:eastAsiaTheme="majorEastAsia" w:cstheme="majorBidi"/>
      <w:color w:val="595959"/>
    </w:rPr>
  </w:style>
  <w:style w:type="paragraph" w:customStyle="1" w:styleId="Heading8">
    <w:name w:val="heading 8"/>
    <w:uiPriority w:val="9"/>
    <w:basedOn w:val="Normal"/>
    <w:next w:val="BodyText"/>
    <w:link w:val="Heading8Char"/>
    <w:qFormat/>
    <w:semiHidden/>
    <w:unhideWhenUsed/>
    <w:pPr>
      <w:keepNext/>
      <w:keepLines/>
      <w:outlineLvl w:val="7"/>
      <w:spacing w:after="0"/>
    </w:pPr>
    <w:rPr>
      <w:rFonts w:eastAsiaTheme="majorEastAsia" w:cstheme="majorBidi"/>
      <w:i/>
      <w:iCs/>
      <w:color w:val="262626"/>
    </w:rPr>
  </w:style>
  <w:style w:type="paragraph" w:customStyle="1" w:styleId="Heading9">
    <w:name w:val="heading 9"/>
    <w:uiPriority w:val="9"/>
    <w:basedOn w:val="Normal"/>
    <w:next w:val="BodyText"/>
    <w:link w:val="Heading9Char"/>
    <w:qFormat/>
    <w:semiHidden/>
    <w:unhideWhenUsed/>
    <w:pPr>
      <w:keepNext/>
      <w:keepLines/>
      <w:outlineLvl w:val="8"/>
      <w:spacing w:after="0"/>
    </w:pPr>
    <w:rPr>
      <w:rFonts w:eastAsiaTheme="majorEastAsia" w:cstheme="majorBidi"/>
      <w:color w:val="262626"/>
    </w:r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color w:val="104861"/>
      <w:sz w:val="40"/>
      <w:szCs w:val="40"/>
    </w:rPr>
  </w:style>
  <w:style w:type="character" w:customStyle="1" w:styleId="Heading2Char">
    <w:name w:val="Heading 2 Char"/>
    <w:uiPriority w:val="9"/>
    <w:basedOn w:val="DefaultParagraphFont"/>
    <w:link w:val="Heading2"/>
    <w:semiHidden/>
    <w:rPr>
      <w:rFonts w:asciiTheme="majorHAnsi" w:eastAsiaTheme="majorEastAsia" w:hAnsiTheme="majorHAnsi" w:cstheme="majorBidi"/>
      <w:color w:val="104861"/>
      <w:sz w:val="32"/>
      <w:szCs w:val="32"/>
    </w:rPr>
  </w:style>
  <w:style w:type="character" w:customStyle="1" w:styleId="Heading3Char">
    <w:name w:val="Heading 3 Char"/>
    <w:uiPriority w:val="9"/>
    <w:basedOn w:val="DefaultParagraphFont"/>
    <w:link w:val="Heading3"/>
    <w:semiHidden/>
    <w:rPr>
      <w:rFonts w:eastAsiaTheme="majorEastAsia" w:cstheme="majorBidi"/>
      <w:color w:val="104861"/>
      <w:sz w:val="28"/>
      <w:szCs w:val="28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eastAsiaTheme="majorEastAsia" w:cstheme="majorBidi"/>
      <w:i/>
      <w:iCs/>
      <w:color w:val="104861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eastAsiaTheme="majorEastAsia" w:cstheme="majorBidi"/>
      <w:color w:val="1048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eastAsiaTheme="majorEastAsia" w:cstheme="majorBidi"/>
      <w:color w:val="595959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eastAsiaTheme="majorEastAsia" w:cstheme="majorBidi"/>
      <w:i/>
      <w:iCs/>
      <w:color w:val="262626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eastAsiaTheme="majorEastAsia" w:cstheme="majorBidi"/>
      <w:color w:val="262626"/>
    </w:rPr>
  </w:style>
  <w:style w:type="paragraph" w:customStyle="1" w:styleId="BlockText">
    <w:name w:val="Block Text"/>
    <w:uiPriority w:val="9"/>
    <w:basedOn w:val="BodyText"/>
    <w:next w:val="BodyText"/>
    <w:qFormat/>
    <w:unhideWhenUsed/>
    <w:pPr>
      <w:ind w:left="480" w:right="480" w:firstLine="0"/>
      <w:spacing w:after="100" w:before="100"/>
    </w:pPr>
  </w:style>
  <w:style w:type="paragraph" w:customStyle="1" w:styleId="FootnoteText">
    <w:name w:val="Footnote Text"/>
    <w:uiPriority w:val="9"/>
    <w:basedOn w:val="Normal"/>
    <w:next w:val="Normal"/>
    <w:qFormat/>
    <w:unhideWhenUsed/>
  </w:style>
  <w:style w:type="paragraph" w:customStyle="1" w:styleId="FootnoteBlockText">
    <w:name w:val="Footnote Block Text"/>
    <w:uiPriority w:val="9"/>
    <w:basedOn w:val="FootnoteText"/>
    <w:next w:val="FootnoteText"/>
    <w:qFormat/>
    <w:unhideWhenUsed/>
    <w:pPr>
      <w:ind w:left="480" w:right="480" w:firstLine="0"/>
      <w:spacing w:after="100" w:before="100"/>
    </w:pPr>
  </w:style>
  <w:style w:type="character" w:customStyle="1" w:styleId="DefaultParagraphFont">
    <w:name w:val="Default Paragraph Font"/>
    <w:semiHidden/>
    <w:unhideWhenUsed/>
  </w:style>
  <w:style w:type="table" w:customStyle="1" w:styleId="Table">
    <w:name w:val="Table"/>
    <w:qFormat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tblInd w:w="0" w:type="dxa"/>
        <w:jc w:val="left"/>
      </w:tblPr>
      <w:trPr>
        <w:jc w:val="left"/>
      </w:trPr>
      <w:tcPr>
        <w:tcBorders>
          <w:bottom w:val="none"/>
        </w:tcBorders>
        <w:vAlign w:val="top"/>
      </w:tcPr>
    </w:tblStylePr>
  </w:style>
  <w:style w:type="paragraph" w:customStyle="1" w:styleId="DefinitionTerm">
    <w:name w:val="Definition Term"/>
    <w:basedOn w:val="Normal"/>
    <w:next w:val="Normal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customStyle="1" w:styleId="Caption">
    <w:name w:val="Caption"/>
    <w:basedOn w:val="Normal"/>
    <w:link w:val="BodyTextChar"/>
    <w:pPr>
      <w:spacing w:after="120" w:before="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customStyle="1" w:styleId="FootnoteReference">
    <w:name w:val="Footnote Reference"/>
    <w:basedOn w:val="BodyTextChar"/>
    <w:rPr>
      <w:vertAlign w:val="superscript"/>
    </w:rPr>
  </w:style>
  <w:style w:type="character" w:customStyle="1" w:styleId="Hyperlink">
    <w:name w:val="Hyperlink"/>
    <w:basedOn w:val="BodyTextChar"/>
    <w:rPr>
      <w:color w:val="156082"/>
    </w:rPr>
  </w:style>
  <w:style w:type="paragraph" w:customStyle="1" w:styleId="TOCHeading">
    <w:name w:val="TOC Heading"/>
    <w:uiPriority w:val="39"/>
    <w:basedOn w:val="Heading1"/>
    <w:next w:val="BodyText"/>
    <w:qFormat/>
    <w:unhideWhenUsed/>
    <w:pPr>
      <w:outlineLvl w:val="9"/>
      <w:spacing w:before="240" w:line="259" w:lineRule="auto"/>
    </w:pPr>
    <w:rPr>
      <w:rFonts w:asciiTheme="majorHAnsi" w:eastAsiaTheme="majorEastAsia" w:hAnsiTheme="majorHAnsi" w:cstheme="majorBidi"/>
      <w:b w:val="0"/>
      <w:bCs w:val="0"/>
      <w:color w:val="10486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table" w:customStyle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a5">
    <w:name w:val="No List"/>
    <w:uiPriority w:val="99"/>
    <w:semiHidden/>
    <w:unhideWhenUsed/>
  </w:style>
  <w:style w:type="table" w:customStyle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3">
    <w:name w:val="Default Paragraph Font"/>
    <w:uiPriority w:val="1"/>
    <w:semiHidden/>
    <w:unhideWhenUsed/>
  </w:style>
  <w:style w:type="paragraph" w:customStyle="1" w:styleId="a2">
    <w:name w:val="Normal"/>
    <w:qFormat/>
    <w:pPr>
      <w:autoSpaceDE w:val="off"/>
      <w:autoSpaceDN w:val="off"/>
      <w:widowControl w:val="off"/>
      <w:wordWrap w:val="off"/>
    </w:pPr>
  </w:style>
  <w:style w:type="numbering" w:customStyle="1" w:styleId="a5">
    <w:name w:val="No List"/>
    <w:uiPriority w:val="99"/>
    <w:semiHidden/>
    <w:unhideWhenUsed/>
  </w:style>
  <w:style w:type="table" w:styleId="a6">
    <w:name w:val="Table Grid"/>
    <w:uiPriority w:val="39"/>
    <w:basedOn w:val="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default="1" w:styleId="a4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numbering" Target="numbering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2025-12-28T04:03:09Z</dcterms:created>
  <dcterms:modified xsi:type="dcterms:W3CDTF">2025-12-28T05:55:21Z</dcterms:modified>
  <cp:version>1200.0100.01</cp:version>
</cp:coreProperties>
</file>