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rFonts w:ascii="Arial" w:cs="Arial" w:eastAsia="Arial" w:hAnsi="Arial"/>
          <w:b w:val="1"/>
          <w:bCs w:val="1"/>
          <w:color w:val="1f3864"/>
          <w:sz w:val="40"/>
          <w:szCs w:val="40"/>
          <w:rtl w:val="0"/>
        </w:rPr>
        <w:t xml:space="preserve">DPIA Screening Checklist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rFonts w:ascii="Arial" w:cs="Arial" w:eastAsia="Arial" w:hAnsi="Arial"/>
          <w:color w:val="595959"/>
          <w:sz w:val="20"/>
          <w:szCs w:val="20"/>
          <w:rtl w:val="0"/>
        </w:rPr>
        <w:t xml:space="preserve">CL-409  •  L5 Checklist  •  v1.0  •  2026-04-15</w:t>
      </w:r>
      <w:r w:rsidDel="00000000" w:rsidR="00000000" w:rsidRPr="00000000">
        <w:rPr>
          <w:rtl w:val="0"/>
        </w:rPr>
      </w:r>
    </w:p>
    <w:p w:rsidR="00000000" w:rsidDel="00000000" w:rsidP="00000000" w:rsidRDefault="00000000" w:rsidRPr="00000000" w14:paraId="00000003">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0. Document Control</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7000"/>
        <w:tblGridChange w:id="0">
          <w:tblGrid>
            <w:gridCol w:w="3000"/>
            <w:gridCol w:w="7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4">
            <w:pPr>
              <w:jc w:val="left"/>
              <w:rPr/>
            </w:pPr>
            <w:r w:rsidDel="00000000" w:rsidR="00000000" w:rsidRPr="00000000">
              <w:rPr>
                <w:rFonts w:ascii="Arial" w:cs="Arial" w:eastAsia="Arial" w:hAnsi="Arial"/>
                <w:b w:val="1"/>
                <w:bCs w:val="1"/>
                <w:sz w:val="18"/>
                <w:szCs w:val="18"/>
                <w:rtl w:val="0"/>
              </w:rPr>
              <w:t xml:space="preserve">Attribute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05">
            <w:pPr>
              <w:jc w:val="left"/>
              <w:rPr/>
            </w:pPr>
            <w:r w:rsidDel="00000000" w:rsidR="00000000" w:rsidRPr="00000000">
              <w:rPr>
                <w:rFonts w:ascii="Arial" w:cs="Arial" w:eastAsia="Arial" w:hAnsi="Arial"/>
                <w:b w:val="1"/>
                <w:bCs w:val="1"/>
                <w:sz w:val="18"/>
                <w:szCs w:val="18"/>
                <w:rtl w:val="0"/>
              </w:rPr>
              <w:t xml:space="preserve">Value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6">
            <w:pPr>
              <w:jc w:val="left"/>
              <w:rPr/>
            </w:pPr>
            <w:r w:rsidDel="00000000" w:rsidR="00000000" w:rsidRPr="00000000">
              <w:rPr>
                <w:rFonts w:ascii="Arial" w:cs="Arial" w:eastAsia="Arial" w:hAnsi="Arial"/>
                <w:b w:val="0"/>
                <w:bCs w:val="0"/>
                <w:sz w:val="18"/>
                <w:szCs w:val="18"/>
                <w:rtl w:val="0"/>
              </w:rPr>
              <w:t xml:space="preserve">Document ID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8"/>
                <w:szCs w:val="18"/>
                <w:rtl w:val="0"/>
              </w:rPr>
              <w:t xml:space="preserve">CL-409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8">
            <w:pPr>
              <w:jc w:val="left"/>
              <w:rPr/>
            </w:pPr>
            <w:r w:rsidDel="00000000" w:rsidR="00000000" w:rsidRPr="00000000">
              <w:rPr>
                <w:rFonts w:ascii="Arial" w:cs="Arial" w:eastAsia="Arial" w:hAnsi="Arial"/>
                <w:b w:val="0"/>
                <w:bCs w:val="0"/>
                <w:sz w:val="18"/>
                <w:szCs w:val="18"/>
                <w:rtl w:val="0"/>
              </w:rPr>
              <w:t xml:space="preserve">Title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8"/>
                <w:szCs w:val="18"/>
                <w:rtl w:val="0"/>
              </w:rPr>
              <w:t xml:space="preserve">DPIA Screening Checklist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sz w:val="18"/>
                <w:szCs w:val="18"/>
                <w:rtl w:val="0"/>
              </w:rPr>
              <w:t xml:space="preserve">Hierarchy Level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8"/>
                <w:szCs w:val="18"/>
                <w:rtl w:val="0"/>
              </w:rPr>
              <w:t xml:space="preserve">L5 — Checklist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E">
            <w:pPr>
              <w:jc w:val="left"/>
              <w:rPr/>
            </w:pPr>
            <w:r w:rsidDel="00000000" w:rsidR="00000000" w:rsidRPr="00000000">
              <w:rPr>
                <w:rFonts w:ascii="Arial" w:cs="Arial" w:eastAsia="Arial" w:hAnsi="Arial"/>
                <w:b w:val="0"/>
                <w:bCs w:val="0"/>
                <w:sz w:val="18"/>
                <w:szCs w:val="18"/>
                <w:rtl w:val="0"/>
              </w:rPr>
              <w:t xml:space="preserve">Status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0F">
            <w:pPr>
              <w:jc w:val="left"/>
              <w:rPr/>
            </w:pPr>
            <w:r w:rsidDel="00000000" w:rsidR="00000000" w:rsidRPr="00000000">
              <w:rPr>
                <w:rFonts w:ascii="Arial" w:cs="Arial" w:eastAsia="Arial" w:hAnsi="Arial"/>
                <w:b w:val="0"/>
                <w:bCs w:val="0"/>
                <w:sz w:val="18"/>
                <w:szCs w:val="18"/>
                <w:rtl w:val="0"/>
              </w:rPr>
              <w:t xml:space="preserve">Approved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0">
            <w:pPr>
              <w:jc w:val="left"/>
              <w:rPr/>
            </w:pPr>
            <w:r w:rsidDel="00000000" w:rsidR="00000000" w:rsidRPr="00000000">
              <w:rPr>
                <w:rFonts w:ascii="Arial" w:cs="Arial" w:eastAsia="Arial" w:hAnsi="Arial"/>
                <w:b w:val="0"/>
                <w:bCs w:val="0"/>
                <w:sz w:val="18"/>
                <w:szCs w:val="18"/>
                <w:rtl w:val="0"/>
              </w:rPr>
              <w:t xml:space="preserve">Effective 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1">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2">
            <w:pPr>
              <w:jc w:val="left"/>
              <w:rPr/>
            </w:pPr>
            <w:r w:rsidDel="00000000" w:rsidR="00000000" w:rsidRPr="00000000">
              <w:rPr>
                <w:rFonts w:ascii="Arial" w:cs="Arial" w:eastAsia="Arial" w:hAnsi="Arial"/>
                <w:b w:val="0"/>
                <w:bCs w:val="0"/>
                <w:sz w:val="18"/>
                <w:szCs w:val="18"/>
                <w:rtl w:val="0"/>
              </w:rPr>
              <w:t xml:space="preserve">Review Cycle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3">
            <w:pPr>
              <w:jc w:val="left"/>
              <w:rPr/>
            </w:pPr>
            <w:r w:rsidDel="00000000" w:rsidR="00000000" w:rsidRPr="00000000">
              <w:rPr>
                <w:rFonts w:ascii="Arial" w:cs="Arial" w:eastAsia="Arial" w:hAnsi="Arial"/>
                <w:b w:val="0"/>
                <w:bCs w:val="0"/>
                <w:sz w:val="18"/>
                <w:szCs w:val="18"/>
                <w:rtl w:val="0"/>
              </w:rPr>
              <w:t xml:space="preserve">Annual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4">
            <w:pPr>
              <w:jc w:val="left"/>
              <w:rPr/>
            </w:pPr>
            <w:r w:rsidDel="00000000" w:rsidR="00000000" w:rsidRPr="00000000">
              <w:rPr>
                <w:rFonts w:ascii="Arial" w:cs="Arial" w:eastAsia="Arial" w:hAnsi="Arial"/>
                <w:b w:val="0"/>
                <w:bCs w:val="0"/>
                <w:sz w:val="18"/>
                <w:szCs w:val="18"/>
                <w:rtl w:val="0"/>
              </w:rPr>
              <w:t xml:space="preserve">Owner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5">
            <w:pPr>
              <w:jc w:val="left"/>
              <w:rPr/>
            </w:pPr>
            <w:r w:rsidDel="00000000" w:rsidR="00000000" w:rsidRPr="00000000">
              <w:rPr>
                <w:rFonts w:ascii="Arial" w:cs="Arial" w:eastAsia="Arial" w:hAnsi="Arial"/>
                <w:b w:val="0"/>
                <w:bCs w:val="0"/>
                <w:sz w:val="18"/>
                <w:szCs w:val="18"/>
                <w:rtl w:val="0"/>
              </w:rPr>
              <w:t xml:space="preserve">DPO (CISO)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6">
            <w:pPr>
              <w:jc w:val="left"/>
              <w:rPr/>
            </w:pPr>
            <w:r w:rsidDel="00000000" w:rsidR="00000000" w:rsidRPr="00000000">
              <w:rPr>
                <w:rFonts w:ascii="Arial" w:cs="Arial" w:eastAsia="Arial" w:hAnsi="Arial"/>
                <w:b w:val="0"/>
                <w:bCs w:val="0"/>
                <w:sz w:val="18"/>
                <w:szCs w:val="18"/>
                <w:rtl w:val="0"/>
              </w:rPr>
              <w:t xml:space="preserve">Approver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7">
            <w:pPr>
              <w:jc w:val="left"/>
              <w:rPr/>
            </w:pPr>
            <w:r w:rsidDel="00000000" w:rsidR="00000000" w:rsidRPr="00000000">
              <w:rPr>
                <w:rFonts w:ascii="Arial" w:cs="Arial" w:eastAsia="Arial" w:hAnsi="Arial"/>
                <w:b w:val="0"/>
                <w:bCs w:val="0"/>
                <w:sz w:val="18"/>
                <w:szCs w:val="18"/>
                <w:rtl w:val="0"/>
              </w:rPr>
              <w:t xml:space="preserve">Node Owner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0"/>
                <w:bCs w:val="0"/>
                <w:sz w:val="18"/>
                <w:szCs w:val="18"/>
                <w:rtl w:val="0"/>
              </w:rPr>
              <w:t xml:space="preserve">Classification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sz w:val="18"/>
                <w:szCs w:val="18"/>
                <w:rtl w:val="0"/>
              </w:rPr>
              <w:t xml:space="preserve">Confidential — Internal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sz w:val="18"/>
                <w:szCs w:val="18"/>
                <w:rtl w:val="0"/>
              </w:rPr>
              <w:t xml:space="preserve">Supersedes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sz w:val="18"/>
                <w:szCs w:val="18"/>
                <w:rtl w:val="0"/>
              </w:rPr>
              <w:t xml:space="preserve">None</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0"/>
                <w:bCs w:val="0"/>
                <w:sz w:val="18"/>
                <w:szCs w:val="18"/>
                <w:rtl w:val="0"/>
              </w:rPr>
              <w:t xml:space="preserve">References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0"/>
                <w:bCs w:val="0"/>
                <w:sz w:val="18"/>
                <w:szCs w:val="18"/>
                <w:rtl w:val="0"/>
              </w:rPr>
              <w:t xml:space="preserve">POL-011; REG-510; GDPR Art.35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sz w:val="18"/>
                <w:szCs w:val="18"/>
                <w:rtl w:val="0"/>
              </w:rPr>
              <w:t xml:space="preserve">Last Change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sz w:val="18"/>
                <w:szCs w:val="18"/>
                <w:rtl w:val="0"/>
              </w:rPr>
              <w:t xml:space="preserve">Audit Readiness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0"/>
                <w:bCs w:val="0"/>
                <w:sz w:val="18"/>
                <w:szCs w:val="18"/>
                <w:rtl w:val="0"/>
              </w:rPr>
              <w:t xml:space="preserve">Audit-ready v1.0 — generated 2026-04-15 for Drive publication</w:t>
            </w:r>
            <w:r w:rsidDel="00000000" w:rsidR="00000000" w:rsidRPr="00000000">
              <w:rPr>
                <w:rtl w:val="0"/>
              </w:rPr>
            </w:r>
          </w:p>
        </w:tc>
      </w:tr>
    </w:tbl>
    <w:p w:rsidR="00000000" w:rsidDel="00000000" w:rsidP="00000000" w:rsidRDefault="00000000" w:rsidRPr="00000000" w14:paraId="00000022">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 Purpose</w:t>
      </w:r>
      <w:r w:rsidDel="00000000" w:rsidR="00000000" w:rsidRPr="00000000">
        <w:rPr>
          <w:rtl w:val="0"/>
        </w:rPr>
      </w:r>
    </w:p>
    <w:p w:rsidR="00000000" w:rsidDel="00000000" w:rsidP="00000000" w:rsidRDefault="00000000" w:rsidRPr="00000000" w14:paraId="00000023">
      <w:pPr>
        <w:spacing w:after="100" w:lineRule="auto"/>
        <w:jc w:val="both"/>
        <w:rPr/>
      </w:pPr>
      <w:r w:rsidDel="00000000" w:rsidR="00000000" w:rsidRPr="00000000">
        <w:rPr>
          <w:rFonts w:ascii="Arial" w:cs="Arial" w:eastAsia="Arial" w:hAnsi="Arial"/>
          <w:sz w:val="20"/>
          <w:szCs w:val="20"/>
          <w:rtl w:val="0"/>
        </w:rPr>
        <w:t xml:space="preserve">A binary screening instrument used at Gate G1-A of every engagement (Track A and Track B) to determine whether a full Data Protection Impact Assessment is required. All screening results — whether Required or Not Required — are logged in REG-510.</w:t>
      </w:r>
      <w:r w:rsidDel="00000000" w:rsidR="00000000" w:rsidRPr="00000000">
        <w:rPr>
          <w:rtl w:val="0"/>
        </w:rPr>
      </w:r>
    </w:p>
    <w:p w:rsidR="00000000" w:rsidDel="00000000" w:rsidP="00000000" w:rsidRDefault="00000000" w:rsidRPr="00000000" w14:paraId="00000024">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2. When to use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At Gate G1-A of every new engagement.</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any material scope change that adds new processing activities.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Before deploying any new product feature that processes personal data.</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Annually for continuing processing.</w:t>
      </w:r>
    </w:p>
    <w:p w:rsidR="00000000" w:rsidDel="00000000" w:rsidP="00000000" w:rsidRDefault="00000000" w:rsidRPr="00000000" w14:paraId="0000002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3. Screening Checklist</w:t>
      </w:r>
      <w:r w:rsidDel="00000000" w:rsidR="00000000" w:rsidRPr="00000000">
        <w:rPr>
          <w:rtl w:val="0"/>
        </w:rPr>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400"/>
        <w:gridCol w:w="2000"/>
        <w:gridCol w:w="2000"/>
        <w:tblGridChange w:id="0">
          <w:tblGrid>
            <w:gridCol w:w="600"/>
            <w:gridCol w:w="5400"/>
            <w:gridCol w:w="2000"/>
            <w:gridCol w:w="2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1"/>
                <w:bCs w:val="1"/>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1"/>
                <w:bCs w:val="1"/>
                <w:sz w:val="18"/>
                <w:szCs w:val="18"/>
                <w:rtl w:val="0"/>
              </w:rPr>
              <w:t xml:space="preserve">Question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C">
            <w:pPr>
              <w:jc w:val="left"/>
              <w:rPr/>
            </w:pPr>
            <w:r w:rsidDel="00000000" w:rsidR="00000000" w:rsidRPr="00000000">
              <w:rPr>
                <w:rFonts w:ascii="Arial" w:cs="Arial" w:eastAsia="Arial" w:hAnsi="Arial"/>
                <w:b w:val="1"/>
                <w:bCs w:val="1"/>
                <w:sz w:val="18"/>
                <w:szCs w:val="18"/>
                <w:rtl w:val="0"/>
              </w:rPr>
              <w:t xml:space="preserve">If YES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2D">
            <w:pPr>
              <w:jc w:val="left"/>
              <w:rPr/>
            </w:pPr>
            <w:r w:rsidDel="00000000" w:rsidR="00000000" w:rsidRPr="00000000">
              <w:rPr>
                <w:rFonts w:ascii="Arial" w:cs="Arial" w:eastAsia="Arial" w:hAnsi="Arial"/>
                <w:b w:val="1"/>
                <w:bCs w:val="1"/>
                <w:sz w:val="18"/>
                <w:szCs w:val="18"/>
                <w:rtl w:val="0"/>
              </w:rPr>
              <w:t xml:space="preserve">If NO</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E">
            <w:pPr>
              <w:jc w:val="left"/>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2F">
            <w:pPr>
              <w:jc w:val="left"/>
              <w:rPr/>
            </w:pPr>
            <w:r w:rsidDel="00000000" w:rsidR="00000000" w:rsidRPr="00000000">
              <w:rPr>
                <w:rFonts w:ascii="Arial" w:cs="Arial" w:eastAsia="Arial" w:hAnsi="Arial"/>
                <w:b w:val="0"/>
                <w:bCs w:val="0"/>
                <w:sz w:val="18"/>
                <w:szCs w:val="18"/>
                <w:rtl w:val="0"/>
              </w:rPr>
              <w:t xml:space="preserve">Does the engagement / processing involve EU personal data?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0">
            <w:pPr>
              <w:jc w:val="left"/>
              <w:rPr/>
            </w:pPr>
            <w:r w:rsidDel="00000000" w:rsidR="00000000" w:rsidRPr="00000000">
              <w:rPr>
                <w:rFonts w:ascii="Arial" w:cs="Arial" w:eastAsia="Arial" w:hAnsi="Arial"/>
                <w:b w:val="0"/>
                <w:bCs w:val="0"/>
                <w:sz w:val="18"/>
                <w:szCs w:val="18"/>
                <w:rtl w:val="0"/>
              </w:rPr>
              <w:t xml:space="preserve">Continue to Q2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1">
            <w:pPr>
              <w:jc w:val="left"/>
              <w:rPr/>
            </w:pPr>
            <w:r w:rsidDel="00000000" w:rsidR="00000000" w:rsidRPr="00000000">
              <w:rPr>
                <w:rFonts w:ascii="Arial" w:cs="Arial" w:eastAsia="Arial" w:hAnsi="Arial"/>
                <w:b w:val="0"/>
                <w:bCs w:val="0"/>
                <w:sz w:val="18"/>
                <w:szCs w:val="18"/>
                <w:rtl w:val="0"/>
              </w:rPr>
              <w:t xml:space="preserve">DPIA not required — record &amp; stop</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2">
            <w:pPr>
              <w:jc w:val="left"/>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3">
            <w:pPr>
              <w:jc w:val="left"/>
              <w:rPr/>
            </w:pPr>
            <w:r w:rsidDel="00000000" w:rsidR="00000000" w:rsidRPr="00000000">
              <w:rPr>
                <w:rFonts w:ascii="Arial" w:cs="Arial" w:eastAsia="Arial" w:hAnsi="Arial"/>
                <w:b w:val="0"/>
                <w:bCs w:val="0"/>
                <w:sz w:val="18"/>
                <w:szCs w:val="18"/>
                <w:rtl w:val="0"/>
              </w:rPr>
              <w:t xml:space="preserve">Is the engagement tier T2 or above?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sz w:val="18"/>
                <w:szCs w:val="18"/>
                <w:rtl w:val="0"/>
              </w:rPr>
              <w:t xml:space="preserve">DPIA mandatory (POL-011-R04) — stop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sz w:val="18"/>
                <w:szCs w:val="18"/>
                <w:rtl w:val="0"/>
              </w:rPr>
              <w:t xml:space="preserve">Continue to Q3</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0"/>
                <w:bCs w:val="0"/>
                <w:sz w:val="18"/>
                <w:szCs w:val="18"/>
                <w:rtl w:val="0"/>
              </w:rPr>
              <w:t xml:space="preserve">Does processing involve automated decision-making with legal or similarly significant effects?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sz w:val="18"/>
                <w:szCs w:val="18"/>
                <w:rtl w:val="0"/>
              </w:rPr>
              <w:t xml:space="preserve">DPIA mandatory — Art. 35(3)(a)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sz w:val="18"/>
                <w:szCs w:val="18"/>
                <w:rtl w:val="0"/>
              </w:rPr>
              <w:t xml:space="preserve">Continue to Q4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0"/>
                <w:bCs w:val="0"/>
                <w:sz w:val="18"/>
                <w:szCs w:val="18"/>
                <w:rtl w:val="0"/>
              </w:rPr>
              <w:t xml:space="preserve">Does processing involve systematic, large-scale profiling?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sz w:val="18"/>
                <w:szCs w:val="18"/>
                <w:rtl w:val="0"/>
              </w:rPr>
              <w:t xml:space="preserve">DPIA mandatory — Art. 35(3)(b)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sz w:val="18"/>
                <w:szCs w:val="18"/>
                <w:rtl w:val="0"/>
              </w:rPr>
              <w:t xml:space="preserve">Continue to Q5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0"/>
                <w:bCs w:val="0"/>
                <w:sz w:val="18"/>
                <w:szCs w:val="18"/>
                <w:rtl w:val="0"/>
              </w:rPr>
              <w:t xml:space="preserve">Does processing involve systematic monitoring of publicly accessible areas on a large scale?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sz w:val="18"/>
                <w:szCs w:val="18"/>
                <w:rtl w:val="0"/>
              </w:rPr>
              <w:t xml:space="preserve">DPIA mandatory — Art. 35(3)(c)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sz w:val="18"/>
                <w:szCs w:val="18"/>
                <w:rtl w:val="0"/>
              </w:rPr>
              <w:t xml:space="preserve">Continue to Q6</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0"/>
                <w:bCs w:val="0"/>
                <w:sz w:val="18"/>
                <w:szCs w:val="18"/>
                <w:rtl w:val="0"/>
              </w:rPr>
              <w:t xml:space="preserve">Does processing involve special-category data (Art. 9) or criminal-offence data (Art. 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sz w:val="18"/>
                <w:szCs w:val="18"/>
                <w:rtl w:val="0"/>
              </w:rPr>
              <w:t xml:space="preserve">DPIA mandatory by policy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sz w:val="18"/>
                <w:szCs w:val="18"/>
                <w:rtl w:val="0"/>
              </w:rPr>
              <w:t xml:space="preserve">Continue to Q7</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Does processing involve data of vulnerable subjects (children, employees where significant power imbalance, refugees)?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sz w:val="18"/>
                <w:szCs w:val="18"/>
                <w:rtl w:val="0"/>
              </w:rPr>
              <w:t xml:space="preserve">DPIA recommended; DPO decides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sz w:val="18"/>
                <w:szCs w:val="18"/>
                <w:rtl w:val="0"/>
              </w:rPr>
              <w:t xml:space="preserve">Continue to Q8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0"/>
                <w:bCs w:val="0"/>
                <w:sz w:val="18"/>
                <w:szCs w:val="18"/>
                <w:rtl w:val="0"/>
              </w:rPr>
              <w:t xml:space="preserve">Does processing combine datasets in a way subjects would not reasonably expect (matching, combining, innovative use of technology)?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sz w:val="18"/>
                <w:szCs w:val="18"/>
                <w:rtl w:val="0"/>
              </w:rPr>
              <w:t xml:space="preserve">DPIA recommended; DPO decides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sz w:val="18"/>
                <w:szCs w:val="18"/>
                <w:rtl w:val="0"/>
              </w:rPr>
              <w:t xml:space="preserve">Continue to Q9</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sz w:val="18"/>
                <w:szCs w:val="18"/>
                <w:rtl w:val="0"/>
              </w:rPr>
              <w:t xml:space="preserve">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Are international transfers involved with non-adequate destinations?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sz w:val="18"/>
                <w:szCs w:val="18"/>
                <w:rtl w:val="0"/>
              </w:rPr>
              <w:t xml:space="preserve">Transfer Impact Assessment required; DPIA recommended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sz w:val="18"/>
                <w:szCs w:val="18"/>
                <w:rtl w:val="0"/>
              </w:rPr>
              <w:t xml:space="preserve">Continue to Q10</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0"/>
                <w:bCs w:val="0"/>
                <w:sz w:val="18"/>
                <w:szCs w:val="18"/>
                <w:rtl w:val="0"/>
              </w:rPr>
              <w:t xml:space="preserve">None of Q2–Q9 met?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sz w:val="18"/>
                <w:szCs w:val="18"/>
                <w:rtl w:val="0"/>
              </w:rPr>
              <w:t xml:space="preserve">DPIA not required — document screening + sign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r>
    </w:tbl>
    <w:p w:rsidR="00000000" w:rsidDel="00000000" w:rsidP="00000000" w:rsidRDefault="00000000" w:rsidRPr="00000000" w14:paraId="00000056">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4. Output</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Screening Result: DPIA Required / Not Required</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Screened by: named individual + role + date</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Reviewed by: DPO</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Signed by: DPO (required) + Node Owner (for T3+ or if DPIA Required)</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Recorded in: REG-510 DPIA Register</w:t>
      </w:r>
    </w:p>
    <w:p w:rsidR="00000000" w:rsidDel="00000000" w:rsidP="00000000" w:rsidRDefault="00000000" w:rsidRPr="00000000" w14:paraId="0000005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5. Control Mapping</w:t>
      </w:r>
      <w:r w:rsidDel="00000000" w:rsidR="00000000" w:rsidRPr="00000000">
        <w:rPr>
          <w:rtl w:val="0"/>
        </w:rPr>
      </w:r>
    </w:p>
    <w:tbl>
      <w:tblPr>
        <w:tblStyle w:val="Table3"/>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200"/>
        <w:gridCol w:w="4400"/>
        <w:tblGridChange w:id="0">
          <w:tblGrid>
            <w:gridCol w:w="2400"/>
            <w:gridCol w:w="3200"/>
            <w:gridCol w:w="44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1"/>
                <w:bCs w:val="1"/>
                <w:sz w:val="18"/>
                <w:szCs w:val="18"/>
                <w:rtl w:val="0"/>
              </w:rPr>
              <w:t xml:space="preserve">Framework</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1"/>
                <w:bCs w:val="1"/>
                <w:sz w:val="18"/>
                <w:szCs w:val="18"/>
                <w:rtl w:val="0"/>
              </w:rPr>
              <w:t xml:space="preserve">Control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sz w:val="18"/>
                <w:szCs w:val="18"/>
                <w:rtl w:val="0"/>
              </w:rPr>
              <w:t xml:space="preserve">How CL-409 satisfies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sz w:val="18"/>
                <w:szCs w:val="18"/>
                <w:rtl w:val="0"/>
              </w:rPr>
              <w:t xml:space="preserve">GDPR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sz w:val="18"/>
                <w:szCs w:val="18"/>
                <w:rtl w:val="0"/>
              </w:rPr>
              <w:t xml:space="preserve">Art. 35(1), Art. 35(3)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sz w:val="18"/>
                <w:szCs w:val="18"/>
                <w:rtl w:val="0"/>
              </w:rPr>
              <w:t xml:space="preserve">Codifies the necessity determination</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0"/>
                <w:bCs w:val="0"/>
                <w:sz w:val="18"/>
                <w:szCs w:val="18"/>
                <w:rtl w:val="0"/>
              </w:rPr>
              <w:t xml:space="preserve">ISO/IEC 27701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sz w:val="18"/>
                <w:szCs w:val="18"/>
                <w:rtl w:val="0"/>
              </w:rPr>
              <w:t xml:space="preserve">A.7.2.5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sz w:val="18"/>
                <w:szCs w:val="18"/>
                <w:rtl w:val="0"/>
              </w:rPr>
              <w:t xml:space="preserve">PIA initiation instrument</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sz w:val="18"/>
                <w:szCs w:val="18"/>
                <w:rtl w:val="0"/>
              </w:rPr>
              <w:t xml:space="preserve">Annex 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C12 Privacy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sz w:val="18"/>
                <w:szCs w:val="18"/>
                <w:rtl w:val="0"/>
              </w:rPr>
              <w:t xml:space="preserve">Mandatory gate artefact</w:t>
            </w:r>
            <w:r w:rsidDel="00000000" w:rsidR="00000000" w:rsidRPr="00000000">
              <w:rPr>
                <w:rtl w:val="0"/>
              </w:rPr>
            </w:r>
          </w:p>
        </w:tc>
      </w:tr>
    </w:tbl>
    <w:p w:rsidR="00000000" w:rsidDel="00000000" w:rsidP="00000000" w:rsidRDefault="00000000" w:rsidRPr="00000000" w14:paraId="00000069">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9. Exceptions &amp; Deviations</w:t>
      </w:r>
      <w:r w:rsidDel="00000000" w:rsidR="00000000" w:rsidRPr="00000000">
        <w:rPr>
          <w:rtl w:val="0"/>
        </w:rPr>
      </w:r>
    </w:p>
    <w:p w:rsidR="00000000" w:rsidDel="00000000" w:rsidP="00000000" w:rsidRDefault="00000000" w:rsidRPr="00000000" w14:paraId="0000006A">
      <w:pPr>
        <w:spacing w:after="100" w:lineRule="auto"/>
        <w:jc w:val="both"/>
        <w:rPr/>
      </w:pPr>
      <w:r w:rsidDel="00000000" w:rsidR="00000000" w:rsidRPr="00000000">
        <w:rPr>
          <w:rFonts w:ascii="Arial" w:cs="Arial" w:eastAsia="Arial" w:hAnsi="Arial"/>
          <w:sz w:val="20"/>
          <w:szCs w:val="20"/>
          <w:rtl w:val="0"/>
        </w:rPr>
        <w:t xml:space="preserve">Any deviation from the requirements in this document must be raised as a formal exception under POL-009 Exception &amp; Deviation Policy. Exceptions are classified E1 (Node-Owner approval, max 90 days), E2 (Node-Owner + CISO, max 180 days), E3 (Node-Owner + CFO + CISO, max 365 days) or E4 (CEO escalation). All active exceptions are tracked in REG-506 Exception &amp; Waiver Register.</w:t>
      </w:r>
      <w:r w:rsidDel="00000000" w:rsidR="00000000" w:rsidRPr="00000000">
        <w:rPr>
          <w:rtl w:val="0"/>
        </w:rPr>
      </w:r>
    </w:p>
    <w:p w:rsidR="00000000" w:rsidDel="00000000" w:rsidP="00000000" w:rsidRDefault="00000000" w:rsidRPr="00000000" w14:paraId="0000006B">
      <w:pPr>
        <w:spacing w:after="100" w:lineRule="auto"/>
        <w:jc w:val="both"/>
        <w:rPr/>
      </w:pPr>
      <w:r w:rsidDel="00000000" w:rsidR="00000000" w:rsidRPr="00000000">
        <w:rPr>
          <w:rFonts w:ascii="Arial" w:cs="Arial" w:eastAsia="Arial" w:hAnsi="Arial"/>
          <w:sz w:val="20"/>
          <w:szCs w:val="20"/>
          <w:rtl w:val="0"/>
        </w:rPr>
        <w:t xml:space="preserve">Undocumented deviation is treated as a control failure and triggers the Internal Audit Programme (IAP-001) non-conformance workflow.</w:t>
      </w:r>
      <w:r w:rsidDel="00000000" w:rsidR="00000000" w:rsidRPr="00000000">
        <w:rPr>
          <w:rtl w:val="0"/>
        </w:rPr>
      </w:r>
    </w:p>
    <w:p w:rsidR="00000000" w:rsidDel="00000000" w:rsidP="00000000" w:rsidRDefault="00000000" w:rsidRPr="00000000" w14:paraId="0000006C">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10. Metrics &amp; KRIs</w:t>
      </w:r>
      <w:r w:rsidDel="00000000" w:rsidR="00000000" w:rsidRPr="00000000">
        <w:rPr>
          <w:rtl w:val="0"/>
        </w:rPr>
      </w:r>
    </w:p>
    <w:p w:rsidR="00000000" w:rsidDel="00000000" w:rsidP="00000000" w:rsidRDefault="00000000" w:rsidRPr="00000000" w14:paraId="0000006D">
      <w:pPr>
        <w:spacing w:after="100" w:lineRule="auto"/>
        <w:jc w:val="both"/>
        <w:rPr/>
      </w:pPr>
      <w:r w:rsidDel="00000000" w:rsidR="00000000" w:rsidRPr="00000000">
        <w:rPr>
          <w:rFonts w:ascii="Arial" w:cs="Arial" w:eastAsia="Arial" w:hAnsi="Arial"/>
          <w:sz w:val="20"/>
          <w:szCs w:val="20"/>
          <w:rtl w:val="0"/>
        </w:rPr>
        <w:t xml:space="preserve">Operational effectiveness is monitored via the KRI dashboard specified in STD-110 KRI Dashboard Specification. Where this document introduces a new measurable control, the relevant KRI is added to STD-110 during the next quarterly review. Amber and Red thresholds drive the escalation and exception workflows in POL-009 and L2-INC-201.</w:t>
      </w:r>
      <w:r w:rsidDel="00000000" w:rsidR="00000000" w:rsidRPr="00000000">
        <w:rPr>
          <w:rtl w:val="0"/>
        </w:rPr>
      </w:r>
    </w:p>
    <w:p w:rsidR="00000000" w:rsidDel="00000000" w:rsidP="00000000" w:rsidRDefault="00000000" w:rsidRPr="00000000" w14:paraId="0000006E">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11. Review &amp; Maintenance</w:t>
      </w:r>
      <w:r w:rsidDel="00000000" w:rsidR="00000000" w:rsidRPr="00000000">
        <w:rPr>
          <w:rtl w:val="0"/>
        </w:rPr>
      </w:r>
    </w:p>
    <w:p w:rsidR="00000000" w:rsidDel="00000000" w:rsidP="00000000" w:rsidRDefault="00000000" w:rsidRPr="00000000" w14:paraId="0000006F">
      <w:pPr>
        <w:spacing w:after="100" w:lineRule="auto"/>
        <w:jc w:val="both"/>
        <w:rPr/>
      </w:pPr>
      <w:r w:rsidDel="00000000" w:rsidR="00000000" w:rsidRPr="00000000">
        <w:rPr>
          <w:rFonts w:ascii="Arial" w:cs="Arial" w:eastAsia="Arial" w:hAnsi="Arial"/>
          <w:sz w:val="20"/>
          <w:szCs w:val="20"/>
          <w:rtl w:val="0"/>
        </w:rPr>
        <w:t xml:space="preserve">This document is reviewed on a annual + per engagement cadence by the named Owner, and additionally upon: (a) material change to the control environment, (b) regulatory change affecting scope, (c) incident or audit finding requiring remediation, (d) change in Node Owner or CISO, or (e) supersession of any referenced document. Review actions (confirm / amend / supersede) are recorded in REG-511 Document Registry and approved by the named Approver.</w:t>
      </w:r>
      <w:r w:rsidDel="00000000" w:rsidR="00000000" w:rsidRPr="00000000">
        <w:rPr>
          <w:rtl w:val="0"/>
        </w:rPr>
      </w:r>
    </w:p>
    <w:p w:rsidR="00000000" w:rsidDel="00000000" w:rsidP="00000000" w:rsidRDefault="00000000" w:rsidRPr="00000000" w14:paraId="00000070">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12. Version History</w:t>
      </w:r>
      <w:r w:rsidDel="00000000" w:rsidR="00000000" w:rsidRPr="00000000">
        <w:rPr>
          <w:rtl w:val="0"/>
        </w:rPr>
      </w:r>
    </w:p>
    <w:tbl>
      <w:tblPr>
        <w:tblStyle w:val="Table4"/>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600"/>
        <w:gridCol w:w="2600"/>
        <w:gridCol w:w="4000"/>
        <w:tblGridChange w:id="0">
          <w:tblGrid>
            <w:gridCol w:w="1200"/>
            <w:gridCol w:w="1600"/>
            <w:gridCol w:w="2600"/>
            <w:gridCol w:w="4000"/>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1"/>
                <w:bCs w:val="1"/>
                <w:sz w:val="18"/>
                <w:szCs w:val="18"/>
                <w:rtl w:val="0"/>
              </w:rPr>
              <w:t xml:space="preserve">Version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1"/>
                <w:bCs w:val="1"/>
                <w:sz w:val="18"/>
                <w:szCs w:val="18"/>
                <w:rtl w:val="0"/>
              </w:rPr>
              <w:t xml:space="preserve">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sz w:val="18"/>
                <w:szCs w:val="18"/>
                <w:rtl w:val="0"/>
              </w:rPr>
              <w:t xml:space="preserve">Author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70.0" w:type="dxa"/>
              <w:left w:w="90.0" w:type="dxa"/>
              <w:bottom w:w="70.0" w:type="dxa"/>
              <w:right w:w="9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1"/>
                <w:bCs w:val="1"/>
                <w:sz w:val="18"/>
                <w:szCs w:val="18"/>
                <w:rtl w:val="0"/>
              </w:rPr>
              <w:t xml:space="preserve">Change Summary</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sz w:val="18"/>
                <w:szCs w:val="18"/>
                <w:rtl w:val="0"/>
              </w:rPr>
              <w:t xml:space="preserve">v0.9 (superseded)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sz w:val="18"/>
                <w:szCs w:val="18"/>
                <w:rtl w:val="0"/>
              </w:rPr>
              <w:t xml:space="preserve">Prior draft in GitHub main_learning</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sz w:val="18"/>
                <w:szCs w:val="18"/>
                <w:rtl w:val="0"/>
              </w:rPr>
              <w:t xml:space="preserve">v1.0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sz w:val="18"/>
                <w:szCs w:val="18"/>
                <w:rtl w:val="0"/>
              </w:rPr>
              <w:t xml:space="preserve">2026-04-15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0"/>
                <w:bCs w:val="0"/>
                <w:sz w:val="18"/>
                <w:szCs w:val="18"/>
                <w:rtl w:val="0"/>
              </w:rPr>
              <w:t xml:space="preserve">CISO / DPO (as applicable)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90.0" w:type="dxa"/>
              <w:bottom w:w="70.0" w:type="dxa"/>
              <w:right w:w="9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sz w:val="18"/>
                <w:szCs w:val="18"/>
                <w:rtl w:val="0"/>
              </w:rPr>
              <w:t xml:space="preserve">Full audit-ready publication for Drive; expanded purpose/scope/roles; added control mapping; evidence cadence; exception routing; KRI pointers.</w:t>
            </w:r>
            <w:r w:rsidDel="00000000" w:rsidR="00000000" w:rsidRPr="00000000">
              <w:rPr>
                <w:rtl w:val="0"/>
              </w:rPr>
            </w:r>
          </w:p>
        </w:tc>
      </w:tr>
    </w:tbl>
    <w:p w:rsidR="00000000" w:rsidDel="00000000" w:rsidP="00000000" w:rsidRDefault="00000000" w:rsidRPr="00000000" w14:paraId="0000007D">
      <w:pPr>
        <w:pStyle w:val="Heading1"/>
        <w:spacing w:after="120" w:before="240" w:lineRule="auto"/>
        <w:rPr/>
      </w:pPr>
      <w:r w:rsidDel="00000000" w:rsidR="00000000" w:rsidRPr="00000000">
        <w:rPr>
          <w:rFonts w:ascii="Arial" w:cs="Arial" w:eastAsia="Arial" w:hAnsi="Arial"/>
          <w:b w:val="1"/>
          <w:bCs w:val="1"/>
          <w:color w:val="1f3864"/>
          <w:sz w:val="30"/>
          <w:szCs w:val="30"/>
          <w:rtl w:val="0"/>
        </w:rPr>
        <w:t xml:space="preserve">13. Appendix — Cross-References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POL-003 Risk Management Policy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POL-009 Exception &amp; Deviation Policy</w:t>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POL-010 Monitoring &amp; Assurance Policy</w:t>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POL-011 Data Protection &amp; Privacy Policy</w:t>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L1-EVID-004 Evidence &amp; Recordkeeping Standard</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RACI-001 Enterprise RACI</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REG-506 Exception Register / REG-510 DPIA Register / REG-511 Document Registry / REG-512 Evidence Calendar</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STD-110 KRI Dashboard Specification</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IAP-001 Internal Audit Programme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CL-PHASE-001 Lifecycle Checklist</w:t>
      </w:r>
    </w:p>
    <w:sectPr>
      <w:headerReference r:id="rId6" w:type="default"/>
      <w:footerReference r:id="rId7" w:type="default"/>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center"/>
      <w:rPr/>
    </w:pPr>
    <w:r w:rsidDel="00000000" w:rsidR="00000000" w:rsidRPr="00000000">
      <w:rPr>
        <w:rFonts w:ascii="Arial" w:cs="Arial" w:eastAsia="Arial" w:hAnsi="Arial"/>
        <w:color w:val="808080"/>
        <w:sz w:val="16"/>
        <w:szCs w:val="16"/>
        <w:rtl w:val="0"/>
      </w:rPr>
      <w:t xml:space="preserve">Protofire GRC — Page </w:t>
    </w:r>
    <w:r w:rsidDel="00000000" w:rsidR="00000000" w:rsidRPr="00000000">
      <w:rPr>
        <w:rFonts w:ascii="Arial" w:cs="Arial" w:eastAsia="Arial" w:hAnsi="Arial"/>
        <w:color w:val="808080"/>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08080"/>
        <w:sz w:val="16"/>
        <w:szCs w:val="16"/>
        <w:rtl w:val="0"/>
      </w:rPr>
      <w:t xml:space="preserve"> of </w:t>
    </w:r>
    <w:r w:rsidDel="00000000" w:rsidR="00000000" w:rsidRPr="00000000">
      <w:rPr>
        <w:rFonts w:ascii="Arial" w:cs="Arial" w:eastAsia="Arial" w:hAnsi="Arial"/>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jc w:val="right"/>
      <w:rPr/>
    </w:pPr>
    <w:r w:rsidDel="00000000" w:rsidR="00000000" w:rsidRPr="00000000">
      <w:rPr>
        <w:rFonts w:ascii="Arial" w:cs="Arial" w:eastAsia="Arial" w:hAnsi="Arial"/>
        <w:color w:val="808080"/>
        <w:sz w:val="16"/>
        <w:szCs w:val="16"/>
        <w:rtl w:val="0"/>
      </w:rPr>
      <w:t xml:space="preserve">Confidential — Internal    |    CL-409    |    v1.0    |    Effective 2026-04-15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