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IAP-001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lineRule="auto"/>
        <w:jc w:val="left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Internal Audit Programme (2026–2028)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IAP-001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1.0-draft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 (independent) +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Draft — awaiting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This programme governs Protofire's internal audit activity in support of ISMS conformance (ISO/IEC 27001), ISO 22301 business continuity, GDPR obligations, and contractual client-security obligations. It defines the audit universe, cadence, independence rules, reporting lines, and escalation thresholds.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Per the Security Brief §7 (Compliance and Evidence Management), internal audits occur bi-annually at minimum, with subject-matter experts from the Internal Auditing Team who are not directly involved in the projects or controls under review.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Scope and audit universe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The audit universe covers every L0–L6 document in the GRC repository, every operational control in the Control Catalogue (40+ items, including the 20 mandatory controls C01–C20), and every active engagement classified Tier 2 or higher. Low-risk T1 engagements are audited by sampling (minimum one engagement per node per year).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Independence requirements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lead auditor for any engagement must not be in the project's RACI or have been a contributor in the preceding 12 months.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Key/treasury, secure delivery, and data-protection audits require either vCISO or an external assessor as lead (CISO cannot audit their own controls).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Node Owner under review cannot override the auditor's findings.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 are shared with the GRC Committee before remediation negotiation.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Three-year rolling schedule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The schedule spans twelve audit engagements over three years (2026 Q3 – 2028 Q4), covering every high-impact domain at least once and every T3+ engagement annually. The programme resets each year; residual items roll forward.</w:t>
      </w:r>
    </w:p>
    <w:tbl>
      <w:tblPr>
        <w:tblStyle w:val="Table2"/>
        <w:tblW w:w="12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2400"/>
        <w:gridCol w:w="1800"/>
        <w:gridCol w:w="700"/>
        <w:gridCol w:w="700"/>
        <w:gridCol w:w="2400"/>
        <w:gridCol w:w="1600"/>
        <w:tblGridChange w:id="0">
          <w:tblGrid>
            <w:gridCol w:w="400"/>
            <w:gridCol w:w="2200"/>
            <w:gridCol w:w="2400"/>
            <w:gridCol w:w="1800"/>
            <w:gridCol w:w="700"/>
            <w:gridCol w:w="70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ISMS Governance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L0-1, L0-2, L0-4, 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 (independent)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ISO 27001:2022 §4–10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POL-003, L1-ERM-001, REG-501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ISO 31000; 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Access &amp;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POL-004, L2-ACCESS-203, sod-matrix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POL-004; Annex A 5.15, 5.16, 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Secure Delivery (Web3)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L1-SDLC-003, POL-006, L3-TEST-204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External assessor (Tier 3+)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L1-SDLC-003; OWASP SCSVS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Key &amp; Treasury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L1-KEY-005, CL-411 Signing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 + Treasury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L1-KEY-005; C02 cold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POL-017, L2-INC-201, incident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L2-INC-201; NIST 800-61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Vendor &amp; Third-Party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POL-007, S-115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POL-007; Annex A 5.19–5.23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 Continuity &amp; 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L1-BC-008, POL-013, L2-TEST-204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ISO 22301; L1-BC-008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 Protection (GDPR)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POL-011, REG-505, PR-208, PR-209, CL-409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DPO (who is CISO) +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GDPR Arts. 5, 24, 30, 32–34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CEO +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POL-005, L2-CHANGE-205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POL-005 (C1–C5 classification)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Vulnerability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L2-VULN-202, L1-INFRA-009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L2-VULN-202; CVSS v3.1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Evidence &amp; Recordkeeping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L1-EVID-004, REG-511, Evidence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L1-EVID-004; ISO 17021-1:2015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5. Audit methodology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5.1 Planning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 drafts audit plan using the template (Appendix A): objectives, criteria, sampling approach, evidence requirements, risk-rated scope.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CISO or vCISO approves the plan and confirms auditor independence.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Auditee receives plan and the evidence request list at least ten working days before fieldwork.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5.2 Fieldwork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Evidence gathered through document review, system-configuration inspection, walk-throughs, and interviews.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Findings logged in the working paper with unique ID, severity (Critical/High/Medium/Low), criteria reference, and supporting evidence link in the Evidence Calendar.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Preliminary findings reviewed with auditee before closing meeting to verify factual accuracy.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5.3 Reporting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Draft report issued within ten working days of fieldwork close.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Auditee has five working days to comment and propose remediation.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report delivered to the GRC Committee and, for CEO/Board-level findings, to the Board.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5.4 Remediation and follow-up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Critical findings: 30-day remediation target, interim compensating controls within 48 hours.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High: 60 days. Medium: 90 days. Low: next planned review.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audit verifies closure; unresolved findings age into the next year's plan.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6. Escalation thresholds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 Stop triggered during audit (HS-01 to HS-07): notify CEO within 24 hours.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control rated Critical non-conformant on the SoA: notify vCISO within 24 hours.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 or more Medium+ findings in the same control domain: open an NC-Trend case for GRC Committee review.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7. Resourcing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tl w:val="0"/>
        </w:rPr>
        <w:t xml:space="preserve">Internal audits are staffed from the [Security Team roster](https://docs.google.com/spreadsheets/d/1yPTJDAlrwC0Dm7qn_c9oCtUvvcynfypU9BHXNPOmS5w/edit), filtered for members not embedded in the audited project. For specialised domains (smart-contract security, cryptographic key ceremonies), the programme contracts external assessors under L2-ASSURE-103.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8. Reporting to Board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  <w:t xml:space="preserve">vCISO produces a quarterly summary to the Board covering: audits completed, open findings by severity, remediation status against SLA, thematic risk observations, and proposed changes to the audit universe. An annual ISMS management-review pack consolidates all internal and external audit outcomes for the Board's ISO 27001 management review (Clause 9.3).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9. Related documents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and Recordkeeping Standard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L2-ASSURE-103 External Assurance Procedure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REG-511 Document Registry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REG-512 Evidence Calendar (NEW)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POL-010 Monitoring and Assurance Policy</w:t>
      </w:r>
    </w:p>
    <w:sectPr>
      <w:headerReference r:id="rId6" w:type="default"/>
      <w:footerReference r:id="rId7" w:type="default"/>
      <w:pgSz w:h="12240" w:w="15840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Protofire GRC  •  v1.0-draft  •  2026-04-15Page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IAP-001  •  Internal Audit Programme (2026–2028)Confidential —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