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40"/>
          <w:szCs w:val="40"/>
        </w:rPr>
        <w:t xml:space="preserve">GRC Charter</w:t>
      </w:r>
    </w:p>
    <w:p>
      <w:pPr>
        <w:spacing w:after="240"/>
        <w:jc w:val="center"/>
      </w:pPr>
      <w:r>
        <w:rPr>
          <w:rFonts w:ascii="Arial" w:cs="Arial" w:eastAsia="Arial" w:hAnsi="Arial"/>
          <w:color w:val="595959"/>
          <w:sz w:val="20"/>
          <w:szCs w:val="20"/>
        </w:rPr>
        <w:t xml:space="preserve">L0-3  •  L0 -- Foundation  •  v1.0  •  2026-04-15  •  Confidential -- Internal</w:t>
      </w:r>
    </w:p>
    <w:p>
      <w:pPr>
        <w:pStyle w:val="Heading1"/>
        <w:spacing w:after="120" w:before="240"/>
      </w:pPr>
      <w:r>
        <w:rPr>
          <w:rFonts w:ascii="Arial" w:cs="Arial" w:eastAsia="Arial" w:hAnsi="Arial"/>
          <w:b/>
          <w:bCs/>
          <w:color w:val="1F3864"/>
          <w:sz w:val="30"/>
          <w:szCs w:val="30"/>
        </w:rPr>
        <w:t xml:space="preserve">0. Document Control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70"/>
              <w:left w:type="dxa" w:w="90"/>
              <w:bottom w:type="dxa" w:w="70"/>
              <w:right w:type="dxa" w:w="90"/>
            </w:tcMar>
          </w:tcPr>
          <w:p>
            <w:pPr>
              <w:jc w:val="left"/>
            </w:pPr>
            <w:r>
              <w:rPr>
                <w:rFonts w:ascii="Arial" w:cs="Arial" w:eastAsia="Arial" w:hAnsi="Arial"/>
                <w:b/>
                <w:bCs/>
                <w:sz w:val="18"/>
                <w:szCs w:val="18"/>
              </w:rPr>
              <w:t xml:space="preserve">Attribute</w:t>
            </w:r>
          </w:p>
        </w:tc>
        <w:tc>
          <w:tcPr>
            <w:tcW w:type="dxa" w:w="7000"/>
            <w:tcBorders>
              <w:top w:val="single" w:color="999999" w:sz="4"/>
              <w:left w:val="single" w:color="999999" w:sz="4"/>
              <w:bottom w:val="single" w:color="999999" w:sz="4"/>
              <w:right w:val="single" w:color="999999" w:sz="4"/>
            </w:tcBorders>
            <w:shd w:fill="D9E2F3" w:color="auto" w:val="clear"/>
            <w:tcMar>
              <w:top w:type="dxa" w:w="70"/>
              <w:left w:type="dxa" w:w="90"/>
              <w:bottom w:type="dxa" w:w="70"/>
              <w:right w:type="dxa" w:w="90"/>
            </w:tcMar>
          </w:tcPr>
          <w:p>
            <w:pPr>
              <w:jc w:val="left"/>
            </w:pPr>
            <w:r>
              <w:rPr>
                <w:rFonts w:ascii="Arial" w:cs="Arial" w:eastAsia="Arial" w:hAnsi="Arial"/>
                <w:b/>
                <w:bCs/>
                <w:sz w:val="18"/>
                <w:szCs w:val="18"/>
              </w:rPr>
              <w:t xml:space="preserve">Value</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Document ID</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L0-3</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Title</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GRC Charter</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Hierarchy Level</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L0 -- Foundation</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Version</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1.0</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Status</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Approved (pending NOC sign-off)</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Effective Date</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2026-04-15</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Review Cycle</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Annual</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Owner</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CISO / GRC Manager</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Approver</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Director of Engineering (DoE) / Node Owner</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Classification</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Confidential -- Internal</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Supersedes</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References</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GRC-MASTER-001; POL-001 ISMS Policy; ISO 27001:2022 §5.1-5.3; NIST CSF 2.0 GV.OC</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Last Change</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2026-04-15</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Audit Readiness</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Audit-ready v1.0 — generated 2026-04-15; gap-fill batch per Drive Housekeeping Plan §2D/2E.</w:t>
            </w:r>
          </w:p>
        </w:tc>
      </w:tr>
    </w:tbl>
    <w:p>
      <w:pPr>
        <w:pStyle w:val="Heading1"/>
        <w:spacing w:after="120" w:before="240"/>
      </w:pPr>
      <w:r>
        <w:rPr>
          <w:rFonts w:ascii="Arial" w:cs="Arial" w:eastAsia="Arial" w:hAnsi="Arial"/>
          <w:b/>
          <w:bCs/>
          <w:color w:val="1F3864"/>
          <w:sz w:val="30"/>
          <w:szCs w:val="30"/>
        </w:rPr>
        <w:t xml:space="preserve">1. Purpose</w:t>
      </w:r>
    </w:p>
    <w:p>
      <w:pPr>
        <w:spacing w:after="100"/>
        <w:jc w:val="both"/>
      </w:pPr>
      <w:r>
        <w:rPr>
          <w:rFonts w:ascii="Arial" w:cs="Arial" w:eastAsia="Arial" w:hAnsi="Arial"/>
          <w:sz w:val="20"/>
          <w:szCs w:val="20"/>
        </w:rPr>
        <w:t xml:space="preserve">The GRC Charter establishes the mandate, authority, scope, objectives and governance structure of the Governance, Risk and Compliance (GRC) function within Protofire DAO LLC. It serves as the foundational authority document from which all lower-tier policies, standards, procedures and guidelines derive their legitimacy.</w:t>
      </w:r>
    </w:p>
    <w:p>
      <w:pPr>
        <w:pStyle w:val="Heading1"/>
        <w:spacing w:after="120" w:before="240"/>
      </w:pPr>
      <w:r>
        <w:rPr>
          <w:rFonts w:ascii="Arial" w:cs="Arial" w:eastAsia="Arial" w:hAnsi="Arial"/>
          <w:b/>
          <w:bCs/>
          <w:color w:val="1F3864"/>
          <w:sz w:val="30"/>
          <w:szCs w:val="30"/>
        </w:rPr>
        <w:t xml:space="preserve">2. Mission Statement</w:t>
      </w:r>
    </w:p>
    <w:p>
      <w:pPr>
        <w:spacing w:after="100"/>
        <w:jc w:val="both"/>
      </w:pPr>
      <w:r>
        <w:rPr>
          <w:rFonts w:ascii="Arial" w:cs="Arial" w:eastAsia="Arial" w:hAnsi="Arial"/>
          <w:sz w:val="20"/>
          <w:szCs w:val="20"/>
        </w:rPr>
        <w:t xml:space="preserve">To protect Protofire's stakeholders -- clients, team members, and the broader ecosystem -- by maintaining a risk-aware culture, ensuring compliance with applicable legal and regulatory obligations, and enabling secure delivery of blockchain infrastructure and smart-contract engineering services.</w:t>
      </w:r>
    </w:p>
    <w:p>
      <w:pPr>
        <w:pStyle w:val="Heading1"/>
        <w:spacing w:after="120" w:before="240"/>
      </w:pPr>
      <w:r>
        <w:rPr>
          <w:rFonts w:ascii="Arial" w:cs="Arial" w:eastAsia="Arial" w:hAnsi="Arial"/>
          <w:b/>
          <w:bCs/>
          <w:color w:val="1F3864"/>
          <w:sz w:val="30"/>
          <w:szCs w:val="30"/>
        </w:rPr>
        <w:t xml:space="preserve">3. Scope</w:t>
      </w:r>
    </w:p>
    <w:p>
      <w:pPr>
        <w:spacing w:after="100"/>
        <w:jc w:val="both"/>
      </w:pPr>
      <w:r>
        <w:rPr>
          <w:rFonts w:ascii="Arial" w:cs="Arial" w:eastAsia="Arial" w:hAnsi="Arial"/>
          <w:sz w:val="20"/>
          <w:szCs w:val="20"/>
        </w:rPr>
        <w:t xml:space="preserve">This Charter applies to all Protofire personnel (employees, contractors, sub-processors), all information systems, all client engagements, and all jurisdictions in which Protofire operates. It covers:</w:t>
      </w:r>
    </w:p>
    <w:p>
      <w:pPr>
        <w:pStyle w:val="ListParagraph"/>
        <w:numPr>
          <w:ilvl w:val="0"/>
          <w:numId w:val="1"/>
        </w:numPr>
        <w:spacing w:after="60"/>
      </w:pPr>
      <w:r>
        <w:rPr>
          <w:rFonts w:ascii="Arial" w:cs="Arial" w:eastAsia="Arial" w:hAnsi="Arial"/>
          <w:sz w:val="20"/>
          <w:szCs w:val="20"/>
        </w:rPr>
        <w:t xml:space="preserve">Information Security -- confidentiality, integrity and availability of data and systems</w:t>
      </w:r>
    </w:p>
    <w:p>
      <w:pPr>
        <w:pStyle w:val="ListParagraph"/>
        <w:numPr>
          <w:ilvl w:val="0"/>
          <w:numId w:val="1"/>
        </w:numPr>
        <w:spacing w:after="60"/>
      </w:pPr>
      <w:r>
        <w:rPr>
          <w:rFonts w:ascii="Arial" w:cs="Arial" w:eastAsia="Arial" w:hAnsi="Arial"/>
          <w:sz w:val="20"/>
          <w:szCs w:val="20"/>
        </w:rPr>
        <w:t xml:space="preserve">Operational Risk -- business continuity, incident management, change control</w:t>
      </w:r>
    </w:p>
    <w:p>
      <w:pPr>
        <w:pStyle w:val="ListParagraph"/>
        <w:numPr>
          <w:ilvl w:val="0"/>
          <w:numId w:val="1"/>
        </w:numPr>
        <w:spacing w:after="60"/>
      </w:pPr>
      <w:r>
        <w:rPr>
          <w:rFonts w:ascii="Arial" w:cs="Arial" w:eastAsia="Arial" w:hAnsi="Arial"/>
          <w:sz w:val="20"/>
          <w:szCs w:val="20"/>
        </w:rPr>
        <w:t xml:space="preserve">Compliance -- GDPR, CCPA/CPRA, LGPD, MiCA, SOC 2 Type II readiness, ISO 27001:2022 alignment</w:t>
      </w:r>
    </w:p>
    <w:p>
      <w:pPr>
        <w:pStyle w:val="ListParagraph"/>
        <w:numPr>
          <w:ilvl w:val="0"/>
          <w:numId w:val="1"/>
        </w:numPr>
        <w:spacing w:after="60"/>
      </w:pPr>
      <w:r>
        <w:rPr>
          <w:rFonts w:ascii="Arial" w:cs="Arial" w:eastAsia="Arial" w:hAnsi="Arial"/>
          <w:sz w:val="20"/>
          <w:szCs w:val="20"/>
        </w:rPr>
        <w:t xml:space="preserve">Third-Party Risk -- vendor assessments, sub-processor governance, SLA management</w:t>
      </w:r>
    </w:p>
    <w:p>
      <w:pPr>
        <w:pStyle w:val="ListParagraph"/>
        <w:numPr>
          <w:ilvl w:val="0"/>
          <w:numId w:val="1"/>
        </w:numPr>
        <w:spacing w:after="60"/>
      </w:pPr>
      <w:r>
        <w:rPr>
          <w:rFonts w:ascii="Arial" w:cs="Arial" w:eastAsia="Arial" w:hAnsi="Arial"/>
          <w:sz w:val="20"/>
          <w:szCs w:val="20"/>
        </w:rPr>
        <w:t xml:space="preserve">Smart-Contract &amp; Protocol Security -- audit lifecycle, deployment controls, key management</w:t>
      </w:r>
    </w:p>
    <w:p>
      <w:pPr>
        <w:pStyle w:val="Heading1"/>
        <w:spacing w:after="120" w:before="240"/>
      </w:pPr>
      <w:r>
        <w:rPr>
          <w:rFonts w:ascii="Arial" w:cs="Arial" w:eastAsia="Arial" w:hAnsi="Arial"/>
          <w:b/>
          <w:bCs/>
          <w:color w:val="1F3864"/>
          <w:sz w:val="30"/>
          <w:szCs w:val="30"/>
        </w:rPr>
        <w:t xml:space="preserve">4. Authority &amp; Mandate</w:t>
      </w:r>
    </w:p>
    <w:p>
      <w:pPr>
        <w:spacing w:after="100"/>
        <w:jc w:val="both"/>
      </w:pPr>
      <w:r>
        <w:rPr>
          <w:rFonts w:ascii="Arial" w:cs="Arial" w:eastAsia="Arial" w:hAnsi="Arial"/>
          <w:sz w:val="20"/>
          <w:szCs w:val="20"/>
        </w:rPr>
        <w:t xml:space="preserve">The GRC function operates under direct authority of the Node Owner (NO) and is executed by the CISO, with delegation to the GRC Manager for day-to-day operations. This mandate includes:</w:t>
      </w:r>
    </w:p>
    <w:p>
      <w:pPr>
        <w:pStyle w:val="ListParagraph"/>
        <w:numPr>
          <w:ilvl w:val="0"/>
          <w:numId w:val="1"/>
        </w:numPr>
        <w:spacing w:after="60"/>
      </w:pPr>
      <w:r>
        <w:rPr>
          <w:rFonts w:ascii="Arial" w:cs="Arial" w:eastAsia="Arial" w:hAnsi="Arial"/>
          <w:sz w:val="20"/>
          <w:szCs w:val="20"/>
        </w:rPr>
        <w:t xml:space="preserve">Right of access to any system, log, repository, or personnel record necessary to assess risk or compliance</w:t>
      </w:r>
    </w:p>
    <w:p>
      <w:pPr>
        <w:pStyle w:val="ListParagraph"/>
        <w:numPr>
          <w:ilvl w:val="0"/>
          <w:numId w:val="1"/>
        </w:numPr>
        <w:spacing w:after="60"/>
      </w:pPr>
      <w:r>
        <w:rPr>
          <w:rFonts w:ascii="Arial" w:cs="Arial" w:eastAsia="Arial" w:hAnsi="Arial"/>
          <w:sz w:val="20"/>
          <w:szCs w:val="20"/>
        </w:rPr>
        <w:t xml:space="preserve">Authority to issue binding directives (policies, standards) requiring compliance by all personnel</w:t>
      </w:r>
    </w:p>
    <w:p>
      <w:pPr>
        <w:pStyle w:val="ListParagraph"/>
        <w:numPr>
          <w:ilvl w:val="0"/>
          <w:numId w:val="1"/>
        </w:numPr>
        <w:spacing w:after="60"/>
      </w:pPr>
      <w:r>
        <w:rPr>
          <w:rFonts w:ascii="Arial" w:cs="Arial" w:eastAsia="Arial" w:hAnsi="Arial"/>
          <w:sz w:val="20"/>
          <w:szCs w:val="20"/>
        </w:rPr>
        <w:t xml:space="preserve">Power to invoke hard stops (HS-01 through HS-07) halting engagement or deployment activity</w:t>
      </w:r>
    </w:p>
    <w:p>
      <w:pPr>
        <w:pStyle w:val="ListParagraph"/>
        <w:numPr>
          <w:ilvl w:val="0"/>
          <w:numId w:val="1"/>
        </w:numPr>
        <w:spacing w:after="60"/>
      </w:pPr>
      <w:r>
        <w:rPr>
          <w:rFonts w:ascii="Arial" w:cs="Arial" w:eastAsia="Arial" w:hAnsi="Arial"/>
          <w:sz w:val="20"/>
          <w:szCs w:val="20"/>
        </w:rPr>
        <w:t xml:space="preserve">Budget authority for GRC tooling, training, external audits and insurance premiums</w:t>
      </w:r>
    </w:p>
    <w:p>
      <w:pPr>
        <w:pStyle w:val="ListParagraph"/>
        <w:numPr>
          <w:ilvl w:val="0"/>
          <w:numId w:val="1"/>
        </w:numPr>
        <w:spacing w:after="60"/>
      </w:pPr>
      <w:r>
        <w:rPr>
          <w:rFonts w:ascii="Arial" w:cs="Arial" w:eastAsia="Arial" w:hAnsi="Arial"/>
          <w:sz w:val="20"/>
          <w:szCs w:val="20"/>
        </w:rPr>
        <w:t xml:space="preserve">Escalation path directly to the Node Owner, bypassing operational management where risk warrants</w:t>
      </w:r>
    </w:p>
    <w:p>
      <w:pPr>
        <w:pStyle w:val="Heading1"/>
        <w:spacing w:after="120" w:before="240"/>
      </w:pPr>
      <w:r>
        <w:rPr>
          <w:rFonts w:ascii="Arial" w:cs="Arial" w:eastAsia="Arial" w:hAnsi="Arial"/>
          <w:b/>
          <w:bCs/>
          <w:color w:val="1F3864"/>
          <w:sz w:val="30"/>
          <w:szCs w:val="30"/>
        </w:rPr>
        <w:t xml:space="preserve">5. GRC Organisational Structure</w:t>
      </w:r>
    </w:p>
    <w:p>
      <w:pPr>
        <w:spacing w:after="100"/>
        <w:jc w:val="both"/>
      </w:pPr>
      <w:r>
        <w:rPr>
          <w:rFonts w:ascii="Arial" w:cs="Arial" w:eastAsia="Arial" w:hAnsi="Arial"/>
          <w:sz w:val="20"/>
          <w:szCs w:val="20"/>
        </w:rPr>
        <w:t xml:space="preserve">The GRC function is structured as follows: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500"/>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70"/>
              <w:left w:type="dxa" w:w="90"/>
              <w:bottom w:type="dxa" w:w="70"/>
              <w:right w:type="dxa" w:w="90"/>
            </w:tcMar>
          </w:tcPr>
          <w:p>
            <w:pPr>
              <w:jc w:val="left"/>
            </w:pPr>
            <w:r>
              <w:rPr>
                <w:rFonts w:ascii="Arial" w:cs="Arial" w:eastAsia="Arial" w:hAnsi="Arial"/>
                <w:b/>
                <w:bCs/>
                <w:sz w:val="18"/>
                <w:szCs w:val="18"/>
              </w:rPr>
              <w:t xml:space="preserve">Role</w:t>
            </w:r>
          </w:p>
        </w:tc>
        <w:tc>
          <w:tcPr>
            <w:tcW w:type="dxa" w:w="3500"/>
            <w:tcBorders>
              <w:top w:val="single" w:color="999999" w:sz="4"/>
              <w:left w:val="single" w:color="999999" w:sz="4"/>
              <w:bottom w:val="single" w:color="999999" w:sz="4"/>
              <w:right w:val="single" w:color="999999" w:sz="4"/>
            </w:tcBorders>
            <w:shd w:fill="D9E2F3" w:color="auto" w:val="clear"/>
            <w:tcMar>
              <w:top w:type="dxa" w:w="70"/>
              <w:left w:type="dxa" w:w="90"/>
              <w:bottom w:type="dxa" w:w="70"/>
              <w:right w:type="dxa" w:w="90"/>
            </w:tcMar>
          </w:tcPr>
          <w:p>
            <w:pPr>
              <w:jc w:val="left"/>
            </w:pPr>
            <w:r>
              <w:rPr>
                <w:rFonts w:ascii="Arial" w:cs="Arial" w:eastAsia="Arial" w:hAnsi="Arial"/>
                <w:b/>
                <w:bCs/>
                <w:sz w:val="18"/>
                <w:szCs w:val="18"/>
              </w:rPr>
              <w:t xml:space="preserve">Primary Responsibility</w:t>
            </w:r>
          </w:p>
        </w:tc>
        <w:tc>
          <w:tcPr>
            <w:tcW w:type="dxa" w:w="3500"/>
            <w:tcBorders>
              <w:top w:val="single" w:color="999999" w:sz="4"/>
              <w:left w:val="single" w:color="999999" w:sz="4"/>
              <w:bottom w:val="single" w:color="999999" w:sz="4"/>
              <w:right w:val="single" w:color="999999" w:sz="4"/>
            </w:tcBorders>
            <w:shd w:fill="D9E2F3" w:color="auto" w:val="clear"/>
            <w:tcMar>
              <w:top w:type="dxa" w:w="70"/>
              <w:left w:type="dxa" w:w="90"/>
              <w:bottom w:type="dxa" w:w="70"/>
              <w:right w:type="dxa" w:w="90"/>
            </w:tcMar>
          </w:tcPr>
          <w:p>
            <w:pPr>
              <w:jc w:val="left"/>
            </w:pPr>
            <w:r>
              <w:rPr>
                <w:rFonts w:ascii="Arial" w:cs="Arial" w:eastAsia="Arial" w:hAnsi="Arial"/>
                <w:b/>
                <w:bCs/>
                <w:sz w:val="18"/>
                <w:szCs w:val="18"/>
              </w:rPr>
              <w:t xml:space="preserve">Reports To</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Node Owner (NO)</w:t>
            </w:r>
          </w:p>
        </w:tc>
        <w:tc>
          <w:tcPr>
            <w:tcW w:type="dxa" w:w="35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Ultimate accountability; gate signatory</w:t>
            </w:r>
          </w:p>
        </w:tc>
        <w:tc>
          <w:tcPr>
            <w:tcW w:type="dxa" w:w="35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Board / DAO Governance</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CISO / vCISO</w:t>
            </w:r>
          </w:p>
        </w:tc>
        <w:tc>
          <w:tcPr>
            <w:tcW w:type="dxa" w:w="35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Security strategy; risk appetite; policy approval</w:t>
            </w:r>
          </w:p>
        </w:tc>
        <w:tc>
          <w:tcPr>
            <w:tcW w:type="dxa" w:w="35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Node Owner</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GRC Manager</w:t>
            </w:r>
          </w:p>
        </w:tc>
        <w:tc>
          <w:tcPr>
            <w:tcW w:type="dxa" w:w="35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Policy lifecycle; register maintenance; audit coordination</w:t>
            </w:r>
          </w:p>
        </w:tc>
        <w:tc>
          <w:tcPr>
            <w:tcW w:type="dxa" w:w="35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CISO</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DPO (Data Protection Officer)</w:t>
            </w:r>
          </w:p>
        </w:tc>
        <w:tc>
          <w:tcPr>
            <w:tcW w:type="dxa" w:w="35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Privacy compliance; DPIA reviews; DSR processing</w:t>
            </w:r>
          </w:p>
        </w:tc>
        <w:tc>
          <w:tcPr>
            <w:tcW w:type="dxa" w:w="35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CISO (functional), NO (independence)</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Technical Lead (TL)</w:t>
            </w:r>
          </w:p>
        </w:tc>
        <w:tc>
          <w:tcPr>
            <w:tcW w:type="dxa" w:w="35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Threat modelling; security baselines; deployment sign-off</w:t>
            </w:r>
          </w:p>
        </w:tc>
        <w:tc>
          <w:tcPr>
            <w:tcW w:type="dxa" w:w="35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CISO (security), DoE (technical)</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Project Manager (PM)</w:t>
            </w:r>
          </w:p>
        </w:tc>
        <w:tc>
          <w:tcPr>
            <w:tcW w:type="dxa" w:w="35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RACI population; PSF initiation; SoD checks</w:t>
            </w:r>
          </w:p>
        </w:tc>
        <w:tc>
          <w:tcPr>
            <w:tcW w:type="dxa" w:w="35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GRC Manager</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Account Manager (AM)</w:t>
            </w:r>
          </w:p>
        </w:tc>
        <w:tc>
          <w:tcPr>
            <w:tcW w:type="dxa" w:w="35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Client risk scoring; Hard Stop verification; proposal GRC sections</w:t>
            </w:r>
          </w:p>
        </w:tc>
        <w:tc>
          <w:tcPr>
            <w:tcW w:type="dxa" w:w="35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GRC Manager</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QA Engineer</w:t>
            </w:r>
          </w:p>
        </w:tc>
        <w:tc>
          <w:tcPr>
            <w:tcW w:type="dxa" w:w="35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Independent audit 2nd reviewer; fuzz/property testing</w:t>
            </w:r>
          </w:p>
        </w:tc>
        <w:tc>
          <w:tcPr>
            <w:tcW w:type="dxa" w:w="35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TL (technical), GRC Manager (audit)</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DevOps Engineer</w:t>
            </w:r>
          </w:p>
        </w:tc>
        <w:tc>
          <w:tcPr>
            <w:tcW w:type="dxa" w:w="35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CI/CD security gates; monitoring; deployment execution</w:t>
            </w:r>
          </w:p>
        </w:tc>
        <w:tc>
          <w:tcPr>
            <w:tcW w:type="dxa" w:w="35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TL (technical), GRC Manager (compliance)</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Finance/Billing</w:t>
            </w:r>
          </w:p>
        </w:tc>
        <w:tc>
          <w:tcPr>
            <w:tcW w:type="dxa" w:w="35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Payment schedule; arrears monitoring; HS-05 enforcement</w:t>
            </w:r>
          </w:p>
        </w:tc>
        <w:tc>
          <w:tcPr>
            <w:tcW w:type="dxa" w:w="35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NO (financial), GRC Manager (compliance)</w:t>
            </w:r>
          </w:p>
        </w:tc>
      </w:tr>
    </w:tbl>
    <w:p>
      <w:pPr>
        <w:pStyle w:val="Heading1"/>
        <w:spacing w:after="120" w:before="240"/>
      </w:pPr>
      <w:r>
        <w:rPr>
          <w:rFonts w:ascii="Arial" w:cs="Arial" w:eastAsia="Arial" w:hAnsi="Arial"/>
          <w:b/>
          <w:bCs/>
          <w:color w:val="1F3864"/>
          <w:sz w:val="30"/>
          <w:szCs w:val="30"/>
        </w:rPr>
        <w:t xml:space="preserve">6. Objectives</w:t>
      </w:r>
    </w:p>
    <w:p>
      <w:pPr>
        <w:spacing w:after="100"/>
        <w:jc w:val="both"/>
      </w:pPr>
      <w:r>
        <w:rPr>
          <w:rFonts w:ascii="Arial" w:cs="Arial" w:eastAsia="Arial" w:hAnsi="Arial"/>
          <w:sz w:val="20"/>
          <w:szCs w:val="20"/>
        </w:rPr>
        <w:t xml:space="preserve">The GRC function shall pursue the following measurable objectives on an annual cycle: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5000"/>
      </w:tblGrid>
      <w:tr>
        <w:trPr>
          <w:tblHeader/>
        </w:trPr>
        <w:tc>
          <w:tcPr>
            <w:tcW w:type="dxa" w:w="800"/>
            <w:tcBorders>
              <w:top w:val="single" w:color="999999" w:sz="4"/>
              <w:left w:val="single" w:color="999999" w:sz="4"/>
              <w:bottom w:val="single" w:color="999999" w:sz="4"/>
              <w:right w:val="single" w:color="999999" w:sz="4"/>
            </w:tcBorders>
            <w:shd w:fill="D9E2F3" w:color="auto" w:val="clear"/>
            <w:tcMar>
              <w:top w:type="dxa" w:w="70"/>
              <w:left w:type="dxa" w:w="90"/>
              <w:bottom w:type="dxa" w:w="70"/>
              <w:right w:type="dxa" w:w="90"/>
            </w:tcMar>
          </w:tcPr>
          <w:p>
            <w:pPr>
              <w:jc w:val="left"/>
            </w:pPr>
            <w:r>
              <w:rPr>
                <w:rFonts w:ascii="Arial" w:cs="Arial" w:eastAsia="Arial" w:hAnsi="Arial"/>
                <w:b/>
                <w:bCs/>
                <w:sz w:val="18"/>
                <w:szCs w:val="18"/>
              </w:rPr>
              <w:t xml:space="preserve">#</w:t>
            </w:r>
          </w:p>
        </w:tc>
        <w:tc>
          <w:tcPr>
            <w:tcW w:type="dxa" w:w="4200"/>
            <w:tcBorders>
              <w:top w:val="single" w:color="999999" w:sz="4"/>
              <w:left w:val="single" w:color="999999" w:sz="4"/>
              <w:bottom w:val="single" w:color="999999" w:sz="4"/>
              <w:right w:val="single" w:color="999999" w:sz="4"/>
            </w:tcBorders>
            <w:shd w:fill="D9E2F3" w:color="auto" w:val="clear"/>
            <w:tcMar>
              <w:top w:type="dxa" w:w="70"/>
              <w:left w:type="dxa" w:w="90"/>
              <w:bottom w:type="dxa" w:w="70"/>
              <w:right w:type="dxa" w:w="90"/>
            </w:tcMar>
          </w:tcPr>
          <w:p>
            <w:pPr>
              <w:jc w:val="left"/>
            </w:pPr>
            <w:r>
              <w:rPr>
                <w:rFonts w:ascii="Arial" w:cs="Arial" w:eastAsia="Arial" w:hAnsi="Arial"/>
                <w:b/>
                <w:bCs/>
                <w:sz w:val="18"/>
                <w:szCs w:val="18"/>
              </w:rPr>
              <w:t xml:space="preserve">Objective</w:t>
            </w:r>
          </w:p>
        </w:tc>
        <w:tc>
          <w:tcPr>
            <w:tcW w:type="dxa" w:w="5000"/>
            <w:tcBorders>
              <w:top w:val="single" w:color="999999" w:sz="4"/>
              <w:left w:val="single" w:color="999999" w:sz="4"/>
              <w:bottom w:val="single" w:color="999999" w:sz="4"/>
              <w:right w:val="single" w:color="999999" w:sz="4"/>
            </w:tcBorders>
            <w:shd w:fill="D9E2F3" w:color="auto" w:val="clear"/>
            <w:tcMar>
              <w:top w:type="dxa" w:w="70"/>
              <w:left w:type="dxa" w:w="90"/>
              <w:bottom w:type="dxa" w:w="70"/>
              <w:right w:type="dxa" w:w="90"/>
            </w:tcMar>
          </w:tcPr>
          <w:p>
            <w:pPr>
              <w:jc w:val="left"/>
            </w:pPr>
            <w:r>
              <w:rPr>
                <w:rFonts w:ascii="Arial" w:cs="Arial" w:eastAsia="Arial" w:hAnsi="Arial"/>
                <w:b/>
                <w:bCs/>
                <w:sz w:val="18"/>
                <w:szCs w:val="18"/>
              </w:rPr>
              <w:t xml:space="preserve">Metric / Target</w:t>
            </w:r>
          </w:p>
        </w:tc>
      </w:tr>
      <w:tr>
        <w:tc>
          <w:tcPr>
            <w:tcW w:type="dxa" w:w="8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O1</w:t>
            </w:r>
          </w:p>
        </w:tc>
        <w:tc>
          <w:tcPr>
            <w:tcW w:type="dxa" w:w="42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Maintain zero Critical / High unresolved findings for &gt; 30 days</w:t>
            </w:r>
          </w:p>
        </w:tc>
        <w:tc>
          <w:tcPr>
            <w:tcW w:type="dxa" w:w="5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REG-501 aging report; target: 0</w:t>
            </w:r>
          </w:p>
        </w:tc>
      </w:tr>
      <w:tr>
        <w:tc>
          <w:tcPr>
            <w:tcW w:type="dxa" w:w="8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O2</w:t>
            </w:r>
          </w:p>
        </w:tc>
        <w:tc>
          <w:tcPr>
            <w:tcW w:type="dxa" w:w="42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Complete all mandatory policy reviews within cadence</w:t>
            </w:r>
          </w:p>
        </w:tc>
        <w:tc>
          <w:tcPr>
            <w:tcW w:type="dxa" w:w="5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REG-511 compliance; target: 100%</w:t>
            </w:r>
          </w:p>
        </w:tc>
      </w:tr>
      <w:tr>
        <w:tc>
          <w:tcPr>
            <w:tcW w:type="dxa" w:w="8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O3</w:t>
            </w:r>
          </w:p>
        </w:tc>
        <w:tc>
          <w:tcPr>
            <w:tcW w:type="dxa" w:w="42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Achieve SOC 2 Type II readiness by Q4 2026</w:t>
            </w:r>
          </w:p>
        </w:tc>
        <w:tc>
          <w:tcPr>
            <w:tcW w:type="dxa" w:w="5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External readiness assessment score ≥ 85%</w:t>
            </w:r>
          </w:p>
        </w:tc>
      </w:tr>
      <w:tr>
        <w:tc>
          <w:tcPr>
            <w:tcW w:type="dxa" w:w="8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O4</w:t>
            </w:r>
          </w:p>
        </w:tc>
        <w:tc>
          <w:tcPr>
            <w:tcW w:type="dxa" w:w="42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Reduce mean-time-to-detect (MTTD) for security incidents</w:t>
            </w:r>
          </w:p>
        </w:tc>
        <w:tc>
          <w:tcPr>
            <w:tcW w:type="dxa" w:w="5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REG-509; target: &lt; 4 hours</w:t>
            </w:r>
          </w:p>
        </w:tc>
      </w:tr>
      <w:tr>
        <w:tc>
          <w:tcPr>
            <w:tcW w:type="dxa" w:w="8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O5</w:t>
            </w:r>
          </w:p>
        </w:tc>
        <w:tc>
          <w:tcPr>
            <w:tcW w:type="dxa" w:w="42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Ensure 100% personnel security-awareness training completion</w:t>
            </w:r>
          </w:p>
        </w:tc>
        <w:tc>
          <w:tcPr>
            <w:tcW w:type="dxa" w:w="5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REG-507; target: 100% within 30 days of onboarding</w:t>
            </w:r>
          </w:p>
        </w:tc>
      </w:tr>
      <w:tr>
        <w:tc>
          <w:tcPr>
            <w:tcW w:type="dxa" w:w="8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O6</w:t>
            </w:r>
          </w:p>
        </w:tc>
        <w:tc>
          <w:tcPr>
            <w:tcW w:type="dxa" w:w="42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All client engagements pass Gate G1-A risk scoring before SOW signature</w:t>
            </w:r>
          </w:p>
        </w:tc>
        <w:tc>
          <w:tcPr>
            <w:tcW w:type="dxa" w:w="5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REG-505 / CL-PHASE-001; target: 100%</w:t>
            </w:r>
          </w:p>
        </w:tc>
      </w:tr>
      <w:tr>
        <w:tc>
          <w:tcPr>
            <w:tcW w:type="dxa" w:w="8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O7</w:t>
            </w:r>
          </w:p>
        </w:tc>
        <w:tc>
          <w:tcPr>
            <w:tcW w:type="dxa" w:w="42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Vendor risk assessments completed for all Critical/High vendors</w:t>
            </w:r>
          </w:p>
        </w:tc>
        <w:tc>
          <w:tcPr>
            <w:tcW w:type="dxa" w:w="5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REG-502; target: 100% within 90 days of onboarding</w:t>
            </w:r>
          </w:p>
        </w:tc>
      </w:tr>
    </w:tbl>
    <w:p>
      <w:pPr>
        <w:pStyle w:val="Heading1"/>
        <w:spacing w:after="120" w:before="240"/>
      </w:pPr>
      <w:r>
        <w:rPr>
          <w:rFonts w:ascii="Arial" w:cs="Arial" w:eastAsia="Arial" w:hAnsi="Arial"/>
          <w:b/>
          <w:bCs/>
          <w:color w:val="1F3864"/>
          <w:sz w:val="30"/>
          <w:szCs w:val="30"/>
        </w:rPr>
        <w:t xml:space="preserve">7. Risk Appetite Statement</w:t>
      </w:r>
    </w:p>
    <w:p>
      <w:pPr>
        <w:spacing w:after="100"/>
        <w:jc w:val="both"/>
      </w:pPr>
      <w:r>
        <w:rPr>
          <w:rFonts w:ascii="Arial" w:cs="Arial" w:eastAsia="Arial" w:hAnsi="Arial"/>
          <w:sz w:val="20"/>
          <w:szCs w:val="20"/>
        </w:rPr>
        <w:t xml:space="preserve">Protofire operates in the Web3/DeFi space where smart-contract vulnerabilities can result in immediate, irreversible financial loss. Accordingly:</w:t>
      </w:r>
    </w:p>
    <w:p>
      <w:pPr>
        <w:pStyle w:val="ListParagraph"/>
        <w:numPr>
          <w:ilvl w:val="0"/>
          <w:numId w:val="1"/>
        </w:numPr>
        <w:spacing w:after="60"/>
      </w:pPr>
      <w:r>
        <w:rPr>
          <w:rFonts w:ascii="Arial" w:cs="Arial" w:eastAsia="Arial" w:hAnsi="Arial"/>
          <w:sz w:val="20"/>
          <w:szCs w:val="20"/>
        </w:rPr>
        <w:t xml:space="preserve">Zero tolerance for deployment of unaudited smart contracts to mainnet (HS-03)</w:t>
      </w:r>
    </w:p>
    <w:p>
      <w:pPr>
        <w:pStyle w:val="ListParagraph"/>
        <w:numPr>
          <w:ilvl w:val="0"/>
          <w:numId w:val="1"/>
        </w:numPr>
        <w:spacing w:after="60"/>
      </w:pPr>
      <w:r>
        <w:rPr>
          <w:rFonts w:ascii="Arial" w:cs="Arial" w:eastAsia="Arial" w:hAnsi="Arial"/>
          <w:sz w:val="20"/>
          <w:szCs w:val="20"/>
        </w:rPr>
        <w:t xml:space="preserve">Zero tolerance for OFAC-sanctioned counterparties (HS-01)</w:t>
      </w:r>
    </w:p>
    <w:p>
      <w:pPr>
        <w:pStyle w:val="ListParagraph"/>
        <w:numPr>
          <w:ilvl w:val="0"/>
          <w:numId w:val="1"/>
        </w:numPr>
        <w:spacing w:after="60"/>
      </w:pPr>
      <w:r>
        <w:rPr>
          <w:rFonts w:ascii="Arial" w:cs="Arial" w:eastAsia="Arial" w:hAnsi="Arial"/>
          <w:sz w:val="20"/>
          <w:szCs w:val="20"/>
        </w:rPr>
        <w:t xml:space="preserve">Low appetite for residual risk rated Critical after mitigation -- must escalate to NO within 24 h</w:t>
      </w:r>
    </w:p>
    <w:p>
      <w:pPr>
        <w:pStyle w:val="ListParagraph"/>
        <w:numPr>
          <w:ilvl w:val="0"/>
          <w:numId w:val="1"/>
        </w:numPr>
        <w:spacing w:after="60"/>
      </w:pPr>
      <w:r>
        <w:rPr>
          <w:rFonts w:ascii="Arial" w:cs="Arial" w:eastAsia="Arial" w:hAnsi="Arial"/>
          <w:sz w:val="20"/>
          <w:szCs w:val="20"/>
        </w:rPr>
        <w:t xml:space="preserve">Moderate appetite for operational risk where compensating controls exist and are documented</w:t>
      </w:r>
    </w:p>
    <w:p>
      <w:pPr>
        <w:pStyle w:val="ListParagraph"/>
        <w:numPr>
          <w:ilvl w:val="0"/>
          <w:numId w:val="1"/>
        </w:numPr>
        <w:spacing w:after="60"/>
      </w:pPr>
      <w:r>
        <w:rPr>
          <w:rFonts w:ascii="Arial" w:cs="Arial" w:eastAsia="Arial" w:hAnsi="Arial"/>
          <w:sz w:val="20"/>
          <w:szCs w:val="20"/>
        </w:rPr>
        <w:t xml:space="preserve">Risk acceptance requires formal sign-off per POL-009 Exception Management Policy, with CISO + NO co-sign for E3+ exceptions</w:t>
      </w:r>
    </w:p>
    <w:p>
      <w:pPr>
        <w:pStyle w:val="Heading1"/>
        <w:spacing w:after="120" w:before="240"/>
      </w:pPr>
      <w:r>
        <w:rPr>
          <w:rFonts w:ascii="Arial" w:cs="Arial" w:eastAsia="Arial" w:hAnsi="Arial"/>
          <w:b/>
          <w:bCs/>
          <w:color w:val="1F3864"/>
          <w:sz w:val="30"/>
          <w:szCs w:val="30"/>
        </w:rPr>
        <w:t xml:space="preserve">8. Policy Hierarchy</w:t>
      </w:r>
    </w:p>
    <w:p>
      <w:pPr>
        <w:spacing w:after="100"/>
        <w:jc w:val="both"/>
      </w:pPr>
      <w:r>
        <w:rPr>
          <w:rFonts w:ascii="Arial" w:cs="Arial" w:eastAsia="Arial" w:hAnsi="Arial"/>
          <w:sz w:val="20"/>
          <w:szCs w:val="20"/>
        </w:rPr>
        <w:t xml:space="preserve">The GRC document hierarchy is governed by GRC-MASTER-001 and follows six levels: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6000"/>
      </w:tblGrid>
      <w:tr>
        <w:trPr>
          <w:tblHeader/>
        </w:trPr>
        <w:tc>
          <w:tcPr>
            <w:tcW w:type="dxa" w:w="1400"/>
            <w:tcBorders>
              <w:top w:val="single" w:color="999999" w:sz="4"/>
              <w:left w:val="single" w:color="999999" w:sz="4"/>
              <w:bottom w:val="single" w:color="999999" w:sz="4"/>
              <w:right w:val="single" w:color="999999" w:sz="4"/>
            </w:tcBorders>
            <w:shd w:fill="D9E2F3" w:color="auto" w:val="clear"/>
            <w:tcMar>
              <w:top w:type="dxa" w:w="70"/>
              <w:left w:type="dxa" w:w="90"/>
              <w:bottom w:type="dxa" w:w="70"/>
              <w:right w:type="dxa" w:w="90"/>
            </w:tcMar>
          </w:tcPr>
          <w:p>
            <w:pPr>
              <w:jc w:val="left"/>
            </w:pPr>
            <w:r>
              <w:rPr>
                <w:rFonts w:ascii="Arial" w:cs="Arial" w:eastAsia="Arial" w:hAnsi="Arial"/>
                <w:b/>
                <w:bCs/>
                <w:sz w:val="18"/>
                <w:szCs w:val="18"/>
              </w:rPr>
              <w:t xml:space="preserve">Level</w:t>
            </w:r>
          </w:p>
        </w:tc>
        <w:tc>
          <w:tcPr>
            <w:tcW w:type="dxa" w:w="2600"/>
            <w:tcBorders>
              <w:top w:val="single" w:color="999999" w:sz="4"/>
              <w:left w:val="single" w:color="999999" w:sz="4"/>
              <w:bottom w:val="single" w:color="999999" w:sz="4"/>
              <w:right w:val="single" w:color="999999" w:sz="4"/>
            </w:tcBorders>
            <w:shd w:fill="D9E2F3" w:color="auto" w:val="clear"/>
            <w:tcMar>
              <w:top w:type="dxa" w:w="70"/>
              <w:left w:type="dxa" w:w="90"/>
              <w:bottom w:type="dxa" w:w="70"/>
              <w:right w:type="dxa" w:w="90"/>
            </w:tcMar>
          </w:tcPr>
          <w:p>
            <w:pPr>
              <w:jc w:val="left"/>
            </w:pPr>
            <w:r>
              <w:rPr>
                <w:rFonts w:ascii="Arial" w:cs="Arial" w:eastAsia="Arial" w:hAnsi="Arial"/>
                <w:b/>
                <w:bCs/>
                <w:sz w:val="18"/>
                <w:szCs w:val="18"/>
              </w:rPr>
              <w:t xml:space="preserve">Type</w:t>
            </w:r>
          </w:p>
        </w:tc>
        <w:tc>
          <w:tcPr>
            <w:tcW w:type="dxa" w:w="6000"/>
            <w:tcBorders>
              <w:top w:val="single" w:color="999999" w:sz="4"/>
              <w:left w:val="single" w:color="999999" w:sz="4"/>
              <w:bottom w:val="single" w:color="999999" w:sz="4"/>
              <w:right w:val="single" w:color="999999" w:sz="4"/>
            </w:tcBorders>
            <w:shd w:fill="D9E2F3" w:color="auto" w:val="clear"/>
            <w:tcMar>
              <w:top w:type="dxa" w:w="70"/>
              <w:left w:type="dxa" w:w="90"/>
              <w:bottom w:type="dxa" w:w="70"/>
              <w:right w:type="dxa" w:w="90"/>
            </w:tcMar>
          </w:tcPr>
          <w:p>
            <w:pPr>
              <w:jc w:val="left"/>
            </w:pPr>
            <w:r>
              <w:rPr>
                <w:rFonts w:ascii="Arial" w:cs="Arial" w:eastAsia="Arial" w:hAnsi="Arial"/>
                <w:b/>
                <w:bCs/>
                <w:sz w:val="18"/>
                <w:szCs w:val="18"/>
              </w:rPr>
              <w:t xml:space="preserve">Examples</w:t>
            </w:r>
          </w:p>
        </w:tc>
      </w:tr>
      <w:tr>
        <w:tc>
          <w:tcPr>
            <w:tcW w:type="dxa" w:w="14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L0</w:t>
            </w:r>
          </w:p>
        </w:tc>
        <w:tc>
          <w:tcPr>
            <w:tcW w:type="dxa" w:w="26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Foundation</w:t>
            </w:r>
          </w:p>
        </w:tc>
        <w:tc>
          <w:tcPr>
            <w:tcW w:type="dxa" w:w="6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GRC Charter (this document), Concordance Log, Enterprise Framework</w:t>
            </w:r>
          </w:p>
        </w:tc>
      </w:tr>
      <w:tr>
        <w:tc>
          <w:tcPr>
            <w:tcW w:type="dxa" w:w="14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L1</w:t>
            </w:r>
          </w:p>
        </w:tc>
        <w:tc>
          <w:tcPr>
            <w:tcW w:type="dxa" w:w="26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Policy</w:t>
            </w:r>
          </w:p>
        </w:tc>
        <w:tc>
          <w:tcPr>
            <w:tcW w:type="dxa" w:w="6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POL-001 through POL-011 -- "what must be done"</w:t>
            </w:r>
          </w:p>
        </w:tc>
      </w:tr>
      <w:tr>
        <w:tc>
          <w:tcPr>
            <w:tcW w:type="dxa" w:w="14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L2</w:t>
            </w:r>
          </w:p>
        </w:tc>
        <w:tc>
          <w:tcPr>
            <w:tcW w:type="dxa" w:w="26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Standard / Procedure</w:t>
            </w:r>
          </w:p>
        </w:tc>
        <w:tc>
          <w:tcPr>
            <w:tcW w:type="dxa" w:w="6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STD-101 through STD-104; PR-201 through PR-207 -- "how it must be done"</w:t>
            </w:r>
          </w:p>
        </w:tc>
      </w:tr>
      <w:tr>
        <w:tc>
          <w:tcPr>
            <w:tcW w:type="dxa" w:w="14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L3</w:t>
            </w:r>
          </w:p>
        </w:tc>
        <w:tc>
          <w:tcPr>
            <w:tcW w:type="dxa" w:w="26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Guideline</w:t>
            </w:r>
          </w:p>
        </w:tc>
        <w:tc>
          <w:tcPr>
            <w:tcW w:type="dxa" w:w="6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GL-301 through GL-304 -- "recommended approaches"</w:t>
            </w:r>
          </w:p>
        </w:tc>
      </w:tr>
      <w:tr>
        <w:tc>
          <w:tcPr>
            <w:tcW w:type="dxa" w:w="14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L4</w:t>
            </w:r>
          </w:p>
        </w:tc>
        <w:tc>
          <w:tcPr>
            <w:tcW w:type="dxa" w:w="26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Plan</w:t>
            </w:r>
          </w:p>
        </w:tc>
        <w:tc>
          <w:tcPr>
            <w:tcW w:type="dxa" w:w="6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PLAN-701 through PLAN-703 -- time-bound execution roadmaps</w:t>
            </w:r>
          </w:p>
        </w:tc>
      </w:tr>
      <w:tr>
        <w:tc>
          <w:tcPr>
            <w:tcW w:type="dxa" w:w="14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L5</w:t>
            </w:r>
          </w:p>
        </w:tc>
        <w:tc>
          <w:tcPr>
            <w:tcW w:type="dxa" w:w="26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Template / Form</w:t>
            </w:r>
          </w:p>
        </w:tc>
        <w:tc>
          <w:tcPr>
            <w:tcW w:type="dxa" w:w="6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FRM-801 through FRM-805 -- reusable artefacts</w:t>
            </w:r>
          </w:p>
        </w:tc>
      </w:tr>
      <w:tr>
        <w:tc>
          <w:tcPr>
            <w:tcW w:type="dxa" w:w="14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L6</w:t>
            </w:r>
          </w:p>
        </w:tc>
        <w:tc>
          <w:tcPr>
            <w:tcW w:type="dxa" w:w="26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Register / Record</w:t>
            </w:r>
          </w:p>
        </w:tc>
        <w:tc>
          <w:tcPr>
            <w:tcW w:type="dxa" w:w="6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REG-501 through REG-511 -- evidence of compliance</w:t>
            </w:r>
          </w:p>
        </w:tc>
      </w:tr>
    </w:tbl>
    <w:p>
      <w:pPr>
        <w:pStyle w:val="Heading1"/>
        <w:spacing w:after="120" w:before="240"/>
      </w:pPr>
      <w:r>
        <w:rPr>
          <w:rFonts w:ascii="Arial" w:cs="Arial" w:eastAsia="Arial" w:hAnsi="Arial"/>
          <w:b/>
          <w:bCs/>
          <w:color w:val="1F3864"/>
          <w:sz w:val="30"/>
          <w:szCs w:val="30"/>
        </w:rPr>
        <w:t xml:space="preserve">9. Reporting &amp; Accountability</w:t>
      </w:r>
    </w:p>
    <w:p>
      <w:pPr>
        <w:spacing w:after="100"/>
        <w:jc w:val="both"/>
      </w:pPr>
      <w:r>
        <w:rPr>
          <w:rFonts w:ascii="Arial" w:cs="Arial" w:eastAsia="Arial" w:hAnsi="Arial"/>
          <w:sz w:val="20"/>
          <w:szCs w:val="20"/>
        </w:rPr>
        <w:t xml:space="preserve">The GRC function reports to the Node Owner through the following cadences:</w:t>
      </w:r>
    </w:p>
    <w:p>
      <w:pPr>
        <w:pStyle w:val="ListParagraph"/>
        <w:numPr>
          <w:ilvl w:val="0"/>
          <w:numId w:val="1"/>
        </w:numPr>
        <w:spacing w:after="60"/>
      </w:pPr>
      <w:r>
        <w:rPr>
          <w:rFonts w:ascii="Arial" w:cs="Arial" w:eastAsia="Arial" w:hAnsi="Arial"/>
          <w:sz w:val="20"/>
          <w:szCs w:val="20"/>
        </w:rPr>
        <w:t xml:space="preserve">Weekly: CISO → NO security posture summary (KRI dashboard, open incidents, gate status)</w:t>
      </w:r>
    </w:p>
    <w:p>
      <w:pPr>
        <w:pStyle w:val="ListParagraph"/>
        <w:numPr>
          <w:ilvl w:val="0"/>
          <w:numId w:val="1"/>
        </w:numPr>
        <w:spacing w:after="60"/>
      </w:pPr>
      <w:r>
        <w:rPr>
          <w:rFonts w:ascii="Arial" w:cs="Arial" w:eastAsia="Arial" w:hAnsi="Arial"/>
          <w:sz w:val="20"/>
          <w:szCs w:val="20"/>
        </w:rPr>
        <w:t xml:space="preserve">Monthly: GRC Manager → CISO policy compliance scorecard; register health metrics</w:t>
      </w:r>
    </w:p>
    <w:p>
      <w:pPr>
        <w:pStyle w:val="ListParagraph"/>
        <w:numPr>
          <w:ilvl w:val="0"/>
          <w:numId w:val="1"/>
        </w:numPr>
        <w:spacing w:after="60"/>
      </w:pPr>
      <w:r>
        <w:rPr>
          <w:rFonts w:ascii="Arial" w:cs="Arial" w:eastAsia="Arial" w:hAnsi="Arial"/>
          <w:sz w:val="20"/>
          <w:szCs w:val="20"/>
        </w:rPr>
        <w:t xml:space="preserve">Quarterly: CISO → NO + DoE formal risk review; updated risk register (REG-501); training compliance (REG-507)</w:t>
      </w:r>
    </w:p>
    <w:p>
      <w:pPr>
        <w:pStyle w:val="ListParagraph"/>
        <w:numPr>
          <w:ilvl w:val="0"/>
          <w:numId w:val="1"/>
        </w:numPr>
        <w:spacing w:after="60"/>
      </w:pPr>
      <w:r>
        <w:rPr>
          <w:rFonts w:ascii="Arial" w:cs="Arial" w:eastAsia="Arial" w:hAnsi="Arial"/>
          <w:sz w:val="20"/>
          <w:szCs w:val="20"/>
        </w:rPr>
        <w:t xml:space="preserve">Annual: GRC Manager → NO comprehensive GRC maturity assessment; Charter review; budget request</w:t>
      </w:r>
    </w:p>
    <w:p>
      <w:pPr>
        <w:pStyle w:val="ListParagraph"/>
        <w:numPr>
          <w:ilvl w:val="0"/>
          <w:numId w:val="1"/>
        </w:numPr>
        <w:spacing w:after="60"/>
      </w:pPr>
      <w:r>
        <w:rPr>
          <w:rFonts w:ascii="Arial" w:cs="Arial" w:eastAsia="Arial" w:hAnsi="Arial"/>
          <w:sz w:val="20"/>
          <w:szCs w:val="20"/>
        </w:rPr>
        <w:t xml:space="preserve">Ad-hoc: Immediate escalation for any HS trigger, Critical-severity incident, or regulatory inquiry</w:t>
      </w:r>
    </w:p>
    <w:p>
      <w:pPr>
        <w:pStyle w:val="Heading1"/>
        <w:spacing w:after="120" w:before="240"/>
      </w:pPr>
      <w:r>
        <w:rPr>
          <w:rFonts w:ascii="Arial" w:cs="Arial" w:eastAsia="Arial" w:hAnsi="Arial"/>
          <w:b/>
          <w:bCs/>
          <w:color w:val="1F3864"/>
          <w:sz w:val="30"/>
          <w:szCs w:val="30"/>
        </w:rPr>
        <w:t xml:space="preserve">10. Amendment Process</w:t>
      </w:r>
    </w:p>
    <w:p>
      <w:pPr>
        <w:spacing w:after="100"/>
        <w:jc w:val="both"/>
      </w:pPr>
      <w:r>
        <w:rPr>
          <w:rFonts w:ascii="Arial" w:cs="Arial" w:eastAsia="Arial" w:hAnsi="Arial"/>
          <w:sz w:val="20"/>
          <w:szCs w:val="20"/>
        </w:rPr>
        <w:t xml:space="preserve">This Charter may be amended only by the Node Owner upon recommendation of the CISO. Amendments are versioned in REG-511 and require a 14-day review period for stakeholder comment before effective date. Material changes (scope expansion, authority modification, risk appetite shift) require DoE co-approval.</w:t>
      </w:r>
    </w:p>
    <w:p>
      <w:pPr>
        <w:pStyle w:val="Heading1"/>
        <w:spacing w:after="120" w:before="240"/>
      </w:pPr>
      <w:r>
        <w:rPr>
          <w:rFonts w:ascii="Arial" w:cs="Arial" w:eastAsia="Arial" w:hAnsi="Arial"/>
          <w:b/>
          <w:bCs/>
          <w:color w:val="1F3864"/>
          <w:sz w:val="30"/>
          <w:szCs w:val="30"/>
        </w:rPr>
        <w:t xml:space="preserve">Review &amp; Maintenance</w:t>
      </w:r>
    </w:p>
    <w:p>
      <w:pPr>
        <w:spacing w:after="100"/>
        <w:jc w:val="both"/>
      </w:pPr>
      <w:r>
        <w:rPr>
          <w:rFonts w:ascii="Arial" w:cs="Arial" w:eastAsia="Arial" w:hAnsi="Arial"/>
          <w:sz w:val="20"/>
          <w:szCs w:val="20"/>
        </w:rPr>
        <w:t xml:space="preserve">Reviewed on a Annual cadence by the named Owner, and upon material change, regulatory change, audit finding, or supersession of any referenced document. Review actions are recorded in REG-511 and approved by the named Approver.</w:t>
      </w:r>
    </w:p>
    <w:p>
      <w:pPr>
        <w:pStyle w:val="Heading1"/>
        <w:spacing w:after="120" w:before="240"/>
      </w:pPr>
      <w:r>
        <w:rPr>
          <w:rFonts w:ascii="Arial" w:cs="Arial" w:eastAsia="Arial" w:hAnsi="Arial"/>
          <w:b/>
          <w:bCs/>
          <w:color w:val="1F3864"/>
          <w:sz w:val="30"/>
          <w:szCs w:val="30"/>
        </w:rPr>
        <w:t xml:space="preserve">Version History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600"/>
        <w:gridCol w:w="4000"/>
      </w:tblGrid>
      <w:tr>
        <w:trPr>
          <w:tblHeader/>
        </w:trPr>
        <w:tc>
          <w:tcPr>
            <w:tcW w:type="dxa" w:w="1200"/>
            <w:tcBorders>
              <w:top w:val="single" w:color="999999" w:sz="4"/>
              <w:left w:val="single" w:color="999999" w:sz="4"/>
              <w:bottom w:val="single" w:color="999999" w:sz="4"/>
              <w:right w:val="single" w:color="999999" w:sz="4"/>
            </w:tcBorders>
            <w:shd w:fill="D9E2F3" w:color="auto" w:val="clear"/>
            <w:tcMar>
              <w:top w:type="dxa" w:w="70"/>
              <w:left w:type="dxa" w:w="90"/>
              <w:bottom w:type="dxa" w:w="70"/>
              <w:right w:type="dxa" w:w="90"/>
            </w:tcMar>
          </w:tcPr>
          <w:p>
            <w:pPr>
              <w:jc w:val="left"/>
            </w:pPr>
            <w:r>
              <w:rPr>
                <w:rFonts w:ascii="Arial" w:cs="Arial" w:eastAsia="Arial" w:hAnsi="Arial"/>
                <w:b/>
                <w:bCs/>
                <w:sz w:val="18"/>
                <w:szCs w:val="18"/>
              </w:rPr>
              <w:t xml:space="preserve">Version</w:t>
            </w:r>
          </w:p>
        </w:tc>
        <w:tc>
          <w:tcPr>
            <w:tcW w:type="dxa" w:w="1600"/>
            <w:tcBorders>
              <w:top w:val="single" w:color="999999" w:sz="4"/>
              <w:left w:val="single" w:color="999999" w:sz="4"/>
              <w:bottom w:val="single" w:color="999999" w:sz="4"/>
              <w:right w:val="single" w:color="999999" w:sz="4"/>
            </w:tcBorders>
            <w:shd w:fill="D9E2F3" w:color="auto" w:val="clear"/>
            <w:tcMar>
              <w:top w:type="dxa" w:w="70"/>
              <w:left w:type="dxa" w:w="90"/>
              <w:bottom w:type="dxa" w:w="70"/>
              <w:right w:type="dxa" w:w="90"/>
            </w:tcMar>
          </w:tcPr>
          <w:p>
            <w:pPr>
              <w:jc w:val="left"/>
            </w:pPr>
            <w:r>
              <w:rPr>
                <w:rFonts w:ascii="Arial" w:cs="Arial" w:eastAsia="Arial" w:hAnsi="Arial"/>
                <w:b/>
                <w:bCs/>
                <w:sz w:val="18"/>
                <w:szCs w:val="18"/>
              </w:rPr>
              <w:t xml:space="preserve">Date</w:t>
            </w:r>
          </w:p>
        </w:tc>
        <w:tc>
          <w:tcPr>
            <w:tcW w:type="dxa" w:w="2600"/>
            <w:tcBorders>
              <w:top w:val="single" w:color="999999" w:sz="4"/>
              <w:left w:val="single" w:color="999999" w:sz="4"/>
              <w:bottom w:val="single" w:color="999999" w:sz="4"/>
              <w:right w:val="single" w:color="999999" w:sz="4"/>
            </w:tcBorders>
            <w:shd w:fill="D9E2F3" w:color="auto" w:val="clear"/>
            <w:tcMar>
              <w:top w:type="dxa" w:w="70"/>
              <w:left w:type="dxa" w:w="90"/>
              <w:bottom w:type="dxa" w:w="70"/>
              <w:right w:type="dxa" w:w="90"/>
            </w:tcMar>
          </w:tcPr>
          <w:p>
            <w:pPr>
              <w:jc w:val="left"/>
            </w:pPr>
            <w:r>
              <w:rPr>
                <w:rFonts w:ascii="Arial" w:cs="Arial" w:eastAsia="Arial" w:hAnsi="Arial"/>
                <w:b/>
                <w:bCs/>
                <w:sz w:val="18"/>
                <w:szCs w:val="18"/>
              </w:rPr>
              <w:t xml:space="preserve">Author</w:t>
            </w:r>
          </w:p>
        </w:tc>
        <w:tc>
          <w:tcPr>
            <w:tcW w:type="dxa" w:w="4000"/>
            <w:tcBorders>
              <w:top w:val="single" w:color="999999" w:sz="4"/>
              <w:left w:val="single" w:color="999999" w:sz="4"/>
              <w:bottom w:val="single" w:color="999999" w:sz="4"/>
              <w:right w:val="single" w:color="999999" w:sz="4"/>
            </w:tcBorders>
            <w:shd w:fill="D9E2F3" w:color="auto" w:val="clear"/>
            <w:tcMar>
              <w:top w:type="dxa" w:w="70"/>
              <w:left w:type="dxa" w:w="90"/>
              <w:bottom w:type="dxa" w:w="70"/>
              <w:right w:type="dxa" w:w="90"/>
            </w:tcMar>
          </w:tcPr>
          <w:p>
            <w:pPr>
              <w:jc w:val="left"/>
            </w:pPr>
            <w:r>
              <w:rPr>
                <w:rFonts w:ascii="Arial" w:cs="Arial" w:eastAsia="Arial" w:hAnsi="Arial"/>
                <w:b/>
                <w:bCs/>
                <w:sz w:val="18"/>
                <w:szCs w:val="18"/>
              </w:rPr>
              <w:t xml:space="preserve">Change Summary</w:t>
            </w:r>
          </w:p>
        </w:tc>
      </w:tr>
      <w:tr>
        <w:tc>
          <w:tcPr>
            <w:tcW w:type="dxa" w:w="12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v1.0</w:t>
            </w:r>
          </w:p>
        </w:tc>
        <w:tc>
          <w:tcPr>
            <w:tcW w:type="dxa" w:w="16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2026-04-15</w:t>
            </w:r>
          </w:p>
        </w:tc>
        <w:tc>
          <w:tcPr>
            <w:tcW w:type="dxa" w:w="26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Owner (per Document Control)</w:t>
            </w:r>
          </w:p>
        </w:tc>
        <w:tc>
          <w:tcPr>
            <w:tcW w:type="dxa" w:w="4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Initial audit-ready publication — gap-fill per Drive Housekeeping Plan.</w:t>
            </w:r>
          </w:p>
        </w:tc>
      </w:tr>
    </w:tbl>
    <w:p>
      <w:pPr>
        <w:pStyle w:val="Heading1"/>
        <w:spacing w:after="120" w:before="240"/>
      </w:pPr>
      <w:r>
        <w:rPr>
          <w:rFonts w:ascii="Arial" w:cs="Arial" w:eastAsia="Arial" w:hAnsi="Arial"/>
          <w:b/>
          <w:bCs/>
          <w:color w:val="1F3864"/>
          <w:sz w:val="30"/>
          <w:szCs w:val="30"/>
        </w:rPr>
        <w:t xml:space="preserve">Appendix — Cross-References</w:t>
      </w:r>
    </w:p>
    <w:p>
      <w:pPr>
        <w:pStyle w:val="ListParagraph"/>
        <w:numPr>
          <w:ilvl w:val="0"/>
          <w:numId w:val="1"/>
        </w:numPr>
        <w:spacing w:after="60"/>
      </w:pPr>
      <w:r>
        <w:rPr>
          <w:rFonts w:ascii="Arial" w:cs="Arial" w:eastAsia="Arial" w:hAnsi="Arial"/>
          <w:sz w:val="20"/>
          <w:szCs w:val="20"/>
        </w:rPr>
        <w:t xml:space="preserve">GRC-MASTER-001 Enterprise GRC Framework</w:t>
      </w:r>
    </w:p>
    <w:p>
      <w:pPr>
        <w:pStyle w:val="ListParagraph"/>
        <w:numPr>
          <w:ilvl w:val="0"/>
          <w:numId w:val="1"/>
        </w:numPr>
        <w:spacing w:after="60"/>
      </w:pPr>
      <w:r>
        <w:rPr>
          <w:rFonts w:ascii="Arial" w:cs="Arial" w:eastAsia="Arial" w:hAnsi="Arial"/>
          <w:sz w:val="20"/>
          <w:szCs w:val="20"/>
        </w:rPr>
        <w:t xml:space="preserve">POL-001 ISMS Policy</w:t>
      </w:r>
    </w:p>
    <w:p>
      <w:pPr>
        <w:pStyle w:val="ListParagraph"/>
        <w:numPr>
          <w:ilvl w:val="0"/>
          <w:numId w:val="1"/>
        </w:numPr>
        <w:spacing w:after="60"/>
      </w:pPr>
      <w:r>
        <w:rPr>
          <w:rFonts w:ascii="Arial" w:cs="Arial" w:eastAsia="Arial" w:hAnsi="Arial"/>
          <w:sz w:val="20"/>
          <w:szCs w:val="20"/>
        </w:rPr>
        <w:t xml:space="preserve">GRC-CONC-001 Concordance Log</w:t>
      </w:r>
    </w:p>
    <w:p>
      <w:pPr>
        <w:pStyle w:val="ListParagraph"/>
        <w:numPr>
          <w:ilvl w:val="0"/>
          <w:numId w:val="1"/>
        </w:numPr>
        <w:spacing w:after="60"/>
      </w:pPr>
      <w:r>
        <w:rPr>
          <w:rFonts w:ascii="Arial" w:cs="Arial" w:eastAsia="Arial" w:hAnsi="Arial"/>
          <w:sz w:val="20"/>
          <w:szCs w:val="20"/>
        </w:rPr>
        <w:t xml:space="preserve">REG-511 Document Control Register</w:t>
      </w:r>
    </w:p>
    <w:p>
      <w:pPr>
        <w:pStyle w:val="ListParagraph"/>
        <w:numPr>
          <w:ilvl w:val="0"/>
          <w:numId w:val="1"/>
        </w:numPr>
        <w:spacing w:after="60"/>
      </w:pPr>
      <w:r>
        <w:rPr>
          <w:rFonts w:ascii="Arial" w:cs="Arial" w:eastAsia="Arial" w:hAnsi="Arial"/>
          <w:sz w:val="20"/>
          <w:szCs w:val="20"/>
        </w:rPr>
        <w:t xml:space="preserve">CL-PHASE-001 Client Engagement Lifecycle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Protofire GRC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Confidential — Internal    |    L0-3    |    v1.0    |    Effective 2026-04-15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GRC Charter</dc:title>
  <dc:creator>Protofire GRC</dc:creator>
  <dc:description>L0-3</dc:description>
  <cp:lastModifiedBy>Un-named</cp:lastModifiedBy>
  <cp:revision>1</cp:revision>
  <dcterms:created xsi:type="dcterms:W3CDTF">2026-04-15T23:24:28.837Z</dcterms:created>
  <dcterms:modified xsi:type="dcterms:W3CDTF">2026-04-15T23:24:28.837Z</dcterms:modified>
</cp:coreProperties>
</file>

<file path=docProps/custom.xml><?xml version="1.0" encoding="utf-8"?>
<Properties xmlns="http://schemas.openxmlformats.org/officeDocument/2006/custom-properties" xmlns:vt="http://schemas.openxmlformats.org/officeDocument/2006/docPropsVTypes"/>
</file>