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L0-4 ISMS Scope Statement</w:t>
      </w:r>
    </w:p>
    <w:p w:rsidR="00000000" w:rsidDel="00000000" w:rsidP="00000000" w:rsidRDefault="00000000" w:rsidRPr="00000000" w14:paraId="00000002">
      <w:pPr>
        <w:widowControl w:val="0"/>
        <w:spacing w:line="240" w:lineRule="auto"/>
        <w:rPr/>
      </w:pPr>
      <w:r w:rsidDel="00000000" w:rsidR="00000000" w:rsidRPr="00000000">
        <w:rPr>
          <w:rtl w:val="0"/>
        </w:rPr>
      </w:r>
    </w:p>
    <w:tbl>
      <w:tblPr>
        <w:tblStyle w:val="Table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5085"/>
        <w:tblGridChange w:id="0">
          <w:tblGrid>
            <w:gridCol w:w="4680"/>
            <w:gridCol w:w="5085"/>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t xml:space="preserve">Attribute</w:t>
            </w:r>
          </w:p>
        </w:tc>
        <w:tc>
          <w:tcPr>
            <w:shd w:fill="auto" w:val="clear"/>
            <w:tcMar>
              <w:top w:w="0.0" w:type="dxa"/>
              <w:left w:w="0.0" w:type="dxa"/>
              <w:bottom w:w="0.0" w:type="dxa"/>
              <w:right w:w="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Detail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5">
            <w:pPr>
              <w:widowControl w:val="0"/>
              <w:spacing w:line="240" w:lineRule="auto"/>
              <w:rPr>
                <w:b w:val="1"/>
                <w:bCs w:val="1"/>
              </w:rPr>
            </w:pPr>
            <w:r w:rsidDel="00000000" w:rsidR="00000000" w:rsidRPr="00000000">
              <w:rPr>
                <w:b w:val="1"/>
                <w:bCs w:val="1"/>
                <w:rtl w:val="0"/>
              </w:rPr>
              <w:t xml:space="preserve">Document Title</w:t>
            </w:r>
          </w:p>
        </w:tc>
        <w:tc>
          <w:tcPr>
            <w:shd w:fill="auto" w:val="clear"/>
            <w:tcMar>
              <w:top w:w="0.0" w:type="dxa"/>
              <w:left w:w="0.0" w:type="dxa"/>
              <w:bottom w:w="0.0" w:type="dxa"/>
              <w:right w:w="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L0-4 ISMS Scope Statement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7">
            <w:pPr>
              <w:widowControl w:val="0"/>
              <w:spacing w:line="240" w:lineRule="auto"/>
              <w:rPr>
                <w:b w:val="1"/>
                <w:bCs w:val="1"/>
              </w:rPr>
            </w:pPr>
            <w:r w:rsidDel="00000000" w:rsidR="00000000" w:rsidRPr="00000000">
              <w:rPr>
                <w:b w:val="1"/>
                <w:bCs w:val="1"/>
                <w:rtl w:val="0"/>
              </w:rPr>
              <w:t xml:space="preserve">Document Owner</w:t>
            </w:r>
          </w:p>
        </w:tc>
        <w:tc>
          <w:tcPr>
            <w:shd w:fill="auto" w:val="clear"/>
            <w:tcMar>
              <w:top w:w="0.0" w:type="dxa"/>
              <w:left w:w="0.0" w:type="dxa"/>
              <w:bottom w:w="0.0" w:type="dxa"/>
              <w:right w:w="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Chief Information Security Officer (CISO)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9">
            <w:pPr>
              <w:widowControl w:val="0"/>
              <w:spacing w:line="240" w:lineRule="auto"/>
              <w:rPr>
                <w:b w:val="1"/>
                <w:bCs w:val="1"/>
              </w:rPr>
            </w:pPr>
            <w:r w:rsidDel="00000000" w:rsidR="00000000" w:rsidRPr="00000000">
              <w:rPr>
                <w:b w:val="1"/>
                <w:bCs w:val="1"/>
                <w:rtl w:val="0"/>
              </w:rPr>
              <w:t xml:space="preserve">Document Status</w:t>
            </w:r>
          </w:p>
        </w:tc>
        <w:tc>
          <w:tcPr>
            <w:shd w:fill="auto" w:val="clear"/>
            <w:tcMar>
              <w:top w:w="0.0" w:type="dxa"/>
              <w:left w:w="0.0" w:type="dxa"/>
              <w:bottom w:w="0.0" w:type="dxa"/>
              <w:right w:w="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Version</w:t>
            </w:r>
            <w:r w:rsidDel="00000000" w:rsidR="00000000" w:rsidRPr="00000000">
              <w:rPr>
                <w:rtl w:val="0"/>
              </w:rPr>
              <w:t xml:space="preserve">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widowControl w:val="0"/>
              <w:spacing w:line="240" w:lineRule="auto"/>
              <w:rPr>
                <w:b w:val="1"/>
                <w:bCs w:val="1"/>
              </w:rPr>
            </w:pPr>
            <w:r w:rsidDel="00000000" w:rsidR="00000000" w:rsidRPr="00000000">
              <w:rPr>
                <w:b w:val="1"/>
                <w:bCs w:val="1"/>
                <w:rtl w:val="0"/>
              </w:rPr>
              <w:t xml:space="preserve">Review Cycle</w:t>
            </w:r>
          </w:p>
        </w:tc>
        <w:tc>
          <w:tcPr>
            <w:shd w:fill="auto" w:val="clear"/>
            <w:tcMar>
              <w:top w:w="0.0" w:type="dxa"/>
              <w:left w:w="0.0" w:type="dxa"/>
              <w:bottom w:w="0.0" w:type="dxa"/>
              <w:right w:w="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Annual, or following any significant organisational or technological change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widowControl w:val="0"/>
              <w:spacing w:line="240" w:lineRule="auto"/>
              <w:rPr>
                <w:b w:val="1"/>
                <w:bCs w:val="1"/>
              </w:rPr>
            </w:pPr>
            <w:r w:rsidDel="00000000" w:rsidR="00000000" w:rsidRPr="00000000">
              <w:rPr>
                <w:b w:val="1"/>
                <w:bCs w:val="1"/>
                <w:rtl w:val="0"/>
              </w:rPr>
              <w:t xml:space="preserve">ISO 27001 Reference</w:t>
            </w:r>
          </w:p>
        </w:tc>
        <w:tc>
          <w:tcPr>
            <w:shd w:fill="auto" w:val="clear"/>
            <w:tcMar>
              <w:top w:w="0.0" w:type="dxa"/>
              <w:left w:w="0.0" w:type="dxa"/>
              <w:bottom w:w="0.0" w:type="dxa"/>
              <w:right w:w="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Clause 4.3 (Determining the scope of the ISMS)</w:t>
            </w:r>
          </w:p>
        </w:tc>
      </w:tr>
    </w:tbl>
    <w:p w:rsidR="00000000" w:rsidDel="00000000" w:rsidP="00000000" w:rsidRDefault="00000000" w:rsidRPr="00000000" w14:paraId="0000000F">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L0-4 ISMS Scope Statement</w:t>
      </w:r>
    </w:p>
    <w:p w:rsidR="00000000" w:rsidDel="00000000" w:rsidP="00000000" w:rsidRDefault="00000000" w:rsidRPr="00000000" w14:paraId="00000010">
      <w:pPr>
        <w:pStyle w:val="Heading3"/>
        <w:widowControl w:val="0"/>
        <w:spacing w:line="240" w:lineRule="auto"/>
        <w:rPr/>
      </w:pPr>
      <w:bookmarkStart w:colFirst="0" w:colLast="0" w:name="_1bjvijivovxl" w:id="0"/>
      <w:bookmarkEnd w:id="0"/>
      <w:r w:rsidDel="00000000" w:rsidR="00000000" w:rsidRPr="00000000">
        <w:rPr>
          <w:rtl w:val="0"/>
        </w:rPr>
        <w:t xml:space="preserve">1. Purpose</w:t>
      </w:r>
    </w:p>
    <w:p w:rsidR="00000000" w:rsidDel="00000000" w:rsidP="00000000" w:rsidRDefault="00000000" w:rsidRPr="00000000" w14:paraId="00000011">
      <w:pPr>
        <w:widowControl w:val="0"/>
        <w:spacing w:line="240" w:lineRule="auto"/>
        <w:rPr>
          <w:b w:val="1"/>
          <w:bCs w:val="1"/>
        </w:rPr>
      </w:pPr>
      <w:r w:rsidDel="00000000" w:rsidR="00000000" w:rsidRPr="00000000">
        <w:rPr>
          <w:rtl w:val="0"/>
        </w:rPr>
      </w:r>
    </w:p>
    <w:p w:rsidR="00000000" w:rsidDel="00000000" w:rsidP="00000000" w:rsidRDefault="00000000" w:rsidRPr="00000000" w14:paraId="00000012">
      <w:pPr>
        <w:widowControl w:val="0"/>
        <w:spacing w:line="240" w:lineRule="auto"/>
        <w:rPr/>
      </w:pPr>
      <w:r w:rsidDel="00000000" w:rsidR="00000000" w:rsidRPr="00000000">
        <w:rPr>
          <w:rtl w:val="0"/>
        </w:rPr>
        <w:t xml:space="preserve">The purpose of this document is to formally define the boundaries and applicability of the Protofire Information Security Management System (ISMS). Defining the scope is necessary to establish the ISMS in compliance with Clause 4.3 of ISO/IEC 27001:2022.</w:t>
      </w:r>
    </w:p>
    <w:p w:rsidR="00000000" w:rsidDel="00000000" w:rsidP="00000000" w:rsidRDefault="00000000" w:rsidRPr="00000000" w14:paraId="00000013">
      <w:pPr>
        <w:widowControl w:val="0"/>
        <w:spacing w:line="240" w:lineRule="auto"/>
        <w:rPr/>
      </w:pPr>
      <w:r w:rsidDel="00000000" w:rsidR="00000000" w:rsidRPr="00000000">
        <w:rPr>
          <w:rtl w:val="0"/>
        </w:rPr>
      </w:r>
    </w:p>
    <w:p w:rsidR="00000000" w:rsidDel="00000000" w:rsidP="00000000" w:rsidRDefault="00000000" w:rsidRPr="00000000" w14:paraId="00000014">
      <w:pPr>
        <w:pStyle w:val="Heading3"/>
        <w:widowControl w:val="0"/>
        <w:spacing w:line="240" w:lineRule="auto"/>
        <w:rPr/>
      </w:pPr>
      <w:bookmarkStart w:colFirst="0" w:colLast="0" w:name="_azdgwpvtoeay" w:id="1"/>
      <w:bookmarkEnd w:id="1"/>
      <w:r w:rsidDel="00000000" w:rsidR="00000000" w:rsidRPr="00000000">
        <w:rPr>
          <w:rtl w:val="0"/>
        </w:rPr>
        <w:t xml:space="preserve">2. Context of the Organisation</w:t>
      </w:r>
    </w:p>
    <w:p w:rsidR="00000000" w:rsidDel="00000000" w:rsidP="00000000" w:rsidRDefault="00000000" w:rsidRPr="00000000" w14:paraId="00000015">
      <w:pPr>
        <w:widowControl w:val="0"/>
        <w:spacing w:line="240" w:lineRule="auto"/>
        <w:rPr>
          <w:b w:val="1"/>
          <w:bCs w:val="1"/>
        </w:rPr>
      </w:pPr>
      <w:r w:rsidDel="00000000" w:rsidR="00000000" w:rsidRPr="00000000">
        <w:rPr>
          <w:rtl w:val="0"/>
        </w:rPr>
      </w:r>
    </w:p>
    <w:p w:rsidR="00000000" w:rsidDel="00000000" w:rsidP="00000000" w:rsidRDefault="00000000" w:rsidRPr="00000000" w14:paraId="00000016">
      <w:pPr>
        <w:widowControl w:val="0"/>
        <w:spacing w:line="240" w:lineRule="auto"/>
        <w:ind w:left="600" w:firstLine="0"/>
        <w:rPr/>
      </w:pPr>
      <w:r w:rsidDel="00000000" w:rsidR="00000000" w:rsidRPr="00000000">
        <w:rPr>
          <w:rtl w:val="0"/>
        </w:rPr>
        <w:t xml:space="preserve">Protofire operates as a specialised Web3 and decentralised technology services provider, engaging in two primary business tracks:</w:t>
      </w:r>
    </w:p>
    <w:p w:rsidR="00000000" w:rsidDel="00000000" w:rsidP="00000000" w:rsidRDefault="00000000" w:rsidRPr="00000000" w14:paraId="00000017">
      <w:pPr>
        <w:widowControl w:val="0"/>
        <w:numPr>
          <w:ilvl w:val="0"/>
          <w:numId w:val="1"/>
        </w:numPr>
        <w:spacing w:line="240" w:lineRule="auto"/>
        <w:ind w:left="600" w:hanging="360"/>
      </w:pPr>
      <w:r w:rsidDel="00000000" w:rsidR="00000000" w:rsidRPr="00000000">
        <w:rPr>
          <w:b w:val="1"/>
          <w:bCs w:val="1"/>
          <w:rtl w:val="0"/>
        </w:rPr>
        <w:t xml:space="preserve">Platform Development and Operations, Track A:</w:t>
      </w:r>
      <w:r w:rsidDel="00000000" w:rsidR="00000000" w:rsidRPr="00000000">
        <w:rPr>
          <w:rtl w:val="0"/>
        </w:rPr>
        <w:t xml:space="preserve"> Internal platform incubation and long-term operation, where Protofire acts as the primary Risk Owner.</w:t>
      </w:r>
    </w:p>
    <w:p w:rsidR="00000000" w:rsidDel="00000000" w:rsidP="00000000" w:rsidRDefault="00000000" w:rsidRPr="00000000" w14:paraId="00000018">
      <w:pPr>
        <w:widowControl w:val="0"/>
        <w:numPr>
          <w:ilvl w:val="0"/>
          <w:numId w:val="1"/>
        </w:numPr>
        <w:spacing w:line="240" w:lineRule="auto"/>
        <w:ind w:left="600" w:hanging="360"/>
      </w:pPr>
      <w:r w:rsidDel="00000000" w:rsidR="00000000" w:rsidRPr="00000000">
        <w:rPr>
          <w:b w:val="1"/>
          <w:bCs w:val="1"/>
          <w:rtl w:val="0"/>
        </w:rPr>
        <w:t xml:space="preserve">Project Delivery (Custom Development), Track B:</w:t>
      </w:r>
      <w:r w:rsidDel="00000000" w:rsidR="00000000" w:rsidRPr="00000000">
        <w:rPr>
          <w:rtl w:val="0"/>
        </w:rPr>
        <w:t xml:space="preserve"> Providing custom software development for external stakeholders, primarily in the Web3/DeFi sector.</w:t>
      </w:r>
    </w:p>
    <w:p w:rsidR="00000000" w:rsidDel="00000000" w:rsidP="00000000" w:rsidRDefault="00000000" w:rsidRPr="00000000" w14:paraId="00000019">
      <w:pPr>
        <w:widowControl w:val="0"/>
        <w:spacing w:line="240" w:lineRule="auto"/>
        <w:ind w:left="0" w:firstLine="0"/>
        <w:rPr/>
      </w:pPr>
      <w:r w:rsidDel="00000000" w:rsidR="00000000" w:rsidRPr="00000000">
        <w:rPr>
          <w:rtl w:val="0"/>
        </w:rPr>
      </w:r>
    </w:p>
    <w:p w:rsidR="00000000" w:rsidDel="00000000" w:rsidP="00000000" w:rsidRDefault="00000000" w:rsidRPr="00000000" w14:paraId="0000001A">
      <w:pPr>
        <w:widowControl w:val="0"/>
        <w:spacing w:line="240" w:lineRule="auto"/>
        <w:ind w:left="600" w:firstLine="0"/>
        <w:rPr/>
      </w:pPr>
      <w:r w:rsidDel="00000000" w:rsidR="00000000" w:rsidRPr="00000000">
        <w:rPr>
          <w:rtl w:val="0"/>
        </w:rPr>
      </w:r>
    </w:p>
    <w:p w:rsidR="00000000" w:rsidDel="00000000" w:rsidP="00000000" w:rsidRDefault="00000000" w:rsidRPr="00000000" w14:paraId="0000001B">
      <w:pPr>
        <w:pStyle w:val="Heading3"/>
        <w:widowControl w:val="0"/>
        <w:spacing w:line="240" w:lineRule="auto"/>
        <w:rPr/>
      </w:pPr>
      <w:bookmarkStart w:colFirst="0" w:colLast="0" w:name="_w26vnnligsul" w:id="2"/>
      <w:bookmarkEnd w:id="2"/>
      <w:r w:rsidDel="00000000" w:rsidR="00000000" w:rsidRPr="00000000">
        <w:rPr>
          <w:rtl w:val="0"/>
        </w:rPr>
        <w:t xml:space="preserve">3. In-Scope Business Processes and Services</w:t>
      </w:r>
    </w:p>
    <w:p w:rsidR="00000000" w:rsidDel="00000000" w:rsidP="00000000" w:rsidRDefault="00000000" w:rsidRPr="00000000" w14:paraId="0000001C">
      <w:pPr>
        <w:widowControl w:val="0"/>
        <w:spacing w:line="240" w:lineRule="auto"/>
        <w:rPr>
          <w:b w:val="1"/>
          <w:bCs w:val="1"/>
        </w:rPr>
      </w:pPr>
      <w:r w:rsidDel="00000000" w:rsidR="00000000" w:rsidRPr="00000000">
        <w:rPr>
          <w:rtl w:val="0"/>
        </w:rPr>
      </w:r>
    </w:p>
    <w:p w:rsidR="00000000" w:rsidDel="00000000" w:rsidP="00000000" w:rsidRDefault="00000000" w:rsidRPr="00000000" w14:paraId="0000001D">
      <w:pPr>
        <w:widowControl w:val="0"/>
        <w:spacing w:line="240" w:lineRule="auto"/>
        <w:rPr/>
      </w:pPr>
      <w:r w:rsidDel="00000000" w:rsidR="00000000" w:rsidRPr="00000000">
        <w:rPr>
          <w:rtl w:val="0"/>
        </w:rPr>
        <w:t xml:space="preserve">The ISMS is established to govern and secure the core activities that minimise liability risks for Protofire and its customers, particularly against scenarios where customers or service subscribers lose money due to insufficient security controls.</w:t>
      </w:r>
    </w:p>
    <w:p w:rsidR="00000000" w:rsidDel="00000000" w:rsidP="00000000" w:rsidRDefault="00000000" w:rsidRPr="00000000" w14:paraId="0000001E">
      <w:pPr>
        <w:widowControl w:val="0"/>
        <w:spacing w:line="240" w:lineRule="auto"/>
        <w:rPr/>
      </w:pPr>
      <w:r w:rsidDel="00000000" w:rsidR="00000000" w:rsidRPr="00000000">
        <w:rPr>
          <w:rtl w:val="0"/>
        </w:rPr>
      </w:r>
    </w:p>
    <w:p w:rsidR="00000000" w:rsidDel="00000000" w:rsidP="00000000" w:rsidRDefault="00000000" w:rsidRPr="00000000" w14:paraId="0000001F">
      <w:pPr>
        <w:widowControl w:val="0"/>
        <w:spacing w:line="240" w:lineRule="auto"/>
        <w:ind w:left="600" w:firstLine="0"/>
        <w:rPr/>
      </w:pPr>
      <w:r w:rsidDel="00000000" w:rsidR="00000000" w:rsidRPr="00000000">
        <w:rPr>
          <w:rtl w:val="0"/>
        </w:rPr>
        <w:t xml:space="preserve">The scope encompasses all processes, services, and associated information required for:</w:t>
      </w:r>
    </w:p>
    <w:p w:rsidR="00000000" w:rsidDel="00000000" w:rsidP="00000000" w:rsidRDefault="00000000" w:rsidRPr="00000000" w14:paraId="00000020">
      <w:pPr>
        <w:widowControl w:val="0"/>
        <w:numPr>
          <w:ilvl w:val="0"/>
          <w:numId w:val="2"/>
        </w:numPr>
        <w:spacing w:line="240" w:lineRule="auto"/>
        <w:ind w:left="600" w:hanging="360"/>
      </w:pPr>
      <w:r w:rsidDel="00000000" w:rsidR="00000000" w:rsidRPr="00000000">
        <w:rPr>
          <w:b w:val="1"/>
          <w:bCs w:val="1"/>
          <w:rtl w:val="0"/>
        </w:rPr>
        <w:t xml:space="preserve">Secure Software Development Lifecycle (SDLC):</w:t>
      </w:r>
      <w:r w:rsidDel="00000000" w:rsidR="00000000" w:rsidRPr="00000000">
        <w:rPr>
          <w:rtl w:val="0"/>
        </w:rPr>
        <w:t xml:space="preserve"> Including all stages from client intake, requirements definition, threat modelling, smart contract development, internal auditing, testing, and deployment to mainnet.</w:t>
      </w:r>
    </w:p>
    <w:p w:rsidR="00000000" w:rsidDel="00000000" w:rsidP="00000000" w:rsidRDefault="00000000" w:rsidRPr="00000000" w14:paraId="00000021">
      <w:pPr>
        <w:widowControl w:val="0"/>
        <w:numPr>
          <w:ilvl w:val="0"/>
          <w:numId w:val="2"/>
        </w:numPr>
        <w:spacing w:line="240" w:lineRule="auto"/>
        <w:ind w:left="600" w:hanging="360"/>
      </w:pPr>
      <w:r w:rsidDel="00000000" w:rsidR="00000000" w:rsidRPr="00000000">
        <w:rPr>
          <w:b w:val="1"/>
          <w:bCs w:val="1"/>
          <w:rtl w:val="0"/>
        </w:rPr>
        <w:t xml:space="preserve">Decentralised Technology Operations:</w:t>
      </w:r>
      <w:r w:rsidDel="00000000" w:rsidR="00000000" w:rsidRPr="00000000">
        <w:rPr>
          <w:rtl w:val="0"/>
        </w:rPr>
        <w:t xml:space="preserve"> All activities related to the provisioning, hardening, monitoring, and operation of critical Web3 infrastructure components such as validator nodes, RPCs, indexers, and oracle pipelines.</w:t>
      </w:r>
    </w:p>
    <w:p w:rsidR="00000000" w:rsidDel="00000000" w:rsidP="00000000" w:rsidRDefault="00000000" w:rsidRPr="00000000" w14:paraId="00000022">
      <w:pPr>
        <w:widowControl w:val="0"/>
        <w:numPr>
          <w:ilvl w:val="0"/>
          <w:numId w:val="2"/>
        </w:numPr>
        <w:spacing w:line="240" w:lineRule="auto"/>
        <w:ind w:left="600" w:hanging="360"/>
      </w:pPr>
      <w:r w:rsidDel="00000000" w:rsidR="00000000" w:rsidRPr="00000000">
        <w:rPr>
          <w:b w:val="1"/>
          <w:bCs w:val="1"/>
          <w:rtl w:val="0"/>
        </w:rPr>
        <w:t xml:space="preserve">Information and Key Management:</w:t>
      </w:r>
      <w:r w:rsidDel="00000000" w:rsidR="00000000" w:rsidRPr="00000000">
        <w:rPr>
          <w:rtl w:val="0"/>
        </w:rPr>
        <w:t xml:space="preserve"> The handling, processing, and storage of all sensitive information assets, including client intellectual property, corporate financial data, and cryptographic key/treasury management data.</w:t>
      </w:r>
    </w:p>
    <w:p w:rsidR="00000000" w:rsidDel="00000000" w:rsidP="00000000" w:rsidRDefault="00000000" w:rsidRPr="00000000" w14:paraId="00000023">
      <w:pPr>
        <w:widowControl w:val="0"/>
        <w:spacing w:line="240" w:lineRule="auto"/>
        <w:ind w:left="600" w:firstLine="0"/>
        <w:rPr/>
      </w:pPr>
      <w:r w:rsidDel="00000000" w:rsidR="00000000" w:rsidRPr="00000000">
        <w:rPr>
          <w:rtl w:val="0"/>
        </w:rPr>
      </w:r>
    </w:p>
    <w:p w:rsidR="00000000" w:rsidDel="00000000" w:rsidP="00000000" w:rsidRDefault="00000000" w:rsidRPr="00000000" w14:paraId="00000024">
      <w:pPr>
        <w:pStyle w:val="Heading3"/>
        <w:widowControl w:val="0"/>
        <w:spacing w:line="240" w:lineRule="auto"/>
        <w:rPr/>
      </w:pPr>
      <w:bookmarkStart w:colFirst="0" w:colLast="0" w:name="_7jsj1yupr70v" w:id="3"/>
      <w:bookmarkEnd w:id="3"/>
      <w:r w:rsidDel="00000000" w:rsidR="00000000" w:rsidRPr="00000000">
        <w:rPr>
          <w:rtl w:val="0"/>
        </w:rPr>
        <w:t xml:space="preserve">4. Organisational, Physical, and Technological Boundaries</w:t>
      </w:r>
    </w:p>
    <w:p w:rsidR="00000000" w:rsidDel="00000000" w:rsidP="00000000" w:rsidRDefault="00000000" w:rsidRPr="00000000" w14:paraId="00000025">
      <w:pPr>
        <w:widowControl w:val="0"/>
        <w:spacing w:line="240" w:lineRule="auto"/>
        <w:rPr>
          <w:b w:val="1"/>
          <w:bCs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Boundary</w:t>
            </w:r>
          </w:p>
        </w:tc>
        <w:tc>
          <w:tcPr>
            <w:shd w:fill="auto" w:val="clear"/>
            <w:tcMar>
              <w:top w:w="0.0" w:type="dxa"/>
              <w:left w:w="0.0" w:type="dxa"/>
              <w:bottom w:w="0.0" w:type="dxa"/>
              <w:right w:w="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widowControl w:val="0"/>
              <w:spacing w:line="240" w:lineRule="auto"/>
              <w:rPr>
                <w:b w:val="1"/>
                <w:bCs w:val="1"/>
              </w:rPr>
            </w:pPr>
            <w:r w:rsidDel="00000000" w:rsidR="00000000" w:rsidRPr="00000000">
              <w:rPr>
                <w:b w:val="1"/>
                <w:bCs w:val="1"/>
                <w:rtl w:val="0"/>
              </w:rPr>
              <w:t xml:space="preserve">Organizational</w:t>
            </w:r>
          </w:p>
        </w:tc>
        <w:tc>
          <w:tcPr>
            <w:shd w:fill="auto" w:val="clear"/>
            <w:tcMar>
              <w:top w:w="0.0" w:type="dxa"/>
              <w:left w:w="0.0" w:type="dxa"/>
              <w:bottom w:w="0.0" w:type="dxa"/>
              <w:right w:w="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All full-time employees, contractors, and outsourced personnel working under the direct operational and security oversight of Protofire, including the CISO, SubDAO Owners, and Technical Teams.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widowControl w:val="0"/>
              <w:spacing w:line="240" w:lineRule="auto"/>
              <w:rPr>
                <w:b w:val="1"/>
                <w:bCs w:val="1"/>
              </w:rPr>
            </w:pPr>
            <w:r w:rsidDel="00000000" w:rsidR="00000000" w:rsidRPr="00000000">
              <w:rPr>
                <w:b w:val="1"/>
                <w:bCs w:val="1"/>
                <w:rtl w:val="0"/>
              </w:rPr>
              <w:t xml:space="preserve">Physical</w:t>
            </w:r>
          </w:p>
        </w:tc>
        <w:tc>
          <w:tcPr>
            <w:shd w:fill="auto" w:val="clear"/>
            <w:tcMar>
              <w:top w:w="0.0" w:type="dxa"/>
              <w:left w:w="0.0" w:type="dxa"/>
              <w:bottom w:w="0.0" w:type="dxa"/>
              <w:right w:w="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The scope is primarily digital. It includes all physical offices, co-location facilities, or designated remote work environments where Protofire-owned or controlled information assets (e.g., development endpoints) are used to access in-scope systems.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widowControl w:val="0"/>
              <w:spacing w:line="240" w:lineRule="auto"/>
              <w:rPr>
                <w:b w:val="1"/>
                <w:bCs w:val="1"/>
              </w:rPr>
            </w:pPr>
            <w:r w:rsidDel="00000000" w:rsidR="00000000" w:rsidRPr="00000000">
              <w:rPr>
                <w:b w:val="1"/>
                <w:bCs w:val="1"/>
                <w:rtl w:val="0"/>
              </w:rPr>
              <w:t xml:space="preserve">Technological</w:t>
            </w:r>
          </w:p>
        </w:tc>
        <w:tc>
          <w:tcPr>
            <w:shd w:fill="auto" w:val="clear"/>
            <w:tcMar>
              <w:top w:w="0.0" w:type="dxa"/>
              <w:left w:w="0.0" w:type="dxa"/>
              <w:bottom w:w="0.0" w:type="dxa"/>
              <w:right w:w="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All core systems of record, including the designated version control platform, CI/CD pipeline (e.g., Jenkins, GitHub), cloud environments (AWS, GCP), internal chat/collaboration tools, and the evidence/recordkeeping systems (ClickUp, Notion, Google Drive), are defined in </w:t>
            </w:r>
            <w:hyperlink r:id="rId6">
              <w:r w:rsidDel="00000000" w:rsidR="00000000" w:rsidRPr="00000000">
                <w:rPr>
                  <w:color w:val="1155cc"/>
                  <w:u w:val="single"/>
                  <w:rtl w:val="0"/>
                </w:rPr>
                <w:t xml:space="preserve">L1-EVID-004</w:t>
              </w:r>
            </w:hyperlink>
            <w:r w:rsidDel="00000000" w:rsidR="00000000" w:rsidRPr="00000000">
              <w:rPr>
                <w:rtl w:val="0"/>
              </w:rPr>
              <w:t xml:space="preserve">.</w:t>
            </w:r>
          </w:p>
        </w:tc>
      </w:tr>
    </w:tbl>
    <w:p w:rsidR="00000000" w:rsidDel="00000000" w:rsidP="00000000" w:rsidRDefault="00000000" w:rsidRPr="00000000" w14:paraId="0000002E">
      <w:pPr>
        <w:widowControl w:val="0"/>
        <w:spacing w:line="240" w:lineRule="auto"/>
        <w:rPr>
          <w:b w:val="1"/>
          <w:bCs w:val="1"/>
        </w:rPr>
      </w:pPr>
      <w:r w:rsidDel="00000000" w:rsidR="00000000" w:rsidRPr="00000000">
        <w:rPr>
          <w:rtl w:val="0"/>
        </w:rPr>
      </w:r>
    </w:p>
    <w:p w:rsidR="00000000" w:rsidDel="00000000" w:rsidP="00000000" w:rsidRDefault="00000000" w:rsidRPr="00000000" w14:paraId="0000002F">
      <w:pPr>
        <w:pStyle w:val="Heading3"/>
        <w:widowControl w:val="0"/>
        <w:spacing w:line="240" w:lineRule="auto"/>
        <w:rPr/>
      </w:pPr>
      <w:bookmarkStart w:colFirst="0" w:colLast="0" w:name="_wjlb1euwvfgw" w:id="4"/>
      <w:bookmarkEnd w:id="4"/>
      <w:r w:rsidDel="00000000" w:rsidR="00000000" w:rsidRPr="00000000">
        <w:rPr>
          <w:rtl w:val="0"/>
        </w:rPr>
        <w:t xml:space="preserve">5. Interested Parties and Their Requirements</w:t>
      </w:r>
    </w:p>
    <w:p w:rsidR="00000000" w:rsidDel="00000000" w:rsidP="00000000" w:rsidRDefault="00000000" w:rsidRPr="00000000" w14:paraId="00000030">
      <w:pPr>
        <w:widowControl w:val="0"/>
        <w:spacing w:line="240" w:lineRule="auto"/>
        <w:rPr>
          <w:b w:val="1"/>
          <w:bCs w:val="1"/>
        </w:rPr>
      </w:pPr>
      <w:r w:rsidDel="00000000" w:rsidR="00000000" w:rsidRPr="00000000">
        <w:rPr>
          <w:rtl w:val="0"/>
        </w:rPr>
      </w:r>
    </w:p>
    <w:p w:rsidR="00000000" w:rsidDel="00000000" w:rsidP="00000000" w:rsidRDefault="00000000" w:rsidRPr="00000000" w14:paraId="00000031">
      <w:pPr>
        <w:widowControl w:val="0"/>
        <w:spacing w:line="240" w:lineRule="auto"/>
        <w:ind w:left="600" w:firstLine="0"/>
        <w:rPr/>
      </w:pPr>
      <w:r w:rsidDel="00000000" w:rsidR="00000000" w:rsidRPr="00000000">
        <w:rPr>
          <w:rtl w:val="0"/>
        </w:rPr>
        <w:t xml:space="preserve">The ISMS scope is determined by considering the needs and expectations of relevant internal and external interested parties, including:</w:t>
      </w:r>
    </w:p>
    <w:p w:rsidR="00000000" w:rsidDel="00000000" w:rsidP="00000000" w:rsidRDefault="00000000" w:rsidRPr="00000000" w14:paraId="00000032">
      <w:pPr>
        <w:widowControl w:val="0"/>
        <w:numPr>
          <w:ilvl w:val="0"/>
          <w:numId w:val="3"/>
        </w:numPr>
        <w:spacing w:line="240" w:lineRule="auto"/>
        <w:ind w:left="600" w:hanging="360"/>
      </w:pPr>
      <w:r w:rsidDel="00000000" w:rsidR="00000000" w:rsidRPr="00000000">
        <w:rPr>
          <w:b w:val="1"/>
          <w:bCs w:val="1"/>
          <w:rtl w:val="0"/>
        </w:rPr>
        <w:t xml:space="preserve">Clients/Subscribers:</w:t>
      </w:r>
      <w:r w:rsidDel="00000000" w:rsidR="00000000" w:rsidRPr="00000000">
        <w:rPr>
          <w:rtl w:val="0"/>
        </w:rPr>
        <w:t xml:space="preserve"> Expectation of high-level security controls, equivalent to industry-recognised standards, to prevent financial loss.</w:t>
      </w:r>
    </w:p>
    <w:p w:rsidR="00000000" w:rsidDel="00000000" w:rsidP="00000000" w:rsidRDefault="00000000" w:rsidRPr="00000000" w14:paraId="00000033">
      <w:pPr>
        <w:widowControl w:val="0"/>
        <w:numPr>
          <w:ilvl w:val="0"/>
          <w:numId w:val="3"/>
        </w:numPr>
        <w:spacing w:line="240" w:lineRule="auto"/>
        <w:ind w:left="600" w:hanging="360"/>
      </w:pPr>
      <w:r w:rsidDel="00000000" w:rsidR="00000000" w:rsidRPr="00000000">
        <w:rPr>
          <w:b w:val="1"/>
          <w:bCs w:val="1"/>
          <w:rtl w:val="0"/>
        </w:rPr>
        <w:t xml:space="preserve">Regulatory/Legal Bodies:</w:t>
      </w:r>
      <w:r w:rsidDel="00000000" w:rsidR="00000000" w:rsidRPr="00000000">
        <w:rPr>
          <w:rtl w:val="0"/>
        </w:rPr>
        <w:t xml:space="preserve"> Compliance with relevant Web3/DeFi legislation (e.g., MiCA, FATF, GDPR and others depending on project type and target region).</w:t>
      </w:r>
    </w:p>
    <w:p w:rsidR="00000000" w:rsidDel="00000000" w:rsidP="00000000" w:rsidRDefault="00000000" w:rsidRPr="00000000" w14:paraId="00000034">
      <w:pPr>
        <w:widowControl w:val="0"/>
        <w:numPr>
          <w:ilvl w:val="0"/>
          <w:numId w:val="3"/>
        </w:numPr>
        <w:spacing w:line="240" w:lineRule="auto"/>
        <w:ind w:left="600" w:hanging="360"/>
      </w:pPr>
      <w:r w:rsidDel="00000000" w:rsidR="00000000" w:rsidRPr="00000000">
        <w:rPr>
          <w:b w:val="1"/>
          <w:bCs w:val="1"/>
          <w:rtl w:val="0"/>
        </w:rPr>
        <w:t xml:space="preserve">Board/Executive Management:</w:t>
      </w:r>
      <w:r w:rsidDel="00000000" w:rsidR="00000000" w:rsidRPr="00000000">
        <w:rPr>
          <w:rtl w:val="0"/>
        </w:rPr>
        <w:t xml:space="preserve"> Minimisation of corporate liability risk and attainment of certifications (e.g., ISO 27001, SOC 2 Type II).</w:t>
      </w:r>
    </w:p>
    <w:p w:rsidR="00000000" w:rsidDel="00000000" w:rsidP="00000000" w:rsidRDefault="00000000" w:rsidRPr="00000000" w14:paraId="00000035">
      <w:pPr>
        <w:widowControl w:val="0"/>
        <w:spacing w:line="240" w:lineRule="auto"/>
        <w:rPr>
          <w:b w:val="1"/>
          <w:bCs w:val="1"/>
        </w:rPr>
      </w:pPr>
      <w:r w:rsidDel="00000000" w:rsidR="00000000" w:rsidRPr="00000000">
        <w:rPr>
          <w:rtl w:val="0"/>
        </w:rPr>
      </w:r>
    </w:p>
    <w:p w:rsidR="00000000" w:rsidDel="00000000" w:rsidP="00000000" w:rsidRDefault="00000000" w:rsidRPr="00000000" w14:paraId="00000036">
      <w:pPr>
        <w:pStyle w:val="Heading3"/>
        <w:widowControl w:val="0"/>
        <w:spacing w:line="240" w:lineRule="auto"/>
        <w:rPr/>
      </w:pPr>
      <w:bookmarkStart w:colFirst="0" w:colLast="0" w:name="_bax64c7sdlda" w:id="5"/>
      <w:bookmarkEnd w:id="5"/>
      <w:r w:rsidDel="00000000" w:rsidR="00000000" w:rsidRPr="00000000">
        <w:rPr>
          <w:rtl w:val="0"/>
        </w:rPr>
        <w:t xml:space="preserve">6. Exclusions and Justification (ISO 27001: Clause 4.3)</w:t>
      </w:r>
    </w:p>
    <w:p w:rsidR="00000000" w:rsidDel="00000000" w:rsidP="00000000" w:rsidRDefault="00000000" w:rsidRPr="00000000" w14:paraId="00000037">
      <w:pPr>
        <w:widowControl w:val="0"/>
        <w:spacing w:line="240" w:lineRule="auto"/>
        <w:rPr>
          <w:b w:val="1"/>
          <w:bCs w:val="1"/>
        </w:rPr>
      </w:pPr>
      <w:r w:rsidDel="00000000" w:rsidR="00000000" w:rsidRPr="00000000">
        <w:rPr>
          <w:rtl w:val="0"/>
        </w:rPr>
      </w:r>
    </w:p>
    <w:p w:rsidR="00000000" w:rsidDel="00000000" w:rsidP="00000000" w:rsidRDefault="00000000" w:rsidRPr="00000000" w14:paraId="00000038">
      <w:pPr>
        <w:widowControl w:val="0"/>
        <w:spacing w:line="240" w:lineRule="auto"/>
        <w:rPr/>
      </w:pPr>
      <w:r w:rsidDel="00000000" w:rsidR="00000000" w:rsidRPr="00000000">
        <w:rPr>
          <w:rtl w:val="0"/>
        </w:rPr>
        <w:t xml:space="preserve">No mandatory control clauses or requirements from Annex A of ISO 27001:2022 are explicitly excluded from the ISMS scope, as the defined scope covers all core business operations.</w:t>
      </w:r>
    </w:p>
    <w:p w:rsidR="00000000" w:rsidDel="00000000" w:rsidP="00000000" w:rsidRDefault="00000000" w:rsidRPr="00000000" w14:paraId="00000039">
      <w:pPr>
        <w:widowControl w:val="0"/>
        <w:spacing w:line="240" w:lineRule="auto"/>
        <w:rPr/>
      </w:pPr>
      <w:r w:rsidDel="00000000" w:rsidR="00000000" w:rsidRPr="00000000">
        <w:rPr>
          <w:rtl w:val="0"/>
        </w:rPr>
      </w:r>
    </w:p>
    <w:p w:rsidR="00000000" w:rsidDel="00000000" w:rsidP="00000000" w:rsidRDefault="00000000" w:rsidRPr="00000000" w14:paraId="0000003A">
      <w:pPr>
        <w:widowControl w:val="0"/>
        <w:spacing w:line="240" w:lineRule="auto"/>
        <w:rPr>
          <w:i w:val="1"/>
          <w:iCs w:val="1"/>
        </w:rPr>
      </w:pPr>
      <w:r w:rsidDel="00000000" w:rsidR="00000000" w:rsidRPr="00000000">
        <w:rPr>
          <w:i w:val="1"/>
          <w:iCs w:val="1"/>
          <w:rtl w:val="0"/>
        </w:rPr>
        <w:t xml:space="preserve">Note: The Statement of Applicability (SoA) Register (L3-8) will detail the applicability of each specific control, but the overall ISMS scope is comprehensive.</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u/0/d/1v6sDeegOY7Sov18Oceq4a1G182tBfjGo3LWoy6ZmBrQ/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