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b w:val="1"/>
          <w:bCs w:val="1"/>
          <w:i w:val="0"/>
          <w:iCs w:val="0"/>
          <w:sz w:val="28"/>
          <w:szCs w:val="28"/>
          <w:rtl w:val="0"/>
        </w:rPr>
        <w:t xml:space="preserve">L0-5 Risk Appetite Statement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Executive Commitment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organisation is committed to ensuring the effective availability of essential business and supporting services to its employees, customers, and suppliers. We recognise the potential strategic, operational, and financial risks associated with service interruptions and the importance of maintaining a viable capability to continue business processes with minimum impact in the event of an emergency.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principle drives our risk appetite that while perfect security is unattainable, all risks must be manageable. The goal is to proactively mitigate risks that threaten the organisation’s ability to perform its essential functions and achieve its mission.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Risk Tolerance and Prioritisation (L0-L5 Scale)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The organisation defines its risk tolerance across a spectrum to guide resource allocation and decision-making, which is informed by the Business Impact Analysis (BIA) and Risk Assessment processes.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L0 – Intolerable Risk (High-Severity, High-Likelihood):</w:t>
      </w:r>
      <w:r w:rsidDel="00000000" w:rsidR="00000000" w:rsidRPr="00000000">
        <w:rPr>
          <w:rtl w:val="0"/>
        </w:rPr>
        <w:t xml:space="preserve"> The organisation has </w:t>
      </w:r>
      <w:r w:rsidDel="00000000" w:rsidR="00000000" w:rsidRPr="00000000">
        <w:rPr>
          <w:b w:val="1"/>
          <w:bCs w:val="1"/>
          <w:rtl w:val="0"/>
        </w:rPr>
        <w:t xml:space="preserve">zero appetite</w:t>
      </w:r>
      <w:r w:rsidDel="00000000" w:rsidR="00000000" w:rsidRPr="00000000">
        <w:rPr>
          <w:rtl w:val="0"/>
        </w:rPr>
        <w:t xml:space="preserve"> for unmitigated risk that could lead to the sustained unavailability of </w:t>
      </w:r>
      <w:r w:rsidDel="00000000" w:rsidR="00000000" w:rsidRPr="00000000">
        <w:rPr>
          <w:i w:val="1"/>
          <w:iCs w:val="1"/>
          <w:rtl w:val="0"/>
        </w:rPr>
        <w:t xml:space="preserve">Essential Functions</w:t>
      </w:r>
      <w:r w:rsidDel="00000000" w:rsidR="00000000" w:rsidRPr="00000000">
        <w:rPr>
          <w:rtl w:val="0"/>
        </w:rPr>
        <w:t xml:space="preserve"> or critical systems beyond their defined Recovery Time Objective (RTO).</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Action:</w:t>
      </w:r>
      <w:r w:rsidDel="00000000" w:rsidR="00000000" w:rsidRPr="00000000">
        <w:rPr>
          <w:rtl w:val="0"/>
        </w:rPr>
        <w:t xml:space="preserve"> These risks must be actively avoided or mitigated to an acceptable level immediately.</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L1 – Low Appetite Risk (Critical Impact):</w:t>
      </w:r>
      <w:r w:rsidDel="00000000" w:rsidR="00000000" w:rsidRPr="00000000">
        <w:rPr>
          <w:rtl w:val="0"/>
        </w:rPr>
        <w:t xml:space="preserve"> The organisation has a </w:t>
      </w:r>
      <w:r w:rsidDel="00000000" w:rsidR="00000000" w:rsidRPr="00000000">
        <w:rPr>
          <w:b w:val="1"/>
          <w:bCs w:val="1"/>
          <w:rtl w:val="0"/>
        </w:rPr>
        <w:t xml:space="preserve">very low appetite</w:t>
      </w:r>
      <w:r w:rsidDel="00000000" w:rsidR="00000000" w:rsidRPr="00000000">
        <w:rPr>
          <w:rtl w:val="0"/>
        </w:rPr>
        <w:t xml:space="preserve"> for any disruption that directly impacts compliance with legal and regulatory obligations or results in significant financial or reputational loss.</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Action:</w:t>
      </w:r>
      <w:r w:rsidDel="00000000" w:rsidR="00000000" w:rsidRPr="00000000">
        <w:rPr>
          <w:rtl w:val="0"/>
        </w:rPr>
        <w:t xml:space="preserve"> Preventive and continuity strategies must be in place, tested, and maintained to address these risks.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L2-L4 – Moderate/Targeted Appetite Risk (Non-Critical Impact):</w:t>
      </w:r>
      <w:r w:rsidDel="00000000" w:rsidR="00000000" w:rsidRPr="00000000">
        <w:rPr>
          <w:rtl w:val="0"/>
        </w:rPr>
        <w:t xml:space="preserve"> The organisation has a </w:t>
      </w:r>
      <w:r w:rsidDel="00000000" w:rsidR="00000000" w:rsidRPr="00000000">
        <w:rPr>
          <w:b w:val="1"/>
          <w:bCs w:val="1"/>
          <w:rtl w:val="0"/>
        </w:rPr>
        <w:t xml:space="preserve">moderate and targeted appetite</w:t>
      </w:r>
      <w:r w:rsidDel="00000000" w:rsidR="00000000" w:rsidRPr="00000000">
        <w:rPr>
          <w:rtl w:val="0"/>
        </w:rPr>
        <w:t xml:space="preserve"> for risks associated with non-essential functions or temporary, manageable disruptions that do not exceed tolerable outage periods during peak activity.</w:t>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Action:</w:t>
      </w:r>
      <w:r w:rsidDel="00000000" w:rsidR="00000000" w:rsidRPr="00000000">
        <w:rPr>
          <w:rtl w:val="0"/>
        </w:rPr>
        <w:t xml:space="preserve"> Risks are managed through cost-efficient continuity strategies, standard operating procedures, and regular monitoring.</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L5 – High Appetite Risk (Acceptable Operational Risk):</w:t>
      </w:r>
      <w:r w:rsidDel="00000000" w:rsidR="00000000" w:rsidRPr="00000000">
        <w:rPr>
          <w:rtl w:val="0"/>
        </w:rPr>
        <w:t xml:space="preserve"> The organisation has a </w:t>
      </w:r>
      <w:r w:rsidDel="00000000" w:rsidR="00000000" w:rsidRPr="00000000">
        <w:rPr>
          <w:b w:val="1"/>
          <w:bCs w:val="1"/>
          <w:rtl w:val="0"/>
        </w:rPr>
        <w:t xml:space="preserve">high appetite</w:t>
      </w:r>
      <w:r w:rsidDel="00000000" w:rsidR="00000000" w:rsidRPr="00000000">
        <w:rPr>
          <w:rtl w:val="0"/>
        </w:rPr>
        <w:t xml:space="preserve"> for risks that are considered routine operational matters, which are managed within normal daily operating procedures and do not require formal business continuity plan activation.</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Action:</w:t>
      </w:r>
      <w:r w:rsidDel="00000000" w:rsidR="00000000" w:rsidRPr="00000000">
        <w:rPr>
          <w:rtl w:val="0"/>
        </w:rPr>
        <w:t xml:space="preserve"> These risks are continually identified and monitored, recognising that security is a continuous process, not a final product.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Specific Risk Areas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Risk Area</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Risk Appetite Statement</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jc w:val="center"/>
              <w:rPr>
                <w:b w:val="1"/>
                <w:bCs w:val="1"/>
              </w:rPr>
            </w:pPr>
            <w:r w:rsidDel="00000000" w:rsidR="00000000" w:rsidRPr="00000000">
              <w:rPr>
                <w:b w:val="1"/>
                <w:bCs w:val="1"/>
                <w:rtl w:val="0"/>
              </w:rPr>
              <w:t xml:space="preserve">Supporting Principles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Business Disruption (Continuity)</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a </w:t>
            </w:r>
            <w:r w:rsidDel="00000000" w:rsidR="00000000" w:rsidRPr="00000000">
              <w:rPr>
                <w:b w:val="1"/>
                <w:bCs w:val="1"/>
                <w:rtl w:val="0"/>
              </w:rPr>
              <w:t xml:space="preserve">low appetite</w:t>
            </w:r>
            <w:r w:rsidDel="00000000" w:rsidR="00000000" w:rsidRPr="00000000">
              <w:rPr>
                <w:rtl w:val="0"/>
              </w:rPr>
              <w:t xml:space="preserve"> for any failure to implement BCPs in response to events like natural disasters, power outages, or civil unrest. The priority is the </w:t>
            </w:r>
            <w:r w:rsidDel="00000000" w:rsidR="00000000" w:rsidRPr="00000000">
              <w:rPr>
                <w:b w:val="1"/>
                <w:bCs w:val="1"/>
                <w:rtl w:val="0"/>
              </w:rPr>
              <w:t xml:space="preserve">Resumption and Recovery</w:t>
            </w:r>
            <w:r w:rsidDel="00000000" w:rsidR="00000000" w:rsidRPr="00000000">
              <w:rPr>
                <w:rtl w:val="0"/>
              </w:rPr>
              <w:t xml:space="preserve"> of time-sensitive business operations in accordance with pre-established timeframes.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Plans must anticipate a variety of probable scenarios ranging from total facility loss to partial disruption. Testing and exercising of plans are essential to establish viable capability.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Information Security</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a </w:t>
            </w:r>
            <w:r w:rsidDel="00000000" w:rsidR="00000000" w:rsidRPr="00000000">
              <w:rPr>
                <w:b w:val="1"/>
                <w:bCs w:val="1"/>
                <w:rtl w:val="0"/>
              </w:rPr>
              <w:t xml:space="preserve">low appetite</w:t>
            </w:r>
            <w:r w:rsidDel="00000000" w:rsidR="00000000" w:rsidRPr="00000000">
              <w:rPr>
                <w:rtl w:val="0"/>
              </w:rPr>
              <w:t xml:space="preserve"> for unmanaged security risks. Preventive measures must address the CWE Top 25 Most Dangerous Software Weaknesses.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does not have to be perfect, but the risks must be manageable. The commitment includes implementing technical and organisational measures such as encryption, access controls, and data minimisation practices.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Legal and Regulatory Compliance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w:t>
            </w:r>
            <w:r w:rsidDel="00000000" w:rsidR="00000000" w:rsidRPr="00000000">
              <w:rPr>
                <w:b w:val="1"/>
                <w:bCs w:val="1"/>
                <w:rtl w:val="0"/>
              </w:rPr>
              <w:t xml:space="preserve">zero appetite</w:t>
            </w:r>
            <w:r w:rsidDel="00000000" w:rsidR="00000000" w:rsidRPr="00000000">
              <w:rPr>
                <w:rtl w:val="0"/>
              </w:rPr>
              <w:t xml:space="preserve"> for non-compliance with applicable data protection laws, including GDPR, CCPA, CPRA, PIPEDA, and LGPD.</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Legal requirements, regulations, or laws, and any other identified requirements must be addressed as part of the Business Continuity Management System (BCMS).</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ind w:left="0" w:firstLine="0"/>
        <w:rPr>
          <w:color w:val="0000ee"/>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