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L1-BC-008: Business Continuity Standard</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Business Continuity Management (BCM) Program</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w:t>
      </w:r>
      <w:r w:rsidDel="00000000" w:rsidR="00000000" w:rsidRPr="00000000">
        <w:rPr>
          <w:rtl w:val="0"/>
        </w:rPr>
        <w:t xml:space="preserve"> To formalise the organisation's Business Continuity Program and provide guidelines for developing, maintaining, and exercising Business Continuity Plans (BCPs). The program is established to ensure the effective availability of essential business and supporting services to employees, customers, and suppliers.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Principle:</w:t>
      </w:r>
      <w:r w:rsidDel="00000000" w:rsidR="00000000" w:rsidRPr="00000000">
        <w:rPr>
          <w:rtl w:val="0"/>
        </w:rPr>
        <w:t xml:space="preserve"> BCM is a process, not a product. Security, including business continuity, does not have to be perfect, but the risks must be manageable.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Leadership and Commitment:</w:t>
      </w:r>
      <w:r w:rsidDel="00000000" w:rsidR="00000000" w:rsidRPr="00000000">
        <w:rPr>
          <w:rtl w:val="0"/>
        </w:rPr>
        <w:t xml:space="preserve"> Senior leaders must direct and resource the BCM program to ensure it fulfils its purpose. The Chief Information Officer (CIO) is designated as the executive management liaison for the Business Continuity Program.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Policy:</w:t>
      </w:r>
      <w:r w:rsidDel="00000000" w:rsidR="00000000" w:rsidRPr="00000000">
        <w:rPr>
          <w:rtl w:val="0"/>
        </w:rPr>
        <w:t xml:space="preserve"> A Business Continuity Policy must be written as a statement of intent that drives the need, activities, and resources for BCM. This policy must be disseminated to everyone affected by it, both internal and external.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Organisational Prerequisites:</w:t>
      </w:r>
      <w:r w:rsidDel="00000000" w:rsidR="00000000" w:rsidRPr="00000000">
        <w:rPr>
          <w:rtl w:val="0"/>
        </w:rPr>
        <w:t xml:space="preserve"> Fulfilling organisational prerequisites involves defining roles in the contingency organisation and the business continuity response organisation.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Scope and Application</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Scope:</w:t>
      </w:r>
      <w:r w:rsidDel="00000000" w:rsidR="00000000" w:rsidRPr="00000000">
        <w:rPr>
          <w:rtl w:val="0"/>
        </w:rPr>
        <w:t xml:space="preserve"> This policy applies to all staff, facilities, and IT systems at all locations throughout the organisation.</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Scenarios:</w:t>
      </w:r>
      <w:r w:rsidDel="00000000" w:rsidR="00000000" w:rsidRPr="00000000">
        <w:rPr>
          <w:rtl w:val="0"/>
        </w:rPr>
        <w:t xml:space="preserve"> The BCM program must be prepared for a broad spectrum of disruption threats, including but not limited to: natural disasters, power outages, hardware/telecommunications failures, civil unrest, pandemics, data corruption, explosives, and chemical, biological, and nuclear hazards.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Scope Boundary:</w:t>
      </w:r>
      <w:r w:rsidDel="00000000" w:rsidR="00000000" w:rsidRPr="00000000">
        <w:rPr>
          <w:rtl w:val="0"/>
        </w:rPr>
        <w:t xml:space="preserve"> A defined scope boundary must be set for the Business Continuity Management System (BCMS), constraining the scope to the things that matter (relevant outputs, products, and services).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Business Impact Analysis (BIA) and Risk Management</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BIA Requirement (Professional Practice Three):</w:t>
      </w:r>
      <w:r w:rsidDel="00000000" w:rsidR="00000000" w:rsidRPr="00000000">
        <w:rPr>
          <w:rtl w:val="0"/>
        </w:rPr>
        <w:t xml:space="preserve"> The BCM process must include a Business Impact Analysis (BIA).</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Goal:</w:t>
      </w:r>
      <w:r w:rsidDel="00000000" w:rsidR="00000000" w:rsidRPr="00000000">
        <w:rPr>
          <w:rtl w:val="0"/>
        </w:rPr>
        <w:t xml:space="preserve"> Gather information on the impact on key business processes if an application or system becomes unavailable.</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Activity:</w:t>
      </w:r>
      <w:r w:rsidDel="00000000" w:rsidR="00000000" w:rsidRPr="00000000">
        <w:rPr>
          <w:rtl w:val="0"/>
        </w:rPr>
        <w:t xml:space="preserve"> The BIA must identify key business processes, determine loss impacts, and specify recovery parameters such as the Longest Tolerable Outage during Peak Activity Periods. This includes determining the criticality and Recovery Time Objectives (RTO) of resources.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Risk Assessment (Professional Practice Two):</w:t>
      </w:r>
      <w:r w:rsidDel="00000000" w:rsidR="00000000" w:rsidRPr="00000000">
        <w:rPr>
          <w:rtl w:val="0"/>
        </w:rPr>
        <w:t xml:space="preserve"> A Risk Assessment must be performed to identify and assess risks.</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Activity:</w:t>
      </w:r>
      <w:r w:rsidDel="00000000" w:rsidR="00000000" w:rsidRPr="00000000">
        <w:rPr>
          <w:rtl w:val="0"/>
        </w:rPr>
        <w:t xml:space="preserve"> This includes identifying risks, assessing them, forming risk scenarios, and identifying risk strategy options.</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Basis for Plans:</w:t>
      </w:r>
      <w:r w:rsidDel="00000000" w:rsidR="00000000" w:rsidRPr="00000000">
        <w:rPr>
          <w:rtl w:val="0"/>
        </w:rPr>
        <w:t xml:space="preserve"> Resumption and recovery plans must be based on a business impact and risk assessment that considers potential losses due to the unavailability of service versus the cost of resumption.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Business Continuity Strategy and Plan Development</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Strategy (Professional Practice Four):</w:t>
      </w:r>
      <w:r w:rsidDel="00000000" w:rsidR="00000000" w:rsidRPr="00000000">
        <w:rPr>
          <w:rtl w:val="0"/>
        </w:rPr>
        <w:t xml:space="preserve"> Strategies must be determined based on the outcomes of the BIA and Risk Assessment. The planning principle must ensure a </w:t>
      </w:r>
      <w:r w:rsidDel="00000000" w:rsidR="00000000" w:rsidRPr="00000000">
        <w:rPr>
          <w:b w:val="1"/>
          <w:bCs w:val="1"/>
          <w:rtl w:val="0"/>
        </w:rPr>
        <w:t xml:space="preserve">cost-efficient business continuity strategy</w:t>
      </w:r>
      <w:r w:rsidDel="00000000" w:rsidR="00000000" w:rsidRPr="00000000">
        <w:rPr>
          <w:rtl w:val="0"/>
        </w:rPr>
        <w:t xml:space="preserve">.</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Plan Development (Professional Practice Six):</w:t>
      </w:r>
      <w:r w:rsidDel="00000000" w:rsidR="00000000" w:rsidRPr="00000000">
        <w:rPr>
          <w:rtl w:val="0"/>
        </w:rPr>
        <w:t xml:space="preserve"> The BCM process involves the development and implementation of plans.</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Plan Objective:</w:t>
      </w:r>
      <w:r w:rsidDel="00000000" w:rsidR="00000000" w:rsidRPr="00000000">
        <w:rPr>
          <w:rtl w:val="0"/>
        </w:rPr>
        <w:t xml:space="preserve"> The plan provides a framework to ensure the safety of employees and the resumption of time-sensitive operations and services in the event of an emergency.</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Core Elements:</w:t>
      </w:r>
      <w:r w:rsidDel="00000000" w:rsidR="00000000" w:rsidRPr="00000000">
        <w:rPr>
          <w:rtl w:val="0"/>
        </w:rPr>
        <w:t xml:space="preserve"> The plan must establish the basic principles and framework necessary to ensure emergency response, resumption and recovery, restoration, and permanent recovery of operations.</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Documentation:</w:t>
      </w:r>
      <w:r w:rsidDel="00000000" w:rsidR="00000000" w:rsidRPr="00000000">
        <w:rPr>
          <w:rtl w:val="0"/>
        </w:rPr>
        <w:t xml:space="preserve"> All documents used for BCM must meet minimum labelling requirements and include provisions for change management.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Training, Exercise, and Maintenance</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Awareness and Training (Professional Practice Seven):</w:t>
      </w:r>
      <w:r w:rsidDel="00000000" w:rsidR="00000000" w:rsidRPr="00000000">
        <w:rPr>
          <w:rtl w:val="0"/>
        </w:rPr>
        <w:t xml:space="preserve"> A program for awareness and training must be developed and implemented. This ensures all employees are included and familiarised with the plan.</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Exercise and Test (Professional Practice Eight):</w:t>
      </w:r>
      <w:r w:rsidDel="00000000" w:rsidR="00000000" w:rsidRPr="00000000">
        <w:rPr>
          <w:rtl w:val="0"/>
        </w:rPr>
        <w:t xml:space="preserve"> Plans must be regularly developed, exercised, tested, and maintained.</w:t>
      </w:r>
    </w:p>
    <w:p w:rsidR="00000000" w:rsidDel="00000000" w:rsidP="00000000" w:rsidRDefault="00000000" w:rsidRPr="00000000" w14:paraId="0000001C">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Purpose of Test:</w:t>
      </w:r>
      <w:r w:rsidDel="00000000" w:rsidR="00000000" w:rsidRPr="00000000">
        <w:rPr>
          <w:rtl w:val="0"/>
        </w:rPr>
        <w:t xml:space="preserve"> The BCP Test creates an opportunity to identify and examine the issues and capability gaps that businesses are likely to face in implementing their BCPs and recovering from business operation disruptions.</w:t>
      </w:r>
    </w:p>
    <w:p w:rsidR="00000000" w:rsidDel="00000000" w:rsidP="00000000" w:rsidRDefault="00000000" w:rsidRPr="00000000" w14:paraId="0000001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Review Cycle:</w:t>
      </w:r>
      <w:r w:rsidDel="00000000" w:rsidR="00000000" w:rsidRPr="00000000">
        <w:rPr>
          <w:rtl w:val="0"/>
        </w:rPr>
        <w:t xml:space="preserve"> Plans are to be </w:t>
      </w:r>
      <w:r w:rsidDel="00000000" w:rsidR="00000000" w:rsidRPr="00000000">
        <w:rPr>
          <w:b w:val="1"/>
          <w:bCs w:val="1"/>
          <w:rtl w:val="0"/>
        </w:rPr>
        <w:t xml:space="preserve">reviewed annually</w:t>
      </w:r>
      <w:r w:rsidDel="00000000" w:rsidR="00000000" w:rsidRPr="00000000">
        <w:rPr>
          <w:rtl w:val="0"/>
        </w:rPr>
        <w:t xml:space="preserve"> (until a certification process is in place) by the Data Security/Business Continuity Manager.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BIAApp.pdf</w:t>
        </w:r>
      </w:hyperlink>
      <w:r w:rsidDel="00000000" w:rsidR="00000000" w:rsidRPr="00000000">
        <w:rPr>
          <w:rtl w:val="0"/>
        </w:rPr>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BCP Situation Manual_FINAL_v7_APR 25.docx</w:t>
        </w:r>
      </w:hyperlink>
      <w:r w:rsidDel="00000000" w:rsidR="00000000" w:rsidRPr="00000000">
        <w:rPr>
          <w:rtl w:val="0"/>
        </w:rPr>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Secure development best practices</w:t>
        </w:r>
      </w:hyperlink>
      <w:r w:rsidDel="00000000" w:rsidR="00000000" w:rsidRPr="00000000">
        <w:rPr>
          <w:rtl w:val="0"/>
        </w:rPr>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BCP_Appendix 01_0410-Policy.doc</w:t>
        </w:r>
      </w:hyperlink>
      <w:r w:rsidDel="00000000" w:rsidR="00000000" w:rsidRPr="00000000">
        <w:rPr>
          <w:rtl w:val="0"/>
        </w:rPr>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22301-Business-Continuity-Checklist.pdf</w:t>
        </w:r>
      </w:hyperlink>
      <w:r w:rsidDel="00000000" w:rsidR="00000000" w:rsidRPr="00000000">
        <w:rPr>
          <w:rtl w:val="0"/>
        </w:rPr>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The Professional Practices for Business Continuity Management.pdf</w:t>
        </w:r>
      </w:hyperlink>
      <w:r w:rsidDel="00000000" w:rsidR="00000000" w:rsidRPr="00000000">
        <w:rPr>
          <w:rtl w:val="0"/>
        </w:rPr>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BCP Facilitator &amp; Evaluator Handbook_FINAL_v7_APR 25.docx</w:t>
        </w:r>
      </w:hyperlink>
      <w:r w:rsidDel="00000000" w:rsidR="00000000" w:rsidRPr="00000000">
        <w:rPr>
          <w:rtl w:val="0"/>
        </w:rPr>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BSI Standard 100-4.pdf</w:t>
        </w:r>
      </w:hyperlink>
      <w:r w:rsidDel="00000000" w:rsidR="00000000" w:rsidRPr="00000000">
        <w:rPr>
          <w:rtl w:val="0"/>
        </w:rPr>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BCP Presentation_FINAL_v3_APR 25.pptx</w:t>
        </w:r>
      </w:hyperlink>
      <w:r w:rsidDel="00000000" w:rsidR="00000000" w:rsidRPr="00000000">
        <w:rPr>
          <w:rtl w:val="0"/>
        </w:rPr>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ind w:left="600" w:hanging="360"/>
      </w:pPr>
      <w:hyperlink r:id="rId15">
        <w:r w:rsidDel="00000000" w:rsidR="00000000" w:rsidRPr="00000000">
          <w:rPr>
            <w:color w:val="0000ee"/>
            <w:u w:val="single"/>
            <w:rtl w:val="0"/>
          </w:rPr>
          <w:t xml:space="preserve">BCP Exercise Planner Instructions_FINAL_v6_APR 25.docx</w:t>
        </w:r>
      </w:hyperlink>
      <w:r w:rsidDel="00000000" w:rsidR="00000000" w:rsidRPr="00000000">
        <w:rPr>
          <w:rtl w:val="0"/>
        </w:rPr>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ind w:left="600" w:hanging="360"/>
      </w:pPr>
      <w:hyperlink r:id="rId16">
        <w:r w:rsidDel="00000000" w:rsidR="00000000" w:rsidRPr="00000000">
          <w:rPr>
            <w:color w:val="0000ee"/>
            <w:u w:val="single"/>
            <w:rtl w:val="0"/>
          </w:rPr>
          <w:t xml:space="preserve">contingencyplan-template.doc</w:t>
        </w:r>
      </w:hyperlink>
      <w:r w:rsidDel="00000000" w:rsidR="00000000" w:rsidRPr="00000000">
        <w:rPr>
          <w:rtl w:val="0"/>
        </w:rPr>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ind w:left="600" w:hanging="360"/>
      </w:pPr>
      <w:hyperlink r:id="rId17">
        <w:r w:rsidDel="00000000" w:rsidR="00000000" w:rsidRPr="00000000">
          <w:rPr>
            <w:color w:val="0000ee"/>
            <w:u w:val="single"/>
            <w:rtl w:val="0"/>
          </w:rPr>
          <w:t xml:space="preserve">Audit</w:t>
        </w:r>
      </w:hyperlink>
      <w:r w:rsidDel="00000000" w:rsidR="00000000" w:rsidRPr="00000000">
        <w:rPr>
          <w:rtl w:val="0"/>
        </w:rPr>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ind w:left="600" w:hanging="360"/>
      </w:pPr>
      <w:hyperlink r:id="rId18">
        <w:r w:rsidDel="00000000" w:rsidR="00000000" w:rsidRPr="00000000">
          <w:rPr>
            <w:color w:val="0000ee"/>
            <w:u w:val="single"/>
            <w:rtl w:val="0"/>
          </w:rPr>
          <w:t xml:space="preserve">DAO-Governed Platforms Privacy Policy Template</w:t>
        </w:r>
      </w:hyperlink>
      <w:r w:rsidDel="00000000" w:rsidR="00000000" w:rsidRPr="00000000">
        <w:rPr>
          <w:rtl w:val="0"/>
        </w:rPr>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Risk Register Draft</w:t>
        </w:r>
      </w:hyperlink>
      <w:r w:rsidDel="00000000" w:rsidR="00000000" w:rsidRPr="00000000">
        <w:rPr>
          <w:rtl w:val="0"/>
        </w:rPr>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ind w:left="600" w:hanging="360"/>
      </w:pPr>
      <w:hyperlink r:id="rId20">
        <w:r w:rsidDel="00000000" w:rsidR="00000000" w:rsidRPr="00000000">
          <w:rPr>
            <w:color w:val="0000ee"/>
            <w:u w:val="single"/>
            <w:rtl w:val="0"/>
          </w:rPr>
          <w:t xml:space="preserve">L2-ASSURE-103 External Assurance Procedure (Audit/Bug Bounty)</w:t>
        </w:r>
      </w:hyperlink>
      <w:r w:rsidDel="00000000" w:rsidR="00000000" w:rsidRPr="00000000">
        <w:rPr>
          <w:rtl w:val="0"/>
        </w:rPr>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ind w:left="600" w:hanging="360"/>
      </w:pPr>
      <w:hyperlink r:id="rId21">
        <w:r w:rsidDel="00000000" w:rsidR="00000000" w:rsidRPr="00000000">
          <w:rPr>
            <w:color w:val="0000ee"/>
            <w:u w:val="single"/>
            <w:rtl w:val="0"/>
          </w:rPr>
          <w:t xml:space="preserve">L2-RISK-102 Delivery Risk Operations Procedure</w:t>
        </w:r>
      </w:hyperlink>
      <w:r w:rsidDel="00000000" w:rsidR="00000000" w:rsidRPr="00000000">
        <w:rPr>
          <w:rtl w:val="0"/>
        </w:rPr>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ind w:left="600" w:hanging="360"/>
      </w:pPr>
      <w:hyperlink r:id="rId22">
        <w:r w:rsidDel="00000000" w:rsidR="00000000" w:rsidRPr="00000000">
          <w:rPr>
            <w:color w:val="0000ee"/>
            <w:u w:val="single"/>
            <w:rtl w:val="0"/>
          </w:rPr>
          <w:t xml:space="preserve">L1-ENG-002 Client Rating + Commercial Guardrails Standard</w:t>
        </w:r>
      </w:hyperlink>
      <w:r w:rsidDel="00000000" w:rsidR="00000000" w:rsidRPr="00000000">
        <w:rPr>
          <w:rtl w:val="0"/>
        </w:rPr>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ind w:left="600" w:hanging="360"/>
      </w:pPr>
      <w:hyperlink r:id="rId23">
        <w:r w:rsidDel="00000000" w:rsidR="00000000" w:rsidRPr="00000000">
          <w:rPr>
            <w:color w:val="0000ee"/>
            <w:u w:val="single"/>
            <w:rtl w:val="0"/>
          </w:rPr>
          <w:t xml:space="preserve">Business Continuty</w:t>
        </w:r>
      </w:hyperlink>
      <w:r w:rsidDel="00000000" w:rsidR="00000000" w:rsidRPr="00000000">
        <w:rPr>
          <w:rtl w:val="0"/>
        </w:rPr>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L1-ERM-001 Enterprise Risk Governance &amp; Acceptance Authority Standard (Web3)</w:t>
        </w:r>
      </w:hyperlink>
      <w:r w:rsidDel="00000000" w:rsidR="00000000" w:rsidRPr="00000000">
        <w:rPr>
          <w:rtl w:val="0"/>
        </w:rPr>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ind w:left="600" w:hanging="360"/>
      </w:pPr>
      <w:hyperlink r:id="rId25">
        <w:r w:rsidDel="00000000" w:rsidR="00000000" w:rsidRPr="00000000">
          <w:rPr>
            <w:color w:val="0000ee"/>
            <w:u w:val="single"/>
            <w:rtl w:val="0"/>
          </w:rPr>
          <w:t xml:space="preserve">L1-EVID-004 Evidence &amp; Recordkeeping Standard</w:t>
        </w:r>
      </w:hyperlink>
      <w:r w:rsidDel="00000000" w:rsidR="00000000" w:rsidRPr="00000000">
        <w:rPr>
          <w:rtl w:val="0"/>
        </w:rPr>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color w:val="0000ee"/>
            <w:u w:val="single"/>
            <w:rtl w:val="0"/>
          </w:rPr>
          <w:t xml:space="preserve">Protofire Technical Expertise and Project Engagement</w:t>
        </w:r>
      </w:hyperlink>
      <w:r w:rsidDel="00000000" w:rsidR="00000000" w:rsidRPr="00000000">
        <w:rPr>
          <w:rtl w:val="0"/>
        </w:rPr>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Checklists</w:t>
        </w:r>
      </w:hyperlink>
      <w:r w:rsidDel="00000000" w:rsidR="00000000" w:rsidRPr="00000000">
        <w:rPr>
          <w:rtl w:val="0"/>
        </w:rPr>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ind w:left="600" w:hanging="360"/>
      </w:pPr>
      <w:hyperlink r:id="rId28">
        <w:r w:rsidDel="00000000" w:rsidR="00000000" w:rsidRPr="00000000">
          <w:rPr>
            <w:color w:val="0000ee"/>
            <w:u w:val="single"/>
            <w:rtl w:val="0"/>
          </w:rPr>
          <w:t xml:space="preserve">Incident Management</w:t>
        </w:r>
      </w:hyperlink>
      <w:r w:rsidDel="00000000" w:rsidR="00000000" w:rsidRPr="00000000">
        <w:rPr>
          <w:rtl w:val="0"/>
        </w:rPr>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ind w:left="600" w:hanging="360"/>
      </w:pPr>
      <w:hyperlink r:id="rId29">
        <w:r w:rsidDel="00000000" w:rsidR="00000000" w:rsidRPr="00000000">
          <w:rPr>
            <w:color w:val="0000ee"/>
            <w:u w:val="single"/>
            <w:rtl w:val="0"/>
          </w:rPr>
          <w:t xml:space="preserve">Projects</w:t>
        </w:r>
      </w:hyperlink>
      <w:r w:rsidDel="00000000" w:rsidR="00000000" w:rsidRPr="00000000">
        <w:rPr>
          <w:rtl w:val="0"/>
        </w:rPr>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ind w:left="600" w:hanging="360"/>
      </w:pPr>
      <w:hyperlink r:id="rId30">
        <w:r w:rsidDel="00000000" w:rsidR="00000000" w:rsidRPr="00000000">
          <w:rPr>
            <w:color w:val="0000ee"/>
            <w:u w:val="single"/>
            <w:rtl w:val="0"/>
          </w:rPr>
          <w:t xml:space="preserve">L1-KEY-005 Key/Treasury &amp; Signing Ceremonies Standard</w:t>
        </w:r>
      </w:hyperlink>
      <w:r w:rsidDel="00000000" w:rsidR="00000000" w:rsidRPr="00000000">
        <w:rPr>
          <w:rtl w:val="0"/>
        </w:rPr>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ind w:left="600" w:hanging="360"/>
      </w:pPr>
      <w:hyperlink r:id="rId31">
        <w:r w:rsidDel="00000000" w:rsidR="00000000" w:rsidRPr="00000000">
          <w:rPr>
            <w:color w:val="0000ee"/>
            <w:u w:val="single"/>
            <w:rtl w:val="0"/>
          </w:rPr>
          <w:t xml:space="preserve">L2-DEL-101 8-Stage Delivery Governance Procedure (Track A/B)</w:t>
        </w:r>
      </w:hyperlink>
      <w:r w:rsidDel="00000000" w:rsidR="00000000" w:rsidRPr="00000000">
        <w:rPr>
          <w:rtl w:val="0"/>
        </w:rPr>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ind w:left="600" w:hanging="360"/>
      </w:pPr>
      <w:hyperlink r:id="rId32">
        <w:r w:rsidDel="00000000" w:rsidR="00000000" w:rsidRPr="00000000">
          <w:rPr>
            <w:color w:val="0000ee"/>
            <w:u w:val="single"/>
            <w:rtl w:val="0"/>
          </w:rPr>
          <w:t xml:space="preserve">_Information Security Management Plan (light)</w:t>
        </w:r>
      </w:hyperlink>
      <w:r w:rsidDel="00000000" w:rsidR="00000000" w:rsidRPr="00000000">
        <w:rPr>
          <w:rtl w:val="0"/>
        </w:rPr>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ind w:left="600" w:hanging="360"/>
      </w:pPr>
      <w:hyperlink r:id="rId33">
        <w:r w:rsidDel="00000000" w:rsidR="00000000" w:rsidRPr="00000000">
          <w:rPr>
            <w:color w:val="0000ee"/>
            <w:u w:val="single"/>
            <w:rtl w:val="0"/>
          </w:rPr>
          <w:t xml:space="preserve">Protofire Information Security Management System</w:t>
        </w:r>
      </w:hyperlink>
      <w:r w:rsidDel="00000000" w:rsidR="00000000" w:rsidRPr="00000000">
        <w:rPr>
          <w:rtl w:val="0"/>
        </w:rPr>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ind w:left="600" w:hanging="360"/>
      </w:pPr>
      <w:hyperlink r:id="rId34">
        <w:r w:rsidDel="00000000" w:rsidR="00000000" w:rsidRPr="00000000">
          <w:rPr>
            <w:color w:val="0000ee"/>
            <w:u w:val="single"/>
            <w:rtl w:val="0"/>
          </w:rPr>
          <w:t xml:space="preserve">Risk Management</w:t>
        </w:r>
      </w:hyperlink>
      <w:r w:rsidDel="00000000" w:rsidR="00000000" w:rsidRPr="00000000">
        <w:rPr>
          <w:rtl w:val="0"/>
        </w:rPr>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ind w:left="600" w:hanging="360"/>
      </w:pPr>
      <w:hyperlink r:id="rId35">
        <w:r w:rsidDel="00000000" w:rsidR="00000000" w:rsidRPr="00000000">
          <w:rPr>
            <w:color w:val="0000ee"/>
            <w:u w:val="single"/>
            <w:rtl w:val="0"/>
          </w:rPr>
          <w:t xml:space="preserve">Security assessment bundle</w:t>
        </w:r>
      </w:hyperlink>
      <w:r w:rsidDel="00000000" w:rsidR="00000000" w:rsidRPr="00000000">
        <w:rPr>
          <w:rtl w:val="0"/>
        </w:rPr>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ind w:left="600" w:hanging="360"/>
      </w:pPr>
      <w:hyperlink r:id="rId36">
        <w:r w:rsidDel="00000000" w:rsidR="00000000" w:rsidRPr="00000000">
          <w:rPr>
            <w:color w:val="0000ee"/>
            <w:u w:val="single"/>
            <w:rtl w:val="0"/>
          </w:rPr>
          <w:t xml:space="preserve">L1-SDLC-003 Secure Delivery Baseline for Web3/DeFi</w:t>
        </w:r>
      </w:hyperlink>
      <w:r w:rsidDel="00000000" w:rsidR="00000000" w:rsidRPr="00000000">
        <w:rPr>
          <w:rtl w:val="0"/>
        </w:rPr>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ind w:left="600" w:hanging="360"/>
      </w:pPr>
      <w:hyperlink r:id="rId37">
        <w:r w:rsidDel="00000000" w:rsidR="00000000" w:rsidRPr="00000000">
          <w:rPr>
            <w:color w:val="0000ee"/>
            <w:u w:val="single"/>
            <w:rtl w:val="0"/>
          </w:rPr>
          <w:t xml:space="preserve">Templates</w:t>
        </w:r>
      </w:hyperlink>
      <w:r w:rsidDel="00000000" w:rsidR="00000000" w:rsidRPr="00000000">
        <w:rPr>
          <w:rtl w:val="0"/>
        </w:rPr>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ind w:left="600" w:hanging="360"/>
      </w:pPr>
      <w:hyperlink r:id="rId38">
        <w:r w:rsidDel="00000000" w:rsidR="00000000" w:rsidRPr="00000000">
          <w:rPr>
            <w:color w:val="0000ee"/>
            <w:u w:val="single"/>
            <w:rtl w:val="0"/>
          </w:rPr>
          <w:t xml:space="preserve">Tier 0 Protofire-wide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ZnekWjKySatPG3xjbReROy074eHKhqseTM4JCGFXReQ/edit" TargetMode="External"/><Relationship Id="rId22" Type="http://schemas.openxmlformats.org/officeDocument/2006/relationships/hyperlink" Target="https://docs.google.com/document/d/1m8v5eAnN5sgXCnU2cl9XGOxXXjhJmbQ8gfyRc6jt8S4/edit" TargetMode="External"/><Relationship Id="rId21" Type="http://schemas.openxmlformats.org/officeDocument/2006/relationships/hyperlink" Target="https://docs.google.com/document/d/1pfzXkuG3W113tissY61xQ6-FiHPVhjIFdy2Ohq0ZnGY/edit" TargetMode="External"/><Relationship Id="rId24" Type="http://schemas.openxmlformats.org/officeDocument/2006/relationships/hyperlink" Target="https://docs.google.com/document/d/1lRX-rsbCD2zAB-WOo-EEBtmBumu_NxvOe9bxgCRWGZU/edit" TargetMode="External"/><Relationship Id="rId23" Type="http://schemas.openxmlformats.org/officeDocument/2006/relationships/hyperlink" Target="https://drive.google.com/open?id=1BltDF4ZcNCQVms6KAduB2yDLE1k4xp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ENS-SB7Rsdc7vuim8xx0Gytr0mJshBJz" TargetMode="External"/><Relationship Id="rId26" Type="http://schemas.openxmlformats.org/officeDocument/2006/relationships/hyperlink" Target="https://docs.google.com/document/d/1-t66NqemvEMP2tVSpHGenrQKjcEDAaNqBtQljrCLC0k/edit" TargetMode="External"/><Relationship Id="rId25" Type="http://schemas.openxmlformats.org/officeDocument/2006/relationships/hyperlink" Target="https://docs.google.com/document/d/1v6sDeegOY7Sov18Oceq4a1G182tBfjGo3LWoy6ZmBrQ/edit" TargetMode="External"/><Relationship Id="rId28" Type="http://schemas.openxmlformats.org/officeDocument/2006/relationships/hyperlink" Target="https://drive.google.com/open?id=1tXzB78hEf2qmRGqa0MHWxW7utxGIXD8b" TargetMode="External"/><Relationship Id="rId27" Type="http://schemas.openxmlformats.org/officeDocument/2006/relationships/hyperlink" Target="https://drive.google.com/open?id=1esuIcHouH-yklXpu0KuMg-a61RbIeH1H" TargetMode="External"/><Relationship Id="rId5" Type="http://schemas.openxmlformats.org/officeDocument/2006/relationships/styles" Target="styles.xml"/><Relationship Id="rId6" Type="http://schemas.openxmlformats.org/officeDocument/2006/relationships/hyperlink" Target="https://drive.google.com/open?id=18KkAbfgKatMZz5URdg_NSGUO0LfuFf0W" TargetMode="External"/><Relationship Id="rId29" Type="http://schemas.openxmlformats.org/officeDocument/2006/relationships/hyperlink" Target="https://drive.google.com/open?id=1NODFXl9iGdxxRkgdanyHp5oNYSz51ozF" TargetMode="External"/><Relationship Id="rId7" Type="http://schemas.openxmlformats.org/officeDocument/2006/relationships/hyperlink" Target="https://drive.google.com/open?id=1hjK1yyzYJ_Gml_E7kyoW855KO3dIYTQq" TargetMode="External"/><Relationship Id="rId8" Type="http://schemas.openxmlformats.org/officeDocument/2006/relationships/hyperlink" Target="https://docs.google.com/document/d/1OZixBVEd-rUkjkQ8rEIWyLqzsLHhL-Yja3P6NoupCIA/edit" TargetMode="External"/><Relationship Id="rId31" Type="http://schemas.openxmlformats.org/officeDocument/2006/relationships/hyperlink" Target="https://docs.google.com/document/d/1aIHFceBA6GGeuAZcrvk3-jGMqldU203ZfmR3QJ1CJyU/edit" TargetMode="External"/><Relationship Id="rId30" Type="http://schemas.openxmlformats.org/officeDocument/2006/relationships/hyperlink" Target="https://docs.google.com/document/d/12RhRQ_5exoR2KEx8YRuAL8vhMFt8wjuMpBqPWhBh304/edit" TargetMode="External"/><Relationship Id="rId11" Type="http://schemas.openxmlformats.org/officeDocument/2006/relationships/hyperlink" Target="https://drive.google.com/open?id=1REDBiUNquJKmIs9l8xf2f40cOYU6sbbq" TargetMode="External"/><Relationship Id="rId33" Type="http://schemas.openxmlformats.org/officeDocument/2006/relationships/hyperlink" Target="https://docs.google.com/document/d/1-O0stWtYcvv1eE23dNBLGDthFV1S_fsAcAspK8m2Rpg/edit" TargetMode="External"/><Relationship Id="rId10" Type="http://schemas.openxmlformats.org/officeDocument/2006/relationships/hyperlink" Target="https://drive.google.com/open?id=1pZTwcbnPuVGcdJTZA_Rnw49QBfYdpkoj" TargetMode="External"/><Relationship Id="rId32" Type="http://schemas.openxmlformats.org/officeDocument/2006/relationships/hyperlink" Target="https://docs.google.com/document/d/1imM-PmIZWg5So9YyjeQP1Mw2BOr513dIJr-Yd8O5GCY/edit" TargetMode="External"/><Relationship Id="rId13" Type="http://schemas.openxmlformats.org/officeDocument/2006/relationships/hyperlink" Target="https://drive.google.com/open?id=1t18eFCDW___i_aT7U9bI2V7XVCilZovU" TargetMode="External"/><Relationship Id="rId35" Type="http://schemas.openxmlformats.org/officeDocument/2006/relationships/hyperlink" Target="https://drive.google.com/open?id=1lER4VjUYn0151VAxo6lp5ZFH3yM2CUIw" TargetMode="External"/><Relationship Id="rId12" Type="http://schemas.openxmlformats.org/officeDocument/2006/relationships/hyperlink" Target="https://drive.google.com/open?id=1mgBbJi7shB3xzu-0uUnNj6TtR37X0580" TargetMode="External"/><Relationship Id="rId34" Type="http://schemas.openxmlformats.org/officeDocument/2006/relationships/hyperlink" Target="https://drive.google.com/open?id=11fK_tZpaC_ke6q7PvjJNuHcoHSk2PtGJ" TargetMode="External"/><Relationship Id="rId15" Type="http://schemas.openxmlformats.org/officeDocument/2006/relationships/hyperlink" Target="https://drive.google.com/open?id=1GpYW6myABBPrzQ9lTSjCo-_9AA-kweZJ" TargetMode="External"/><Relationship Id="rId37" Type="http://schemas.openxmlformats.org/officeDocument/2006/relationships/hyperlink" Target="https://drive.google.com/open?id=1zMVZmcxAGbiiblXLDHW8-rIAiDwRWR40" TargetMode="External"/><Relationship Id="rId14" Type="http://schemas.openxmlformats.org/officeDocument/2006/relationships/hyperlink" Target="https://drive.google.com/open?id=1WvBOP_RGu5JGlf06NSYpYqAMsFlyTpcz" TargetMode="External"/><Relationship Id="rId36" Type="http://schemas.openxmlformats.org/officeDocument/2006/relationships/hyperlink" Target="https://docs.google.com/document/d/11Ik_xJckVDb6vNA7M3YB7Dbt44h4V7vC7zPCuJ7NNvw/edit" TargetMode="External"/><Relationship Id="rId17" Type="http://schemas.openxmlformats.org/officeDocument/2006/relationships/hyperlink" Target="https://drive.google.com/open?id=1GZjohvIJF9Xo336SG1-_V4bN22gEo4hN" TargetMode="External"/><Relationship Id="rId16" Type="http://schemas.openxmlformats.org/officeDocument/2006/relationships/hyperlink" Target="https://drive.google.com/open?id=1P2K5fV8SSF9XX_hJi0P6MnNU33VW8ed4" TargetMode="External"/><Relationship Id="rId38" Type="http://schemas.openxmlformats.org/officeDocument/2006/relationships/hyperlink" Target="https://drive.google.com/open?id=12cKjMgsNv-neRN2Dk31srvLSXOLMd9d9" TargetMode="External"/><Relationship Id="rId19" Type="http://schemas.openxmlformats.org/officeDocument/2006/relationships/hyperlink" Target="https://docs.google.com/spreadsheets/d/1lJx8L0-BmXx_l-fn81G3zW4bZ2IcuqDoeK5-40zoLVA/edit#gid=810049527" TargetMode="External"/><Relationship Id="rId18" Type="http://schemas.openxmlformats.org/officeDocument/2006/relationships/hyperlink" Target="https://docs.google.com/document/d/1ijBuViIvaX8qrOb_vzHLpXAKEHTpAZTlrVkBtad5GU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