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cqko6d44leb" w:id="0"/>
      <w:bookmarkEnd w:id="0"/>
      <w:r w:rsidDel="00000000" w:rsidR="00000000" w:rsidRPr="00000000">
        <w:rPr>
          <w:rtl w:val="0"/>
        </w:rPr>
        <w:t xml:space="preserve">L1-EVID-004 Evidence &amp; Recordkeeping Standard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ID: L1-EVID-004</w:t>
        <w:br w:type="textWrapping"/>
        <w:t xml:space="preserve">Version: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Approved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Effective: [2026-03-DD]</w:t>
        <w:br w:type="textWrapping"/>
        <w:t xml:space="preserve">Owner: Head of Risk / GRC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Approved By: CEO/Board</w:t>
        <w:br w:type="textWrapping"/>
        <w:t xml:space="preserve">Review: Annual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skpofye1xl6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Establish a defensible evidence framework supporting audits (ISO 27001, SOC 2), regulatory expectations (GDPR principles where applicable), and internal governance requirements.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z55olrsz3t5" w:id="2"/>
      <w:bookmarkEnd w:id="2"/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Applies to: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lifecycle gates,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 and financial controls,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incident response,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privileged actions and deployments,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contract and acceptance records.</w:t>
        <w:br w:type="textWrapping"/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6wgihftw7ii" w:id="3"/>
      <w:bookmarkEnd w:id="3"/>
      <w:r w:rsidDel="00000000" w:rsidR="00000000" w:rsidRPr="00000000">
        <w:rPr>
          <w:rtl w:val="0"/>
        </w:rPr>
        <w:t xml:space="preserve">3. Systems of Record (Approved Tooling)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workflow record: ClickUp (gate tasks, approvals, decision logs, links)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base: Notion (templates, policies, project pack hub)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vault: Google Drive/Workspace (controlled folders for immutable-ish artefacts)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Operational communications: Slack (allowed for approvals, but must be captured into the evidence vault)</w:t>
        <w:br w:type="textWrapping"/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nphheeu8x39w" w:id="4"/>
      <w:bookmarkEnd w:id="4"/>
      <w:r w:rsidDel="00000000" w:rsidR="00000000" w:rsidRPr="00000000">
        <w:rPr>
          <w:rtl w:val="0"/>
        </w:rPr>
        <w:t xml:space="preserve">4. What Counts as Evidence (Minimum Acceptable)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of the following is acceptable if attributable and archived: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ClickUp approval/comment with identity and timestamp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Signed document (Google Workplace or PDF) stored in evidence vault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Authenticated message approval in a messenger (e.g., “+”) captured as screenshot and stored in repo/Drive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Exported logs/reports with timestamp and integrity controls</w:t>
        <w:br w:type="textWrapping"/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fkn2nlg2c10n" w:id="5"/>
      <w:bookmarkEnd w:id="5"/>
      <w:r w:rsidDel="00000000" w:rsidR="00000000" w:rsidRPr="00000000">
        <w:rPr>
          <w:rtl w:val="0"/>
        </w:rPr>
        <w:t xml:space="preserve">5. Evidence Quality Requirements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evidence artefact must include: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Who approved/executed (identity)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(timestamp)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(scope and object: commit hash, contract address, milestone, decision)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Where stored (per project vault structure)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Link back to the relevant gate/decision record</w:t>
        <w:br w:type="textWrapping"/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66md5jz1cc9v" w:id="6"/>
      <w:bookmarkEnd w:id="6"/>
      <w:r w:rsidDel="00000000" w:rsidR="00000000" w:rsidRPr="00000000">
        <w:rPr>
          <w:rtl w:val="0"/>
        </w:rPr>
        <w:t xml:space="preserve">6. Evidence Retention (Baseline Schedule)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Unless legal/contractual requirements impose longer periods: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Contracts, SOWs, invoices, financial approvals: 7 years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Security gate evidence, risk acceptances, audit decisions: 3 years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Operational logs/monitoring exports used as evidence: 1 year (exported snapshots tied to gates retained 3 years)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Incident records and postmortems: 5 years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GDPR principles: retain only what is necessary; minimize personal data; ensure access control and secure deletion when retention ends.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ukl0o8kyejt" w:id="7"/>
      <w:bookmarkEnd w:id="7"/>
      <w:r w:rsidDel="00000000" w:rsidR="00000000" w:rsidRPr="00000000">
        <w:rPr>
          <w:rtl w:val="0"/>
        </w:rPr>
        <w:t xml:space="preserve">7. Access Control and Confidentiality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Evidence vault access must follow least privilege.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Sharing externally requires approval from Node Owner and Security Lead.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Personal data (if any) must be minimized and protected; avoid placing sensitive personal data on-chain.</w:t>
        <w:br w:type="textWrapping"/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l3khfpmm2tps" w:id="8"/>
      <w:bookmarkEnd w:id="8"/>
      <w:r w:rsidDel="00000000" w:rsidR="00000000" w:rsidRPr="00000000">
        <w:rPr>
          <w:rtl w:val="0"/>
        </w:rPr>
        <w:t xml:space="preserve">8. Audit Readiness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Head of Risk/GRC maintains: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 calendar (control frequencies and owners)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Periodic sampling checks for completeness and consistency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