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3n4nxeil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L1-KEY-005 Key/Treasury &amp; Signing Ceremonies Standard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L1-KEY-005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Approved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[YYYY-MM-DD]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Head of Security + CFO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CEO/Board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Review:</w:t>
      </w:r>
      <w:r w:rsidDel="00000000" w:rsidR="00000000" w:rsidRPr="00000000">
        <w:rPr>
          <w:rtl w:val="0"/>
        </w:rPr>
        <w:t xml:space="preserve"> Annual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qn9j1gbt8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mandatory controls for admin keys, multisig governance, timelocks, treasury operations, and signing ceremonies to reduce loss of funds and governance abuse risk.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86sbxcsgp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to: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privileged contract roles (upgrade admin, pause guardian, parameter admin)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multisig signers and timelock executors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treasury wallets (hot/cold)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deployments and upgrades requiring signatures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eeppdyku2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Requirements (Mandatory)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n282uy96u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Multisig + Timelock Baseline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privileged actions must be executed through multisig and timelock.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Timelock delay must be documented and justified (shortest delay permitted only for emergency policy).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lqvqp9swh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Signer Governance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Signers must be independent individuals (avoid single-point control).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Onboarding/offboarding must be documented and time-boxed.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Signer rotation triggers: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annually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upon role change or termination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suspected compromise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governance/process changes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509ijsfyq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Signing Ceremony (Required for Critical Actions)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signing ceremony must be performed for: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deployments and ownership transfers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upgrades and privileged parameter changes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treasury transfers above configured thresholds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Ceremony steps (minimum):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transaction intent and scope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transaction (where feasible)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destination addresses and parameters (out-of-band confirmation)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multi-party signing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transaction hash and evidence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on-chain final state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5mfgb3zh3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Treasury Controls (Baseline)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 wallet limits (operational liquidity only)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storage for long-term reserves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 control for transfers above thresholds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on treasury addresses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vi53rw5o4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Emergency Powers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 controls (pause/circuit breaker) must be: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documented in Admin &amp; Control Matrix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tested in non-production before mainnet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constrained (who can invoke, what it does, how it is recovered)</w:t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8gjcjuaq6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Evidence Requirements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Signer list and quorum configuration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Timelock configuration and delay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Signing ceremony record and tx hash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of on-chain ownership after execution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