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8bz4w9gwt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L1-SDLC-003 Secure Delivery Baseline for Web3/DeFi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L1-SDLC-003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Approved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[YYYY-MM-DD]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Head of Security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Approved By:</w:t>
      </w:r>
      <w:r w:rsidDel="00000000" w:rsidR="00000000" w:rsidRPr="00000000">
        <w:rPr>
          <w:rtl w:val="0"/>
        </w:rPr>
        <w:t xml:space="preserve"> CEO/Board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Review:</w:t>
      </w:r>
      <w:r w:rsidDel="00000000" w:rsidR="00000000" w:rsidRPr="00000000">
        <w:rPr>
          <w:rtl w:val="0"/>
        </w:rPr>
        <w:t xml:space="preserve"> Annual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ablhcw52l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minimum secure delivery controls required for all Web3/DeFi work, integrating technical, economic, governance, and human-failure risk categories.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hg7ewxzua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to all projects (Track A and Track B), all chains and environments, and all components (smart contracts, off-chain services, infrastructure, CI/CD, operational processes).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9kinyhjuu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Baseline Security Requirements (Non-Negotiable)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wwe7b84iv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Threat Model (4-domain)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threat model must be created and approved covering: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exploits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exploits (MEV, oracle loops, griefing, incentive abuse)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abuse (DAO voting, proposal execution, signer collusion)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failure (key loss, phishing, insider abuse)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115blyv3u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Admin &amp; Control Matrix (Privileged Functions)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documented matrix must define: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privileged actions (pause/upgrade/mint/drain/parameter change)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can propose/approve/execute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multisig quorum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timelock delay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path and its constraints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alerting for privileged actions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0c1ahv9u6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Multisig + Timelock Always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privileged actions must require: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multi-party authorization (</w:t>
      </w:r>
      <w:r w:rsidDel="00000000" w:rsidR="00000000" w:rsidRPr="00000000">
        <w:rPr>
          <w:b w:val="1"/>
          <w:bCs w:val="1"/>
          <w:rtl w:val="0"/>
        </w:rPr>
        <w:t xml:space="preserve">multisig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time-delayed execution (</w:t>
      </w:r>
      <w:r w:rsidDel="00000000" w:rsidR="00000000" w:rsidRPr="00000000">
        <w:rPr>
          <w:b w:val="1"/>
          <w:bCs w:val="1"/>
          <w:rtl w:val="0"/>
        </w:rPr>
        <w:t xml:space="preserve">timelock</w:t>
      </w:r>
      <w:r w:rsidDel="00000000" w:rsidR="00000000" w:rsidRPr="00000000">
        <w:rPr>
          <w:rtl w:val="0"/>
        </w:rPr>
        <w:t xml:space="preserve">)</w:t>
        <w:br w:type="textWrapping"/>
        <w:t xml:space="preserve"> No exceptions unless approved under L1-ERM-001 Tier 3.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qk7bv2pdk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Internal Smart Contract Audit Always (Minimum)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production: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two independent smart-contract reviewers</w:t>
      </w:r>
      <w:r w:rsidDel="00000000" w:rsidR="00000000" w:rsidRPr="00000000">
        <w:rPr>
          <w:rtl w:val="0"/>
        </w:rPr>
        <w:t xml:space="preserve"> must complete internal review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High/Critical issues must be remediated or explicitly accepted by appropriate authority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material change after review requires re-review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mboqmdisu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Test Evidence Standard Required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must meet L3-TEST-204 requirements (coverage targets, privileged function testing, fuzz/invariant evidence where applicable).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vskkr9pxd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Irreversibility Gate Required (Pre-Production)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production/mainnet: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 runbook tested on testnet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two-person integrity for deploy and ownership transfer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on-chain ownership verified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multisig+timelock dry-run executed (e.g., pause/upgrade simulation)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alerting live and tested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comms plan ready (internal/customer/public as applicable)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0vghn7e9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Supply Chain and CI/CD Integrity (Baseline)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Signed or traceable build artifacts where feasible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controls on CI/CD secrets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controls on release pipelines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trail linking audited code to deployed bytecode/artifacts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o3d5mij4e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Lifecycle Integration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requirements map to the 8-stage governance procedure (L2-DEL-101). Releases are blocked if Stage 6/7 gates are not satisfied.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3bw5jxzm0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Exceptions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Exceptions are rare and require: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compensating controls,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time-bounded acceptance,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 per L1-ERM-001.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