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4"/>
          <w:szCs w:val="44"/>
        </w:rPr>
      </w:pPr>
      <w:bookmarkStart w:colFirst="0" w:colLast="0" w:name="_8pgtl43dsg5s" w:id="0"/>
      <w:bookmarkEnd w:id="0"/>
      <w:r w:rsidDel="00000000" w:rsidR="00000000" w:rsidRPr="00000000">
        <w:rPr>
          <w:sz w:val="44"/>
          <w:szCs w:val="44"/>
          <w:rtl w:val="0"/>
        </w:rPr>
        <w:t xml:space="preserve">L2-CHANGE-205: Change Management Procedure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Style w:val="Heading2"/>
        <w:rPr/>
      </w:pPr>
      <w:bookmarkStart w:colFirst="0" w:colLast="0" w:name="_i0l5x2e6zdjx" w:id="1"/>
      <w:bookmarkEnd w:id="1"/>
      <w:r w:rsidDel="00000000" w:rsidR="00000000" w:rsidRPr="00000000">
        <w:rPr>
          <w:rtl w:val="0"/>
        </w:rPr>
        <w:t xml:space="preserve">1. Purpose and Scope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provide a standardized, auditable framework for managing all changes to the production environment and critical systems. This ensures that changes are introduced with minimal disruption to business operations and do not compromise the organization's security posture or compliance requirements.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Scope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procedure applies to all planned changes impacting </w:t>
            </w:r>
            <w:r w:rsidDel="00000000" w:rsidR="00000000" w:rsidRPr="00000000">
              <w:rPr>
                <w:b w:val="1"/>
                <w:bCs w:val="1"/>
                <w:rtl w:val="0"/>
              </w:rPr>
              <w:t xml:space="preserve">Essential Functions</w:t>
            </w:r>
            <w:r w:rsidDel="00000000" w:rsidR="00000000" w:rsidRPr="00000000">
              <w:rPr>
                <w:rtl w:val="0"/>
              </w:rPr>
              <w:t xml:space="preserve">, critical IT systems, security infrastructure, application code (including smart contracts), network configuration, and all related documentation, including BCM and DRP plans (</w:t>
            </w:r>
            <w:r w:rsidDel="00000000" w:rsidR="00000000" w:rsidRPr="00000000">
              <w:rPr>
                <w:b w:val="1"/>
                <w:bCs w:val="1"/>
                <w:rtl w:val="0"/>
              </w:rPr>
              <w:t xml:space="preserve">Change Control Processes</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procedure directly implements the </w:t>
            </w:r>
            <w:r w:rsidDel="00000000" w:rsidR="00000000" w:rsidRPr="00000000">
              <w:rPr>
                <w:b w:val="1"/>
                <w:bCs w:val="1"/>
                <w:rtl w:val="0"/>
              </w:rPr>
              <w:t xml:space="preserve">Change Control Processes</w:t>
            </w:r>
            <w:r w:rsidDel="00000000" w:rsidR="00000000" w:rsidRPr="00000000">
              <w:rPr>
                <w:rtl w:val="0"/>
              </w:rPr>
              <w:t xml:space="preserve"> requirement outlined in the L1-INFRA-009 Infrastructure Security Baseline Standard and supports the </w:t>
            </w:r>
            <w:r w:rsidDel="00000000" w:rsidR="00000000" w:rsidRPr="00000000">
              <w:rPr>
                <w:b w:val="1"/>
                <w:bCs w:val="1"/>
                <w:rtl w:val="0"/>
              </w:rPr>
              <w:t xml:space="preserve">Plan &amp; Prepare</w:t>
            </w:r>
            <w:r w:rsidDel="00000000" w:rsidR="00000000" w:rsidRPr="00000000">
              <w:rPr>
                <w:rtl w:val="0"/>
              </w:rPr>
              <w:t xml:space="preserve"> phase of the Incident Lifecycle.</w:t>
            </w:r>
          </w:p>
        </w:tc>
      </w:tr>
    </w:tbl>
    <w:p w:rsidR="00000000" w:rsidDel="00000000" w:rsidP="00000000" w:rsidRDefault="00000000" w:rsidRPr="00000000" w14:paraId="0000000C">
      <w:pPr>
        <w:pStyle w:val="Heading2"/>
        <w:rPr/>
      </w:pPr>
      <w:bookmarkStart w:colFirst="0" w:colLast="0" w:name="_2blxmmo8trcx" w:id="2"/>
      <w:bookmarkEnd w:id="2"/>
      <w:r w:rsidDel="00000000" w:rsidR="00000000" w:rsidRPr="00000000">
        <w:rPr>
          <w:rtl w:val="0"/>
        </w:rPr>
      </w:r>
    </w:p>
    <w:p w:rsidR="00000000" w:rsidDel="00000000" w:rsidP="00000000" w:rsidRDefault="00000000" w:rsidRPr="00000000" w14:paraId="0000000D">
      <w:pPr>
        <w:pStyle w:val="Heading2"/>
        <w:rPr/>
      </w:pPr>
      <w:bookmarkStart w:colFirst="0" w:colLast="0" w:name="_d0rgd42vjy99" w:id="3"/>
      <w:bookmarkEnd w:id="3"/>
      <w:r w:rsidDel="00000000" w:rsidR="00000000" w:rsidRPr="00000000">
        <w:rPr>
          <w:rtl w:val="0"/>
        </w:rPr>
        <w:t xml:space="preserve">2. Change Categorisation and Risk Assessment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change requests (CRs) must be logged and categorised to determine the level of assessment and approval required.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Assessment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 Change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Pre-approved, low-risk, routine change with an established procedure (e.g., automated patching).</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Review by Manager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Normal Change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Non-emergency change that requires scheduling and formal risk assessment (e.g., application upgrade, network reconfiguration).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Change Advisory Board (CAB)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Emergency Change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to address an immediate security incident, major vulnerability (</w:t>
            </w:r>
            <w:r w:rsidDel="00000000" w:rsidR="00000000" w:rsidRPr="00000000">
              <w:rPr>
                <w:b w:val="1"/>
                <w:bCs w:val="1"/>
                <w:rtl w:val="0"/>
              </w:rPr>
              <w:t xml:space="preserve">L0/L1 Risk</w:t>
            </w:r>
            <w:r w:rsidDel="00000000" w:rsidR="00000000" w:rsidRPr="00000000">
              <w:rPr>
                <w:rtl w:val="0"/>
              </w:rPr>
              <w:t xml:space="preserve">), or system failure to restore service (</w:t>
            </w:r>
            <w:r w:rsidDel="00000000" w:rsidR="00000000" w:rsidRPr="00000000">
              <w:rPr>
                <w:b w:val="1"/>
                <w:bCs w:val="1"/>
                <w:rtl w:val="0"/>
              </w:rPr>
              <w:t xml:space="preserve">MTTR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After-the-Fact Review (Emergency CAB)</w:t>
            </w:r>
          </w:p>
        </w:tc>
      </w:tr>
    </w:tbl>
    <w:p w:rsidR="00000000" w:rsidDel="00000000" w:rsidP="00000000" w:rsidRDefault="00000000" w:rsidRPr="00000000" w14:paraId="0000001C">
      <w:pPr>
        <w:pStyle w:val="Heading2"/>
        <w:rPr/>
      </w:pPr>
      <w:bookmarkStart w:colFirst="0" w:colLast="0" w:name="_tp30mcxmhfd1" w:id="4"/>
      <w:bookmarkEnd w:id="4"/>
      <w:r w:rsidDel="00000000" w:rsidR="00000000" w:rsidRPr="00000000">
        <w:rPr>
          <w:rtl w:val="0"/>
        </w:rPr>
      </w:r>
    </w:p>
    <w:p w:rsidR="00000000" w:rsidDel="00000000" w:rsidP="00000000" w:rsidRDefault="00000000" w:rsidRPr="00000000" w14:paraId="0000001D">
      <w:pPr>
        <w:pStyle w:val="Heading2"/>
        <w:rPr/>
      </w:pPr>
      <w:bookmarkStart w:colFirst="0" w:colLast="0" w:name="_ioswriz9ij4o" w:id="5"/>
      <w:bookmarkEnd w:id="5"/>
      <w:r w:rsidDel="00000000" w:rsidR="00000000" w:rsidRPr="00000000">
        <w:rPr>
          <w:rtl w:val="0"/>
        </w:rPr>
        <w:t xml:space="preserve">3. Change Assessment and Approval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Activity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Risk Analysis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change request owner must perform a mini-</w:t>
            </w:r>
            <w:r w:rsidDel="00000000" w:rsidR="00000000" w:rsidRPr="00000000">
              <w:rPr>
                <w:b w:val="1"/>
                <w:bCs w:val="1"/>
                <w:rtl w:val="0"/>
              </w:rPr>
              <w:t xml:space="preserve">Risk Assessment</w:t>
            </w:r>
            <w:r w:rsidDel="00000000" w:rsidR="00000000" w:rsidRPr="00000000">
              <w:rPr>
                <w:rtl w:val="0"/>
              </w:rPr>
              <w:t xml:space="preserve"> to identify the potential impact on: 1) The confidentiality, integrity, and availability (CIA) of the system. 2) The system's RTO (</w:t>
            </w:r>
            <w:r w:rsidDel="00000000" w:rsidR="00000000" w:rsidRPr="00000000">
              <w:rPr>
                <w:b w:val="1"/>
                <w:bCs w:val="1"/>
                <w:rtl w:val="0"/>
              </w:rPr>
              <w:t xml:space="preserve">Recovery Time Objective</w:t>
            </w:r>
            <w:r w:rsidDel="00000000" w:rsidR="00000000" w:rsidRPr="00000000">
              <w:rPr>
                <w:rtl w:val="0"/>
              </w:rPr>
              <w:t xml:space="preserve">) and RPO. 3) Any potential violation of </w:t>
            </w:r>
            <w:r w:rsidDel="00000000" w:rsidR="00000000" w:rsidRPr="00000000">
              <w:rPr>
                <w:b w:val="1"/>
                <w:bCs w:val="1"/>
                <w:rtl w:val="0"/>
              </w:rPr>
              <w:t xml:space="preserve">Legal and Regulatory Compliance</w:t>
            </w:r>
            <w:r w:rsidDel="00000000" w:rsidR="00000000" w:rsidRPr="00000000">
              <w:rPr>
                <w:rtl w:val="0"/>
              </w:rPr>
              <w:t xml:space="preserve"> (e.g., data handling changes).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Owner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Conflict Check</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the change does not conflict with scheduled </w:t>
            </w:r>
            <w:r w:rsidDel="00000000" w:rsidR="00000000" w:rsidRPr="00000000">
              <w:rPr>
                <w:b w:val="1"/>
                <w:bCs w:val="1"/>
                <w:rtl w:val="0"/>
              </w:rPr>
              <w:t xml:space="preserve">Business Continuity Tests/Exercises</w:t>
            </w:r>
            <w:r w:rsidDel="00000000" w:rsidR="00000000" w:rsidRPr="00000000">
              <w:rPr>
                <w:rtl w:val="0"/>
              </w:rPr>
              <w:t xml:space="preserve"> or known organizational change freezes.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Owner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Review</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Security Governance Team must review all changes to critical systems, ensuring they do not introduce new </w:t>
            </w:r>
            <w:r w:rsidDel="00000000" w:rsidR="00000000" w:rsidRPr="00000000">
              <w:rPr>
                <w:b w:val="1"/>
                <w:bCs w:val="1"/>
                <w:rtl w:val="0"/>
              </w:rPr>
              <w:t xml:space="preserve">Vulnerabilities</w:t>
            </w:r>
            <w:r w:rsidDel="00000000" w:rsidR="00000000" w:rsidRPr="00000000">
              <w:rPr>
                <w:rtl w:val="0"/>
              </w:rPr>
              <w:t xml:space="preserve"> or violate the </w:t>
            </w:r>
            <w:r w:rsidDel="00000000" w:rsidR="00000000" w:rsidRPr="00000000">
              <w:rPr>
                <w:b w:val="1"/>
                <w:bCs w:val="1"/>
                <w:rtl w:val="0"/>
              </w:rPr>
              <w:t xml:space="preserve">Principle of Least Privilege</w:t>
            </w:r>
            <w:r w:rsidDel="00000000" w:rsidR="00000000" w:rsidRPr="00000000">
              <w:rPr>
                <w:rtl w:val="0"/>
              </w:rPr>
              <w:t xml:space="preserve">. Changes for vulnerability remediation must be clearly linked to an ID from the </w:t>
            </w:r>
            <w:r w:rsidDel="00000000" w:rsidR="00000000" w:rsidRPr="00000000">
              <w:rPr>
                <w:b w:val="1"/>
                <w:bCs w:val="1"/>
                <w:rtl w:val="0"/>
              </w:rPr>
              <w:t xml:space="preserve">Vulnerability Tracking System</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Team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Approval</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Change Advisory Board (CAB) must formally approve the change. </w:t>
            </w:r>
            <w:r w:rsidDel="00000000" w:rsidR="00000000" w:rsidRPr="00000000">
              <w:rPr>
                <w:b w:val="1"/>
                <w:bCs w:val="1"/>
                <w:rtl w:val="0"/>
              </w:rPr>
              <w:t xml:space="preserve">Emergency Changes</w:t>
            </w:r>
            <w:r w:rsidDel="00000000" w:rsidR="00000000" w:rsidRPr="00000000">
              <w:rPr>
                <w:rtl w:val="0"/>
              </w:rPr>
              <w:t xml:space="preserve"> are logged, implemented immediately, and approved by the CAB within one business day during the PIR process.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CAB/CISO</w:t>
            </w:r>
          </w:p>
        </w:tc>
      </w:tr>
    </w:tbl>
    <w:p w:rsidR="00000000" w:rsidDel="00000000" w:rsidP="00000000" w:rsidRDefault="00000000" w:rsidRPr="00000000" w14:paraId="0000002D">
      <w:pPr>
        <w:pStyle w:val="Heading2"/>
        <w:ind w:left="600" w:firstLine="0"/>
        <w:rPr/>
      </w:pPr>
      <w:bookmarkStart w:colFirst="0" w:colLast="0" w:name="_x77p17c8vxx9" w:id="6"/>
      <w:bookmarkEnd w:id="6"/>
      <w:r w:rsidDel="00000000" w:rsidR="00000000" w:rsidRPr="00000000">
        <w:rPr>
          <w:rtl w:val="0"/>
        </w:rPr>
      </w:r>
    </w:p>
    <w:p w:rsidR="00000000" w:rsidDel="00000000" w:rsidP="00000000" w:rsidRDefault="00000000" w:rsidRPr="00000000" w14:paraId="0000002E">
      <w:pPr>
        <w:pStyle w:val="Heading2"/>
        <w:ind w:left="0" w:firstLine="0"/>
        <w:rPr/>
      </w:pPr>
      <w:bookmarkStart w:colFirst="0" w:colLast="0" w:name="_mmjc9m56s25p" w:id="7"/>
      <w:bookmarkEnd w:id="7"/>
      <w:r w:rsidDel="00000000" w:rsidR="00000000" w:rsidRPr="00000000">
        <w:rPr>
          <w:rtl w:val="0"/>
        </w:rPr>
        <w:t xml:space="preserve">4. Change Implementation and Testing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Testing Requirement:</w:t>
      </w:r>
      <w:r w:rsidDel="00000000" w:rsidR="00000000" w:rsidRPr="00000000">
        <w:rPr>
          <w:rtl w:val="0"/>
        </w:rPr>
        <w:t xml:space="preserve"> All Normal and Emergency Changes must undergo formal testing prior to deployment to production. This includes:</w:t>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Functional Testing</w:t>
      </w:r>
      <w:r w:rsidDel="00000000" w:rsidR="00000000" w:rsidRPr="00000000">
        <w:rPr>
          <w:rtl w:val="0"/>
        </w:rPr>
        <w:t xml:space="preserve"> to confirm the change meets its objective.</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Regression Testing</w:t>
      </w:r>
      <w:r w:rsidDel="00000000" w:rsidR="00000000" w:rsidRPr="00000000">
        <w:rPr>
          <w:rtl w:val="0"/>
        </w:rPr>
        <w:t xml:space="preserve"> to ensure no new defects or unintended side effects were introduced.</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Security Validation:</w:t>
      </w:r>
      <w:r w:rsidDel="00000000" w:rsidR="00000000" w:rsidRPr="00000000">
        <w:rPr>
          <w:rtl w:val="0"/>
        </w:rPr>
        <w:t xml:space="preserve"> All changes related to vulnerability remediation must be re-tested to verify the fix and prevent the introduction of new vulnerabilities (</w:t>
      </w:r>
      <w:r w:rsidDel="00000000" w:rsidR="00000000" w:rsidRPr="00000000">
        <w:rPr>
          <w:b w:val="1"/>
          <w:bCs w:val="1"/>
          <w:rtl w:val="0"/>
        </w:rPr>
        <w:t xml:space="preserve">Validation of Fixes</w:t>
      </w:r>
      <w:r w:rsidDel="00000000" w:rsidR="00000000" w:rsidRPr="00000000">
        <w:rPr>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Backout Plan:</w:t>
      </w:r>
      <w:r w:rsidDel="00000000" w:rsidR="00000000" w:rsidRPr="00000000">
        <w:rPr>
          <w:rtl w:val="0"/>
        </w:rPr>
        <w:t xml:space="preserve"> A documented, tested, and approved backout plan must be prepared for every Normal and Emergency Change to ensure services can be recovered and restored within the designated RTO should the change fail.</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w:t>
      </w:r>
      <w:r w:rsidDel="00000000" w:rsidR="00000000" w:rsidRPr="00000000">
        <w:rPr>
          <w:rtl w:val="0"/>
        </w:rPr>
        <w:t xml:space="preserve"> All stakeholders (including the Incident Manager and affected </w:t>
      </w:r>
      <w:r w:rsidDel="00000000" w:rsidR="00000000" w:rsidRPr="00000000">
        <w:rPr>
          <w:b w:val="1"/>
          <w:bCs w:val="1"/>
          <w:rtl w:val="0"/>
        </w:rPr>
        <w:t xml:space="preserve">Business Unit Representatives</w:t>
      </w:r>
      <w:r w:rsidDel="00000000" w:rsidR="00000000" w:rsidRPr="00000000">
        <w:rPr>
          <w:rtl w:val="0"/>
        </w:rPr>
        <w:t xml:space="preserve">) must be informed of the change window, expected downtime, and successful deployment/backout.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5. Post-Implementation Review (PIR) and Closure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w:t>
      </w:r>
      <w:r w:rsidDel="00000000" w:rsidR="00000000" w:rsidRPr="00000000">
        <w:rPr>
          <w:rtl w:val="0"/>
        </w:rPr>
        <w:t xml:space="preserve"> After the change is implemented, the Change Owner must confirm that the system is operating normally and that the change has met its intended objective.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 Update:</w:t>
      </w:r>
      <w:r w:rsidDel="00000000" w:rsidR="00000000" w:rsidRPr="00000000">
        <w:rPr>
          <w:rtl w:val="0"/>
        </w:rPr>
        <w:t xml:space="preserve"> All impacted technical and procedural documentation (e.g., BCPs, operational runbooks, configuration guides) must be updated as a result of the change. This is critical for maintaining accurate </w:t>
      </w:r>
      <w:r w:rsidDel="00000000" w:rsidR="00000000" w:rsidRPr="00000000">
        <w:rPr>
          <w:b w:val="1"/>
          <w:bCs w:val="1"/>
          <w:rtl w:val="0"/>
        </w:rPr>
        <w:t xml:space="preserve">Plan and Prepare</w:t>
      </w:r>
      <w:r w:rsidDel="00000000" w:rsidR="00000000" w:rsidRPr="00000000">
        <w:rPr>
          <w:rtl w:val="0"/>
        </w:rPr>
        <w:t xml:space="preserve"> artifacts.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Change Closure:</w:t>
      </w:r>
      <w:r w:rsidDel="00000000" w:rsidR="00000000" w:rsidRPr="00000000">
        <w:rPr>
          <w:rtl w:val="0"/>
        </w:rPr>
        <w:t xml:space="preserve"> The CR is formally closed only after successful implementation, testing, documentation updates, and sign-off.</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L1-ENG-002 Client Rating + Commercial Guardrails Standard</w:t>
        </w:r>
      </w:hyperlink>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Security assessment bundle</w:t>
        </w:r>
      </w:hyperlink>
      <w:r w:rsidDel="00000000" w:rsidR="00000000" w:rsidRPr="00000000">
        <w:rPr>
          <w:rtl w:val="0"/>
        </w:rPr>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Tier 0 Protofire-wide</w:t>
        </w:r>
      </w:hyperlink>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Secure development best practices</w:t>
        </w:r>
      </w:hyperlink>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DAO-Governed Platforms Privacy Policy Template</w:t>
        </w:r>
      </w:hyperlink>
      <w:r w:rsidDel="00000000" w:rsidR="00000000" w:rsidRPr="00000000">
        <w:rPr>
          <w:rtl w:val="0"/>
        </w:rPr>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DevOps – Operating Policy</w:t>
        </w:r>
      </w:hyperlink>
      <w:r w:rsidDel="00000000" w:rsidR="00000000" w:rsidRPr="00000000">
        <w:rPr>
          <w:rtl w:val="0"/>
        </w:rPr>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Business Continuty</w:t>
        </w:r>
      </w:hyperlink>
      <w:r w:rsidDel="00000000" w:rsidR="00000000" w:rsidRPr="00000000">
        <w:rPr>
          <w:rtl w:val="0"/>
        </w:rPr>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L1-EVID-004 Evidence &amp; Recordkeeping Standard</w:t>
        </w:r>
      </w:hyperlink>
      <w:r w:rsidDel="00000000" w:rsidR="00000000" w:rsidRPr="00000000">
        <w:rPr>
          <w:rtl w:val="0"/>
        </w:rPr>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L2-DEL-101 8-Stage Delivery Governance Procedure (Track A/B)</w:t>
        </w:r>
      </w:hyperlink>
      <w:r w:rsidDel="00000000" w:rsidR="00000000" w:rsidRPr="00000000">
        <w:rPr>
          <w:rtl w:val="0"/>
        </w:rPr>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L2-RISK-102 Delivery Risk Operations Procedure</w:t>
        </w:r>
      </w:hyperlink>
      <w:r w:rsidDel="00000000" w:rsidR="00000000" w:rsidRPr="00000000">
        <w:rPr>
          <w:rtl w:val="0"/>
        </w:rPr>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Checklists</w:t>
        </w:r>
      </w:hyperlink>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color w:val="0000ee"/>
            <w:u w:val="single"/>
            <w:rtl w:val="0"/>
          </w:rPr>
          <w:t xml:space="preserve">DApp_DeFi_RACI_Matrix</w:t>
        </w:r>
      </w:hyperlink>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L1-SDLC-003 Secure Delivery Baseline for Web3/DeFi</w:t>
        </w:r>
      </w:hyperlink>
      <w:r w:rsidDel="00000000" w:rsidR="00000000" w:rsidRPr="00000000">
        <w:rPr>
          <w:rtl w:val="0"/>
        </w:rPr>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L2-ASSURE-103 External Assurance Procedure (Audit/Bug Bounty)</w:t>
        </w:r>
      </w:hyperlink>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color w:val="0000ee"/>
            <w:u w:val="single"/>
            <w:rtl w:val="0"/>
          </w:rPr>
          <w:t xml:space="preserve">ACSC Cyber Incident Response Plan Template.pdf</w:t>
        </w:r>
      </w:hyperlink>
      <w:r w:rsidDel="00000000" w:rsidR="00000000" w:rsidRPr="00000000">
        <w:rPr>
          <w:rtl w:val="0"/>
        </w:rPr>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pPr>
      <w:hyperlink r:id="rId21">
        <w:r w:rsidDel="00000000" w:rsidR="00000000" w:rsidRPr="00000000">
          <w:rPr>
            <w:color w:val="0000ee"/>
            <w:u w:val="single"/>
            <w:rtl w:val="0"/>
          </w:rPr>
          <w:t xml:space="preserve">Templates</w:t>
        </w:r>
      </w:hyperlink>
      <w:r w:rsidDel="00000000" w:rsidR="00000000" w:rsidRPr="00000000">
        <w:rPr>
          <w:rtl w:val="0"/>
        </w:rPr>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pPr>
      <w:hyperlink r:id="rId22">
        <w:r w:rsidDel="00000000" w:rsidR="00000000" w:rsidRPr="00000000">
          <w:rPr>
            <w:color w:val="0000ee"/>
            <w:u w:val="single"/>
            <w:rtl w:val="0"/>
          </w:rPr>
          <w:t xml:space="preserve">_Information Security Management Plan (light)</w:t>
        </w:r>
      </w:hyperlink>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Protofire Information Security Management System</w:t>
        </w:r>
      </w:hyperlink>
      <w:r w:rsidDel="00000000" w:rsidR="00000000" w:rsidRPr="00000000">
        <w:rPr>
          <w:rtl w:val="0"/>
        </w:rPr>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Post_Incident_Review_Form</w:t>
        </w:r>
      </w:hyperlink>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color w:val="0000ee"/>
            <w:u w:val="single"/>
            <w:rtl w:val="0"/>
          </w:rPr>
          <w:t xml:space="preserve">Information Security Incident Management Policy</w:t>
        </w:r>
      </w:hyperlink>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Protofire Technical Expertise and Project Engagement</w:t>
        </w:r>
      </w:hyperlink>
      <w:r w:rsidDel="00000000" w:rsidR="00000000" w:rsidRPr="00000000">
        <w:rPr>
          <w:rtl w:val="0"/>
        </w:rPr>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L1-ERM-001 Enterprise Risk Governance &amp; Acceptance Authority Standard (Web3)</w:t>
        </w:r>
      </w:hyperlink>
      <w:r w:rsidDel="00000000" w:rsidR="00000000" w:rsidRPr="00000000">
        <w:rPr>
          <w:rtl w:val="0"/>
        </w:rPr>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color w:val="0000ee"/>
            <w:u w:val="single"/>
            <w:rtl w:val="0"/>
          </w:rPr>
          <w:t xml:space="preserve">Incident_Registry_Template</w:t>
        </w:r>
      </w:hyperlink>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color w:val="0000ee"/>
            <w:u w:val="single"/>
            <w:rtl w:val="0"/>
          </w:rPr>
          <w:t xml:space="preserve">L1-KEY-005 Key/Treasury &amp; Signing Ceremonies Standard</w:t>
        </w:r>
      </w:hyperlink>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color w:val="0000ee"/>
            <w:u w:val="single"/>
            <w:rtl w:val="0"/>
          </w:rPr>
          <w:t xml:space="preserve">Risk Register Draft</w:t>
        </w:r>
      </w:hyperlink>
      <w:r w:rsidDel="00000000" w:rsidR="00000000" w:rsidRPr="00000000">
        <w:rPr>
          <w:rtl w:val="0"/>
        </w:rPr>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color w:val="0000ee"/>
            <w:u w:val="single"/>
            <w:rtl w:val="0"/>
          </w:rPr>
          <w:t xml:space="preserve">Audit</w:t>
        </w:r>
      </w:hyperlink>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hyperlink r:id="rId32">
        <w:r w:rsidDel="00000000" w:rsidR="00000000" w:rsidRPr="00000000">
          <w:rPr>
            <w:color w:val="0000ee"/>
            <w:u w:val="single"/>
            <w:rtl w:val="0"/>
          </w:rPr>
          <w:t xml:space="preserve">Internal Security Policy</w:t>
        </w:r>
      </w:hyperlink>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hyperlink r:id="rId33">
        <w:r w:rsidDel="00000000" w:rsidR="00000000" w:rsidRPr="00000000">
          <w:rPr>
            <w:color w:val="0000ee"/>
            <w:u w:val="single"/>
            <w:rtl w:val="0"/>
          </w:rPr>
          <w:t xml:space="preserve">Projects</w:t>
        </w:r>
      </w:hyperlink>
      <w:r w:rsidDel="00000000" w:rsidR="00000000" w:rsidRPr="00000000">
        <w:rPr>
          <w:rtl w:val="0"/>
        </w:rPr>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color w:val="0000ee"/>
            <w:u w:val="single"/>
            <w:rtl w:val="0"/>
          </w:rPr>
          <w:t xml:space="preserve">Risk Management</w:t>
        </w:r>
      </w:hyperlink>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hyperlink r:id="rId35">
        <w:r w:rsidDel="00000000" w:rsidR="00000000" w:rsidRPr="00000000">
          <w:rPr>
            <w:color w:val="0000ee"/>
            <w:u w:val="single"/>
            <w:rtl w:val="0"/>
          </w:rPr>
          <w:t xml:space="preserve">DeFi_Playbooks.docx</w:t>
        </w:r>
      </w:hyperlink>
      <w:r w:rsidDel="00000000" w:rsidR="00000000" w:rsidRPr="00000000">
        <w:rPr>
          <w:rtl w:val="0"/>
        </w:rPr>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hyperlink r:id="rId36">
        <w:r w:rsidDel="00000000" w:rsidR="00000000" w:rsidRPr="00000000">
          <w:rPr>
            <w:color w:val="0000ee"/>
            <w:u w:val="single"/>
            <w:rtl w:val="0"/>
          </w:rPr>
          <w:t xml:space="preserve">Incident 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i_7tWAYeVJuWJSIDxxbI8r87AGbRQZaF" TargetMode="External"/><Relationship Id="rId22" Type="http://schemas.openxmlformats.org/officeDocument/2006/relationships/hyperlink" Target="https://docs.google.com/document/d/1imM-PmIZWg5So9YyjeQP1Mw2BOr513dIJr-Yd8O5GCY/edit" TargetMode="External"/><Relationship Id="rId21" Type="http://schemas.openxmlformats.org/officeDocument/2006/relationships/hyperlink" Target="https://drive.google.com/open?id=1zMVZmcxAGbiiblXLDHW8-rIAiDwRWR40" TargetMode="External"/><Relationship Id="rId24" Type="http://schemas.openxmlformats.org/officeDocument/2006/relationships/hyperlink" Target="https://docs.google.com/document/d/10-Va2hqQquxvCdz6xhdspxsXbzQJp16HVY3CVckyhbQ/edit" TargetMode="External"/><Relationship Id="rId23" Type="http://schemas.openxmlformats.org/officeDocument/2006/relationships/hyperlink" Target="https://docs.google.com/document/d/1-O0stWtYcvv1eE23dNBLGDthFV1S_fsAcAspK8m2Rp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ZixBVEd-rUkjkQ8rEIWyLqzsLHhL-Yja3P6NoupCIA/edit" TargetMode="External"/><Relationship Id="rId26" Type="http://schemas.openxmlformats.org/officeDocument/2006/relationships/hyperlink" Target="https://docs.google.com/document/d/1-t66NqemvEMP2tVSpHGenrQKjcEDAaNqBtQljrCLC0k/edit" TargetMode="External"/><Relationship Id="rId25" Type="http://schemas.openxmlformats.org/officeDocument/2006/relationships/hyperlink" Target="https://docs.google.com/document/d/1BgEG89SzvUs4EfvIiWZgosGPS1q7U761f5iLXJfK0IE/edit" TargetMode="External"/><Relationship Id="rId28" Type="http://schemas.openxmlformats.org/officeDocument/2006/relationships/hyperlink" Target="https://docs.google.com/spreadsheets/d/18r9ppUu023fm34SIbssnVmLMM_vDQYWPK_QABcieL3M/edit#gid=2135234149" TargetMode="External"/><Relationship Id="rId27" Type="http://schemas.openxmlformats.org/officeDocument/2006/relationships/hyperlink" Target="https://docs.google.com/document/d/1lRX-rsbCD2zAB-WOo-EEBtmBumu_NxvOe9bxgCRWGZU/edit" TargetMode="External"/><Relationship Id="rId5" Type="http://schemas.openxmlformats.org/officeDocument/2006/relationships/styles" Target="styles.xml"/><Relationship Id="rId6" Type="http://schemas.openxmlformats.org/officeDocument/2006/relationships/hyperlink" Target="https://docs.google.com/document/d/1m8v5eAnN5sgXCnU2cl9XGOxXXjhJmbQ8gfyRc6jt8S4/edit" TargetMode="External"/><Relationship Id="rId29" Type="http://schemas.openxmlformats.org/officeDocument/2006/relationships/hyperlink" Target="https://docs.google.com/document/d/12RhRQ_5exoR2KEx8YRuAL8vhMFt8wjuMpBqPWhBh304/edit" TargetMode="External"/><Relationship Id="rId7" Type="http://schemas.openxmlformats.org/officeDocument/2006/relationships/hyperlink" Target="https://drive.google.com/open?id=1lER4VjUYn0151VAxo6lp5ZFH3yM2CUIw" TargetMode="External"/><Relationship Id="rId8" Type="http://schemas.openxmlformats.org/officeDocument/2006/relationships/hyperlink" Target="https://drive.google.com/open?id=12cKjMgsNv-neRN2Dk31srvLSXOLMd9d9" TargetMode="External"/><Relationship Id="rId31" Type="http://schemas.openxmlformats.org/officeDocument/2006/relationships/hyperlink" Target="https://drive.google.com/open?id=1GZjohvIJF9Xo336SG1-_V4bN22gEo4hN" TargetMode="External"/><Relationship Id="rId30" Type="http://schemas.openxmlformats.org/officeDocument/2006/relationships/hyperlink" Target="https://docs.google.com/spreadsheets/d/1lJx8L0-BmXx_l-fn81G3zW4bZ2IcuqDoeK5-40zoLVA/edit#gid=810049527" TargetMode="External"/><Relationship Id="rId11" Type="http://schemas.openxmlformats.org/officeDocument/2006/relationships/hyperlink" Target="https://docs.google.com/document/d/1BjeIAxZrzo97sYGeWxINo_UEwm-_blVMugXyelEfg3w/edit" TargetMode="External"/><Relationship Id="rId33" Type="http://schemas.openxmlformats.org/officeDocument/2006/relationships/hyperlink" Target="https://drive.google.com/open?id=1NODFXl9iGdxxRkgdanyHp5oNYSz51ozF" TargetMode="External"/><Relationship Id="rId10" Type="http://schemas.openxmlformats.org/officeDocument/2006/relationships/hyperlink" Target="https://docs.google.com/document/d/1ijBuViIvaX8qrOb_vzHLpXAKEHTpAZTlrVkBtad5GUY/edit" TargetMode="External"/><Relationship Id="rId32" Type="http://schemas.openxmlformats.org/officeDocument/2006/relationships/hyperlink" Target="https://docs.google.com/document/d/1M8rxOMLeTk9g9rA8-xkuWpA_mGr8z5CdSAa6DDbtQIU/edit" TargetMode="External"/><Relationship Id="rId13" Type="http://schemas.openxmlformats.org/officeDocument/2006/relationships/hyperlink" Target="https://docs.google.com/document/d/1v6sDeegOY7Sov18Oceq4a1G182tBfjGo3LWoy6ZmBrQ/edit" TargetMode="External"/><Relationship Id="rId35" Type="http://schemas.openxmlformats.org/officeDocument/2006/relationships/hyperlink" Target="https://drive.google.com/open?id=1BaD895cBwuFuORDZTqpAra0dz2Pg29KR" TargetMode="External"/><Relationship Id="rId12" Type="http://schemas.openxmlformats.org/officeDocument/2006/relationships/hyperlink" Target="https://drive.google.com/open?id=1BltDF4ZcNCQVms6KAduB2yDLE1k4xpAN" TargetMode="External"/><Relationship Id="rId34" Type="http://schemas.openxmlformats.org/officeDocument/2006/relationships/hyperlink" Target="https://drive.google.com/open?id=11fK_tZpaC_ke6q7PvjJNuHcoHSk2PtGJ" TargetMode="External"/><Relationship Id="rId15" Type="http://schemas.openxmlformats.org/officeDocument/2006/relationships/hyperlink" Target="https://docs.google.com/document/d/1pfzXkuG3W113tissY61xQ6-FiHPVhjIFdy2Ohq0ZnGY/edit" TargetMode="External"/><Relationship Id="rId14" Type="http://schemas.openxmlformats.org/officeDocument/2006/relationships/hyperlink" Target="https://docs.google.com/document/d/1aIHFceBA6GGeuAZcrvk3-jGMqldU203ZfmR3QJ1CJyU/edit" TargetMode="External"/><Relationship Id="rId36" Type="http://schemas.openxmlformats.org/officeDocument/2006/relationships/hyperlink" Target="https://drive.google.com/open?id=1tXzB78hEf2qmRGqa0MHWxW7utxGIXD8b" TargetMode="External"/><Relationship Id="rId17" Type="http://schemas.openxmlformats.org/officeDocument/2006/relationships/hyperlink" Target="https://docs.google.com/spreadsheets/d/1R4CKMfZvDReEsRdEVeIKvEkLn1CHiQWBU1AopoeFyL8/edit#gid=271363128" TargetMode="External"/><Relationship Id="rId16" Type="http://schemas.openxmlformats.org/officeDocument/2006/relationships/hyperlink" Target="https://drive.google.com/open?id=1esuIcHouH-yklXpu0KuMg-a61RbIeH1H" TargetMode="External"/><Relationship Id="rId19" Type="http://schemas.openxmlformats.org/officeDocument/2006/relationships/hyperlink" Target="https://docs.google.com/document/d/1ZnekWjKySatPG3xjbReROy074eHKhqseTM4JCGFXReQ/edit" TargetMode="External"/><Relationship Id="rId18" Type="http://schemas.openxmlformats.org/officeDocument/2006/relationships/hyperlink" Target="https://docs.google.com/document/d/11Ik_xJckVDb6vNA7M3YB7Dbt44h4V7vC7zPCuJ7NNv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