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1b3a5c"/>
          <w:sz w:val="52"/>
          <w:szCs w:val="52"/>
          <w:rtl w:val="0"/>
        </w:rPr>
        <w:t xml:space="preserve">PROJECT RISK SCORING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color w:val="0d7377"/>
          <w:sz w:val="28"/>
          <w:szCs w:val="28"/>
          <w:rtl w:val="0"/>
        </w:rPr>
        <w:t xml:space="preserve">Client · Business · Project Risk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color w:val="0d7377"/>
          <w:sz w:val="24"/>
          <w:szCs w:val="24"/>
          <w:rtl w:val="0"/>
        </w:rPr>
        <w:t xml:space="preserve">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center"/>
        <w:rPr/>
      </w:pPr>
      <w:r w:rsidDel="00000000" w:rsidR="00000000" w:rsidRPr="00000000">
        <w:rPr>
          <w:color w:val="555555"/>
          <w:rtl w:val="0"/>
        </w:rPr>
        <w:t xml:space="preserve">Document ID: L1-ERM-001 (Scoring Annex 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center"/>
        <w:rPr/>
      </w:pPr>
      <w:r w:rsidDel="00000000" w:rsidR="00000000" w:rsidRPr="00000000">
        <w:rPr>
          <w:color w:val="555555"/>
          <w:rtl w:val="0"/>
        </w:rPr>
        <w:t xml:space="preserve">Version: 1.0   |   Classification: Confidential — Internal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center"/>
        <w:rPr/>
      </w:pPr>
      <w:r w:rsidDel="00000000" w:rsidR="00000000" w:rsidRPr="00000000">
        <w:rPr>
          <w:color w:val="555555"/>
          <w:rtl w:val="0"/>
        </w:rPr>
        <w:t xml:space="preserve">Owner: GRC Committee   |   Approved by: Node Owners Council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jc w:val="center"/>
        <w:rPr/>
      </w:pPr>
      <w:r w:rsidDel="00000000" w:rsidR="00000000" w:rsidRPr="00000000">
        <w:rPr>
          <w:color w:val="555555"/>
          <w:rtl w:val="0"/>
        </w:rPr>
        <w:t xml:space="preserve">Review cycle: Quarterly + Annual methodology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b w:val="1"/>
          <w:bCs w:val="1"/>
          <w:color w:val="0d7377"/>
          <w:sz w:val="40"/>
          <w:szCs w:val="40"/>
          <w:rtl w:val="0"/>
        </w:rPr>
        <w:t xml:space="preserve">PROTOFIRE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jc w:val="center"/>
        <w:rPr/>
      </w:pPr>
      <w:r w:rsidDel="00000000" w:rsidR="00000000" w:rsidRPr="00000000">
        <w:rPr>
          <w:color w:val="0d7377"/>
          <w:rtl w:val="0"/>
        </w:rPr>
        <w:t xml:space="preserve">Web3 Development &amp;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0d7377" w:space="4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b3a5c"/>
          <w:sz w:val="30"/>
          <w:szCs w:val="30"/>
          <w:rtl w:val="0"/>
        </w:rPr>
        <w:t xml:space="preserve">0. Purpose &amp;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This framework operationalises Protofire's Enterprise Risk Governance Standard (L1-ERM-001). It provides a repeatable, auditable methodology for scoring risk on new project engagements before MSA signature and for monitoring risk throughout the project lifecycle.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The framework addresses three distinct risk pillars that must be scored independently and together: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Pillar C — Client Risk: concentration, jurisdiction, entity credibility, and deal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Pillar B — Business Risk: payment discipline, contractual protections, revenue diversification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Pillar P — Project Risk: technical delivery, smart contract value exposure, legal liability,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Rule="auto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Scores are assigned pre-MSA by the BD Lead and Node Owner, reviewed by GRC for Red/Critical engagements, and updated periodically throughout the engagement lifecycle. All scores must be recorded in the ClickUp Risk Register.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0d7377" w:space="4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b3a5c"/>
          <w:sz w:val="30"/>
          <w:szCs w:val="30"/>
          <w:rtl w:val="0"/>
        </w:rPr>
        <w:t xml:space="preserve">1. Scoring Model — Three Pillars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0d7377"/>
          <w:sz w:val="24"/>
          <w:szCs w:val="24"/>
          <w:rtl w:val="0"/>
        </w:rPr>
        <w:t xml:space="preserve">Pillar C: Client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Client risk assesses the hazard that a client relationship poses to Protofire's financial health, legal standing, and reputational integrity. Deal size is a proxy for concentration risk, not the risk itself — a $1M client at 5% of revenue is safer than a $100k client representing 70% of a node's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0"/>
        <w:gridCol w:w="1215"/>
        <w:gridCol w:w="1590"/>
        <w:gridCol w:w="2175"/>
        <w:gridCol w:w="2790"/>
        <w:tblGridChange w:id="0">
          <w:tblGrid>
            <w:gridCol w:w="2310"/>
            <w:gridCol w:w="1215"/>
            <w:gridCol w:w="1590"/>
            <w:gridCol w:w="2175"/>
            <w:gridCol w:w="27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1 —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2 —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3 —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4 — 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C1 — Deal Size (Contract Value)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1a7a4a"/>
                <w:sz w:val="18"/>
                <w:szCs w:val="18"/>
                <w:rtl w:val="0"/>
              </w:rPr>
              <w:t xml:space="preserve">&lt; $10,000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b8670a"/>
                <w:sz w:val="18"/>
                <w:szCs w:val="18"/>
                <w:rtl w:val="0"/>
              </w:rPr>
              <w:t xml:space="preserve">$10k – $100k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b82020"/>
                <w:sz w:val="18"/>
                <w:szCs w:val="18"/>
                <w:rtl w:val="0"/>
              </w:rPr>
              <w:t xml:space="preserve">$100k – $500k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7b0000"/>
                <w:sz w:val="18"/>
                <w:szCs w:val="18"/>
                <w:rtl w:val="0"/>
              </w:rPr>
              <w:t xml:space="preserve">&gt; $500k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C2 — Portfolio Concentration (% of Node Revenue)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1a7a4a"/>
                <w:sz w:val="18"/>
                <w:szCs w:val="18"/>
                <w:rtl w:val="0"/>
              </w:rPr>
              <w:t xml:space="preserve">&lt; 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b8670a"/>
                <w:sz w:val="18"/>
                <w:szCs w:val="18"/>
                <w:rtl w:val="0"/>
              </w:rPr>
              <w:t xml:space="preserve">10% – 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b82020"/>
                <w:sz w:val="18"/>
                <w:szCs w:val="18"/>
                <w:rtl w:val="0"/>
              </w:rPr>
              <w:t xml:space="preserve">25% – 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7b0000"/>
                <w:sz w:val="18"/>
                <w:szCs w:val="18"/>
                <w:rtl w:val="0"/>
              </w:rPr>
              <w:t xml:space="preserve">&gt; 50% 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C3 — Client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1a7a4a"/>
                <w:sz w:val="18"/>
                <w:szCs w:val="18"/>
                <w:rtl w:val="0"/>
              </w:rPr>
              <w:t xml:space="preserve">Crypto-friendly (US, EU, UAE, SG)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b8670a"/>
                <w:sz w:val="18"/>
                <w:szCs w:val="18"/>
                <w:rtl w:val="0"/>
              </w:rPr>
              <w:t xml:space="preserve">Neutral/unclear regulatory 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b82020"/>
                <w:sz w:val="18"/>
                <w:szCs w:val="18"/>
                <w:rtl w:val="0"/>
              </w:rPr>
              <w:t xml:space="preserve">Restricted / high-scrutiny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0000"/>
                <w:sz w:val="18"/>
                <w:szCs w:val="18"/>
                <w:rtl w:val="0"/>
              </w:rPr>
              <w:t xml:space="preserve">OFAC / sanctioned → Hard Stop 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C4 — Client Type / Track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color w:val="1a7a4a"/>
                <w:sz w:val="18"/>
                <w:szCs w:val="18"/>
                <w:rtl w:val="0"/>
              </w:rPr>
              <w:t xml:space="preserve">Established protocol, verifiable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b8670a"/>
                <w:sz w:val="18"/>
                <w:szCs w:val="18"/>
                <w:rtl w:val="0"/>
              </w:rPr>
              <w:t xml:space="preserve">Known DAO / funded startup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b82020"/>
                <w:sz w:val="18"/>
                <w:szCs w:val="18"/>
                <w:rtl w:val="0"/>
              </w:rPr>
              <w:t xml:space="preserve">Anonymous / pseudonymous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color w:val="7b0000"/>
                <w:sz w:val="18"/>
                <w:szCs w:val="18"/>
                <w:rtl w:val="0"/>
              </w:rPr>
              <w:t xml:space="preserve">Unknown, no refs, no verifiable entity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0d7377"/>
          <w:sz w:val="24"/>
          <w:szCs w:val="24"/>
          <w:rtl w:val="0"/>
        </w:rPr>
        <w:t xml:space="preserve">Pillar B: Business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lineRule="auto"/>
        <w:rPr/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Business risk captures Protofire's commercial exposure: the risk of non-payment, inadequate contractual cover, and over-dependency on a single revenue source. B2 (payment history) is the only sub-score that is updated after initial scoring — it is reassessed at every payment event.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Rule="auto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Note for new clients: B2 defaults to score 2 (medium) at onboarding since no history exists. It can only move to 1 after 3 consecutive on-time payments.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5"/>
        <w:gridCol w:w="1200"/>
        <w:gridCol w:w="1815"/>
        <w:gridCol w:w="1965"/>
        <w:gridCol w:w="2715"/>
        <w:tblGridChange w:id="0">
          <w:tblGrid>
            <w:gridCol w:w="2595"/>
            <w:gridCol w:w="1200"/>
            <w:gridCol w:w="1815"/>
            <w:gridCol w:w="1965"/>
            <w:gridCol w:w="27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1 —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2 —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3 —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4 — 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B1 — Payment Terms (Contractual Security)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1a7a4a"/>
                <w:sz w:val="18"/>
                <w:szCs w:val="18"/>
                <w:rtl w:val="0"/>
              </w:rPr>
              <w:t xml:space="preserve">Retainer or upfront milestone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b8670a"/>
                <w:sz w:val="18"/>
                <w:szCs w:val="18"/>
                <w:rtl w:val="0"/>
              </w:rPr>
              <w:t xml:space="preserve">Net-30 with escrow or payment bond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b82020"/>
                <w:sz w:val="18"/>
                <w:szCs w:val="18"/>
                <w:rtl w:val="0"/>
              </w:rPr>
              <w:t xml:space="preserve">Net-30, new client, no payment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color w:val="7b0000"/>
                <w:sz w:val="18"/>
                <w:szCs w:val="18"/>
                <w:rtl w:val="0"/>
              </w:rPr>
              <w:t xml:space="preserve">No written payment terms / informal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B2 — Payment History (In-flight / Existing Clients)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color w:val="1a7a4a"/>
                <w:sz w:val="18"/>
                <w:szCs w:val="18"/>
                <w:rtl w:val="0"/>
              </w:rPr>
              <w:t xml:space="preserve">Always on time (&lt; 5 days 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b8670a"/>
                <w:sz w:val="18"/>
                <w:szCs w:val="18"/>
                <w:rtl w:val="0"/>
              </w:rPr>
              <w:t xml:space="preserve">Occasional delays 5–15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b82020"/>
                <w:sz w:val="18"/>
                <w:szCs w:val="18"/>
                <w:rtl w:val="0"/>
              </w:rPr>
              <w:t xml:space="preserve">Regular delays 15–30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color w:val="7b0000"/>
                <w:sz w:val="18"/>
                <w:szCs w:val="18"/>
                <w:rtl w:val="0"/>
              </w:rPr>
              <w:t xml:space="preserve">Persistent arrears &gt; 30 days 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B3 — Contractual Protections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1a7a4a"/>
                <w:sz w:val="18"/>
                <w:szCs w:val="18"/>
                <w:rtl w:val="0"/>
              </w:rPr>
              <w:t xml:space="preserve">Full MSA + liability cap + IP + indemnity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color w:val="b8670a"/>
                <w:sz w:val="18"/>
                <w:szCs w:val="18"/>
                <w:rtl w:val="0"/>
              </w:rPr>
              <w:t xml:space="preserve">MSA + liability cap, missing indemnity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color w:val="b82020"/>
                <w:sz w:val="18"/>
                <w:szCs w:val="18"/>
                <w:rtl w:val="0"/>
              </w:rPr>
              <w:t xml:space="preserve">Partial MSA / SOW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0000"/>
                <w:sz w:val="18"/>
                <w:szCs w:val="18"/>
                <w:rtl w:val="0"/>
              </w:rPr>
              <w:t xml:space="preserve">No MSA, verbal only → Hard Stop 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B4 — Revenue Diversification (Cross-Portfolio Check)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color w:val="1a7a4a"/>
                <w:sz w:val="18"/>
                <w:szCs w:val="18"/>
                <w:rtl w:val="0"/>
              </w:rPr>
              <w:t xml:space="preserve">Client &lt; 15% of total Protofire 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color w:val="b8670a"/>
                <w:sz w:val="18"/>
                <w:szCs w:val="18"/>
                <w:rtl w:val="0"/>
              </w:rPr>
              <w:t xml:space="preserve">Client 15%–30% of total 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color w:val="b82020"/>
                <w:sz w:val="18"/>
                <w:szCs w:val="18"/>
                <w:rtl w:val="0"/>
              </w:rPr>
              <w:t xml:space="preserve">Client 30%–50% of total 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color w:val="7b0000"/>
                <w:sz w:val="18"/>
                <w:szCs w:val="18"/>
                <w:rtl w:val="0"/>
              </w:rPr>
              <w:t xml:space="preserve">Client &gt; 50% of total rev. 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0d7377"/>
          <w:sz w:val="24"/>
          <w:szCs w:val="24"/>
          <w:rtl w:val="0"/>
        </w:rPr>
        <w:t xml:space="preserve">Pillar P: Project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lineRule="auto"/>
        <w:rPr/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Project risk captures Protofire's ability to deliver and the legal/financial exposure that arises from failure. Financial risk has been deliberately excluded here (addressed in C and B). The focus is on technical execution risk and liability — with particular emphasis on smart contract value exposure (P3), which is unique to Web3 and can create existential 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lineRule="auto"/>
        <w:rPr/>
      </w:pPr>
      <w:r w:rsidDel="00000000" w:rsidR="00000000" w:rsidRPr="00000000">
        <w:rPr>
          <w:b w:val="1"/>
          <w:bCs w:val="1"/>
          <w:color w:val="b82020"/>
          <w:sz w:val="19"/>
          <w:szCs w:val="19"/>
          <w:rtl w:val="0"/>
        </w:rPr>
        <w:t xml:space="preserve">⚠  P3 (TVL / Value at Risk) is the single highest-consequence sub-score. An unaudited smart contract managing &gt; $1M with no external audit scheduled is an automatic P3 = 4 regardless of other P sub-scores.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5"/>
        <w:gridCol w:w="1260"/>
        <w:gridCol w:w="1980"/>
        <w:gridCol w:w="2250"/>
        <w:gridCol w:w="2355"/>
        <w:tblGridChange w:id="0">
          <w:tblGrid>
            <w:gridCol w:w="2355"/>
            <w:gridCol w:w="1260"/>
            <w:gridCol w:w="1980"/>
            <w:gridCol w:w="2250"/>
            <w:gridCol w:w="23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1 —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2 —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3 —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4 — 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P1 — Technical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color w:val="1a7a4a"/>
                <w:sz w:val="18"/>
                <w:szCs w:val="18"/>
                <w:rtl w:val="0"/>
              </w:rPr>
              <w:t xml:space="preserve">Proven stack, identical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color w:val="b8670a"/>
                <w:sz w:val="18"/>
                <w:szCs w:val="18"/>
                <w:rtl w:val="0"/>
              </w:rPr>
              <w:t xml:space="preserve">Mostly familiar, some novel elements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color w:val="b82020"/>
                <w:sz w:val="18"/>
                <w:szCs w:val="18"/>
                <w:rtl w:val="0"/>
              </w:rPr>
              <w:t xml:space="preserve">Significant novel technical challenges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color w:val="7b0000"/>
                <w:sz w:val="18"/>
                <w:szCs w:val="18"/>
                <w:rtl w:val="0"/>
              </w:rPr>
              <w:t xml:space="preserve">Greenfield on unproven chain/protocol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P2 — Team Capability &amp;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color w:val="1a7a4a"/>
                <w:sz w:val="18"/>
                <w:szCs w:val="18"/>
                <w:rtl w:val="0"/>
              </w:rPr>
              <w:t xml:space="preserve">Full team available, exact prior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color w:val="b8670a"/>
                <w:sz w:val="18"/>
                <w:szCs w:val="18"/>
                <w:rtl w:val="0"/>
              </w:rPr>
              <w:t xml:space="preserve">Team available, adjacent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color w:val="b82020"/>
                <w:sz w:val="18"/>
                <w:szCs w:val="18"/>
                <w:rtl w:val="0"/>
              </w:rPr>
              <w:t xml:space="preserve">Partial team, skill gaps 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7b0000"/>
                <w:sz w:val="18"/>
                <w:szCs w:val="18"/>
                <w:rtl w:val="0"/>
              </w:rPr>
              <w:t xml:space="preserve">Team unavailable or critical skill missing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P3 — Value at Risk (TVL / On-chain Exposure)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1a7a4a"/>
                <w:sz w:val="18"/>
                <w:szCs w:val="18"/>
                <w:rtl w:val="0"/>
              </w:rPr>
              <w:t xml:space="preserve">No on-chain value or user 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b8670a"/>
                <w:sz w:val="18"/>
                <w:szCs w:val="18"/>
                <w:rtl w:val="0"/>
              </w:rPr>
              <w:t xml:space="preserve">TVL &lt; $1M or internal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b82020"/>
                <w:sz w:val="18"/>
                <w:szCs w:val="18"/>
                <w:rtl w:val="0"/>
              </w:rPr>
              <w:t xml:space="preserve">TVL $1M – $50M or user-facing DeFi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7b0000"/>
                <w:sz w:val="18"/>
                <w:szCs w:val="18"/>
                <w:rtl w:val="0"/>
              </w:rPr>
              <w:t xml:space="preserve">TVL &gt; $50M no audit planned 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P4 — Liability Exposure (Legal / Regulatory)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1a7a4a"/>
                <w:sz w:val="18"/>
                <w:szCs w:val="18"/>
                <w:rtl w:val="0"/>
              </w:rPr>
              <w:t xml:space="preserve">Internal tooling, no end-user 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color w:val="b8670a"/>
                <w:sz w:val="18"/>
                <w:szCs w:val="18"/>
                <w:rtl w:val="0"/>
              </w:rPr>
              <w:t xml:space="preserve">End-user exposure, liability cap in MSA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color w:val="b82020"/>
                <w:sz w:val="18"/>
                <w:szCs w:val="18"/>
                <w:rtl w:val="0"/>
              </w:rPr>
              <w:t xml:space="preserve">Direct financial risk to end-users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color w:val="7b0000"/>
                <w:sz w:val="18"/>
                <w:szCs w:val="18"/>
                <w:rtl w:val="0"/>
              </w:rPr>
              <w:t xml:space="preserve">Regulatory exposure or no liability cap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P5 — Audit &amp; Assurance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color w:val="1a7a4a"/>
                <w:sz w:val="18"/>
                <w:szCs w:val="18"/>
                <w:rtl w:val="0"/>
              </w:rPr>
              <w:t xml:space="preserve">No SC deployment; no audit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b8670a"/>
                <w:sz w:val="18"/>
                <w:szCs w:val="18"/>
                <w:rtl w:val="0"/>
              </w:rPr>
              <w:t xml:space="preserve">Audit planned, budgeted &amp; scoped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color w:val="b82020"/>
                <w:sz w:val="18"/>
                <w:szCs w:val="18"/>
                <w:rtl w:val="0"/>
              </w:rPr>
              <w:t xml:space="preserve">Audit required but not yet arranged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0000"/>
                <w:sz w:val="18"/>
                <w:szCs w:val="18"/>
                <w:rtl w:val="0"/>
              </w:rPr>
              <w:t xml:space="preserve">No audit, user funds at risk → Hard Stop 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bottom w:color="0d7377" w:space="4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b3a5c"/>
          <w:sz w:val="30"/>
          <w:szCs w:val="30"/>
          <w:rtl w:val="0"/>
        </w:rPr>
        <w:t xml:space="preserve">2. Scoring Formula &amp; Thresholds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0d7377"/>
          <w:sz w:val="24"/>
          <w:szCs w:val="24"/>
          <w:rtl w:val="0"/>
        </w:rPr>
        <w:t xml:space="preserve">2.1 Composite Score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lineRule="auto"/>
        <w:rPr/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Each pillar produces an average of its sub-scores. The composite score weights Business and Project risk slightly higher than Client risk, reflecting Protofire's delivery-centric exposure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200"/>
        <w:gridCol w:w="3160"/>
        <w:tblGridChange w:id="0">
          <w:tblGrid>
            <w:gridCol w:w="2400"/>
            <w:gridCol w:w="32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C-Score (Client Risk)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3a5c"/>
                <w:sz w:val="19"/>
                <w:szCs w:val="19"/>
                <w:rtl w:val="0"/>
              </w:rPr>
              <w:t xml:space="preserve">= Average(C1 + C2 + C3 + C4)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4 sub-criteria, equal 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B-Score (Business Risk)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c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3a5c"/>
                <w:sz w:val="19"/>
                <w:szCs w:val="19"/>
                <w:rtl w:val="0"/>
              </w:rPr>
              <w:t xml:space="preserve">= Average(B1 + B2 + B3 + B4)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Payment track record updated per invoice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P-Score (Project Risk)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3a5c"/>
                <w:sz w:val="19"/>
                <w:szCs w:val="19"/>
                <w:rtl w:val="0"/>
              </w:rPr>
              <w:t xml:space="preserve">= Average(P1 + P2 + P3 + P4 + P5)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P3 TVL auto-upgrades to 4 if no audit planned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Composite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c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3a5c"/>
                <w:sz w:val="19"/>
                <w:szCs w:val="19"/>
                <w:rtl w:val="0"/>
              </w:rPr>
              <w:t xml:space="preserve">= (C × 0.30) + (B × 0.35) + (P × 0.35)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Weights reflect Protofire's delivery-centric risk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Portfolio Concentration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3a5c"/>
                <w:sz w:val="19"/>
                <w:szCs w:val="19"/>
                <w:rtl w:val="0"/>
              </w:rPr>
              <w:t xml:space="preserve">= Client Revenue / Node Total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Calculated separately; feeds C2 sub-score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0d7377"/>
          <w:sz w:val="24"/>
          <w:szCs w:val="24"/>
          <w:rtl w:val="0"/>
        </w:rPr>
        <w:t xml:space="preserve">2.2 Traffic Light Thresholds &amp; Gate Actions</w:t>
      </w:r>
      <w:r w:rsidDel="00000000" w:rsidR="00000000" w:rsidRPr="00000000">
        <w:rPr>
          <w:rtl w:val="0"/>
        </w:rPr>
      </w:r>
    </w:p>
    <w:tbl>
      <w:tblPr>
        <w:tblStyle w:val="Table5"/>
        <w:tblW w:w="8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400"/>
        <w:gridCol w:w="2000"/>
        <w:gridCol w:w="3200"/>
        <w:tblGridChange w:id="0">
          <w:tblGrid>
            <w:gridCol w:w="1800"/>
            <w:gridCol w:w="1400"/>
            <w:gridCol w:w="2000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Score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Mandatory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7a4a"/>
                <w:sz w:val="19"/>
                <w:szCs w:val="19"/>
                <w:rtl w:val="0"/>
              </w:rPr>
              <w:t xml:space="preserve">1.0 – 1.9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color w:val="1a7a4a"/>
                <w:sz w:val="19"/>
                <w:szCs w:val="19"/>
                <w:rtl w:val="0"/>
              </w:rPr>
              <w:t xml:space="preserve">🟢 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Pre-MSA fast-track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Standard onboarding. Periodic review at 6 months.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8670a"/>
                <w:sz w:val="19"/>
                <w:szCs w:val="19"/>
                <w:rtl w:val="0"/>
              </w:rPr>
              <w:t xml:space="preserve">2.0 – 2.9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color w:val="b8670a"/>
                <w:sz w:val="19"/>
                <w:szCs w:val="19"/>
                <w:rtl w:val="0"/>
              </w:rPr>
              <w:t xml:space="preserve">🟡 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Node Owner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Documented mitigations required. Review at 3 months or payment 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82020"/>
                <w:sz w:val="19"/>
                <w:szCs w:val="19"/>
                <w:rtl w:val="0"/>
              </w:rPr>
              <w:t xml:space="preserve">3.0 – 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color w:val="b82020"/>
                <w:sz w:val="19"/>
                <w:szCs w:val="19"/>
                <w:rtl w:val="0"/>
              </w:rPr>
              <w:t xml:space="preserve">🔴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GRC Committee sign-off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Risk treatment plan mandatory. External audit required for smart contracts. Monthly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b0000"/>
                <w:sz w:val="19"/>
                <w:szCs w:val="19"/>
                <w:rtl w:val="0"/>
              </w:rPr>
              <w:t xml:space="preserve">3.6 – 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color w:val="7b0000"/>
                <w:sz w:val="19"/>
                <w:szCs w:val="19"/>
                <w:rtl w:val="0"/>
              </w:rPr>
              <w:t xml:space="preserve">⛔ 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CEO / Board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0e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Exceptional justification required. Risk Register entry. No exceptions without Board minute.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0d7377"/>
          <w:sz w:val="24"/>
          <w:szCs w:val="24"/>
          <w:rtl w:val="0"/>
        </w:rPr>
        <w:t xml:space="preserve">2.3 Hard Stop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lineRule="auto"/>
        <w:rPr/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The following conditions override all scoring outcomes. A Hard Stop requires immediate escalation and blocks project commencement regardless of composite score: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5e0e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color w:val="7b0000"/>
                <w:sz w:val="22"/>
                <w:szCs w:val="22"/>
                <w:rtl w:val="0"/>
              </w:rPr>
              <w:t xml:space="preserve">⛔  HARD STOP CONDITIONS — Override All Scores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0000"/>
                <w:sz w:val="19"/>
                <w:szCs w:val="19"/>
                <w:rtl w:val="0"/>
              </w:rPr>
              <w:t xml:space="preserve">⛔  Client in OFAC-sanctioned jurisdiction → Automatic rejection, no exceptions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5e0e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0000"/>
                <w:sz w:val="19"/>
                <w:szCs w:val="19"/>
                <w:rtl w:val="0"/>
              </w:rPr>
              <w:t xml:space="preserve">⛔  No MSA or written engagement letter → Project cannot commence (not scored Red, simply blocked)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0000"/>
                <w:sz w:val="19"/>
                <w:szCs w:val="19"/>
                <w:rtl w:val="0"/>
              </w:rPr>
              <w:t xml:space="preserve">⛔  Smart contract managing &gt; $1M TVL with no planned external audit → Score automatically upgraded to CRITICAL on P3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5e0e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0000"/>
                <w:sz w:val="19"/>
                <w:szCs w:val="19"/>
                <w:rtl w:val="0"/>
              </w:rPr>
              <w:t xml:space="preserve">⛔  Client concentration &gt; 60% of a single node's revenue → Full GRC Committee review required before contract 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b0000" w:space="0" w:sz="4" w:val="single"/>
              <w:left w:color="7b0000" w:space="0" w:sz="4" w:val="single"/>
              <w:bottom w:color="7b0000" w:space="0" w:sz="4" w:val="single"/>
              <w:right w:color="7b000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0000"/>
                <w:sz w:val="19"/>
                <w:szCs w:val="19"/>
                <w:rtl w:val="0"/>
              </w:rPr>
              <w:t xml:space="preserve">⛔  Payment arrears &gt; 60 days unresolved → Mandatory stop-work clause activation (B-score auto-resets to 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bottom w:color="0d7377" w:space="4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b3a5c"/>
          <w:sz w:val="30"/>
          <w:szCs w:val="30"/>
          <w:rtl w:val="0"/>
        </w:rPr>
        <w:t xml:space="preserve">3. Operational Checklists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0d7377"/>
          <w:sz w:val="24"/>
          <w:szCs w:val="24"/>
          <w:rtl w:val="0"/>
        </w:rPr>
        <w:t xml:space="preserve">3.1 Pre-MSA Risk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lineRule="auto"/>
        <w:rPr/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Run for every new engagement before the Letter of Intent or MSA signature. Results must be recorded in ClickUp (GRC / Risk Register space).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0"/>
        <w:gridCol w:w="1600"/>
        <w:gridCol w:w="1400"/>
        <w:gridCol w:w="1800"/>
        <w:tblGridChange w:id="0">
          <w:tblGrid>
            <w:gridCol w:w="4600"/>
            <w:gridCol w:w="1600"/>
            <w:gridCol w:w="14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Pre-MSA Gate 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☐  Run full 3-pillar risk score (C + B + P) and record in ClickUp Risk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i w:val="1"/>
                <w:iCs w:val="1"/>
                <w:color w:val="0d7377"/>
                <w:sz w:val="18"/>
                <w:szCs w:val="18"/>
                <w:rtl w:val="0"/>
              </w:rPr>
              <w:t xml:space="preserve">BD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Before LOI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Scoring form in ClickUp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☐  Verify client jurisdiction — check OFAC SDN list and EU sanctions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i w:val="1"/>
                <w:iCs w:val="1"/>
                <w:color w:val="0d7377"/>
                <w:sz w:val="18"/>
                <w:szCs w:val="18"/>
                <w:rtl w:val="0"/>
              </w:rPr>
              <w:t xml:space="preserve">GRC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Before LOI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Compliance check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☐  Confirm client entity is registered and verifiable (Crunchbase, LinkedIn, Chain Explorer)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i w:val="1"/>
                <w:iCs w:val="1"/>
                <w:color w:val="0d7377"/>
                <w:sz w:val="18"/>
                <w:szCs w:val="18"/>
                <w:rtl w:val="0"/>
              </w:rPr>
              <w:t xml:space="preserve">BD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Before LOI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Entity verification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☐  Check portfolio concentration: Will this client exceed 30% of node revenue?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i w:val="1"/>
                <w:iCs w:val="1"/>
                <w:color w:val="0d7377"/>
                <w:sz w:val="18"/>
                <w:szCs w:val="18"/>
                <w:rtl w:val="0"/>
              </w:rPr>
              <w:t xml:space="preserve">Node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Before LOI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Portfolio dashboard screenshot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☐  Obtain signed MSA or confirm timeline for execution (no work before MSA)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i w:val="1"/>
                <w:iCs w:val="1"/>
                <w:color w:val="0d7377"/>
                <w:sz w:val="18"/>
                <w:szCs w:val="18"/>
                <w:rtl w:val="0"/>
              </w:rPr>
              <w:t xml:space="preserve">Legal /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Before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Signed MSA copy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☐  Confirm liability cap, IP ownership, and indemnity clauses are present in MSA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i w:val="1"/>
                <w:iCs w:val="1"/>
                <w:color w:val="0d7377"/>
                <w:sz w:val="18"/>
                <w:szCs w:val="18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MSA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Legal review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☐  Confirm payment terms: retainer vs milestone vs T&amp;M; escrow availability for RED 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i w:val="1"/>
                <w:iCs w:val="1"/>
                <w:color w:val="0d7377"/>
                <w:sz w:val="18"/>
                <w:szCs w:val="18"/>
                <w:rtl w:val="0"/>
              </w:rPr>
              <w:t xml:space="preserve">BD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MSA negotiation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Payment schedule in MSA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9"/>
                <w:szCs w:val="19"/>
                <w:rtl w:val="0"/>
              </w:rPr>
              <w:t xml:space="preserve">☐  For P3 ≥ 3 (TVL exposure): confirm external audit is budgeted, and timeline agreed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i w:val="1"/>
                <w:iCs w:val="1"/>
                <w:color w:val="0d7377"/>
                <w:sz w:val="18"/>
                <w:szCs w:val="18"/>
                <w:rtl w:val="0"/>
              </w:rPr>
              <w:t xml:space="preserve">Node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Before kick-off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Audit firm engagement letter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☐  Node Owner approval obtained for Amber; GRC Committee approval for Red/Critical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i w:val="1"/>
                <w:iCs w:val="1"/>
                <w:color w:val="0d7377"/>
                <w:sz w:val="18"/>
                <w:szCs w:val="18"/>
                <w:rtl w:val="0"/>
              </w:rPr>
              <w:t xml:space="preserve">Node Owner / GRC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Pre-signature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Approval email in ClickUp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☐  Record composite score and gate outcome in Risk Register with date and 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i w:val="1"/>
                <w:iCs w:val="1"/>
                <w:color w:val="0d7377"/>
                <w:sz w:val="18"/>
                <w:szCs w:val="18"/>
                <w:rtl w:val="0"/>
              </w:rPr>
              <w:t xml:space="preserve">GRC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Post-approval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Risk Register entry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0d7377"/>
          <w:sz w:val="24"/>
          <w:szCs w:val="24"/>
          <w:rtl w:val="0"/>
        </w:rPr>
        <w:t xml:space="preserve">3.2 Delivery Gate Checkpoints (G1 – G8)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lineRule="auto"/>
        <w:rPr/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These 8 delivery gates align with the L2-DEL-101 procedure. Each gate requires a named approver and produces evidence that is archived in the GRC Google Drive Evidence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0"/>
        <w:gridCol w:w="1600"/>
        <w:gridCol w:w="1400"/>
        <w:gridCol w:w="1800"/>
        <w:tblGridChange w:id="0">
          <w:tblGrid>
            <w:gridCol w:w="4600"/>
            <w:gridCol w:w="1600"/>
            <w:gridCol w:w="14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Delivery Gate Checklist (G1–G8)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☐  G1 — Scope confirmed: Statement of Work signed, deliverables 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i w:val="1"/>
                <w:iCs w:val="1"/>
                <w:color w:val="0d7377"/>
                <w:sz w:val="18"/>
                <w:szCs w:val="18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Signed SoW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☐  G2 — Security requirements captured in project backlog (threat model initiated)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i w:val="1"/>
                <w:iCs w:val="1"/>
                <w:color w:val="0d7377"/>
                <w:sz w:val="18"/>
                <w:szCs w:val="18"/>
                <w:rtl w:val="0"/>
              </w:rPr>
              <w:t xml:space="preserve">Tech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Week 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Threat model doc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☐  G3 — Dev environment security baseline confirmed (secrets management, branch protection)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i w:val="1"/>
                <w:iCs w:val="1"/>
                <w:color w:val="0d7377"/>
                <w:sz w:val="18"/>
                <w:szCs w:val="18"/>
                <w:rtl w:val="0"/>
              </w:rPr>
              <w:t xml:space="preserve">Tech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Deployment Security Checklist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☐  G4 — Mid-project risk review: re-score B2 (payment), P1–P2 (delivery progress)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i w:val="1"/>
                <w:iCs w:val="1"/>
                <w:color w:val="0d7377"/>
                <w:sz w:val="18"/>
                <w:szCs w:val="18"/>
                <w:rtl w:val="0"/>
              </w:rPr>
              <w:t xml:space="preserve">Node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Project midpoint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Updated score in ClickUp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9"/>
                <w:szCs w:val="19"/>
                <w:rtl w:val="0"/>
              </w:rPr>
              <w:t xml:space="preserve">☐  G5 — Pre-audit gate: code freeze, audit firm engaged (if P3 ≥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i w:val="1"/>
                <w:iCs w:val="1"/>
                <w:color w:val="0d7377"/>
                <w:sz w:val="18"/>
                <w:szCs w:val="18"/>
                <w:rtl w:val="0"/>
              </w:rPr>
              <w:t xml:space="preserve">Tech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Pre-mainnet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Audit engagement letter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☐  G6 — Audit findings reviewed; critical/high findings resolved before go-live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i w:val="1"/>
                <w:iCs w:val="1"/>
                <w:color w:val="0d7377"/>
                <w:sz w:val="18"/>
                <w:szCs w:val="18"/>
                <w:rtl w:val="0"/>
              </w:rPr>
              <w:t xml:space="preserve">Tech Lead +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Post-audit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Audit report + fix confirmation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☐  G7 — Go-live approval: Node Owner confirms all gates 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i w:val="1"/>
                <w:iCs w:val="1"/>
                <w:color w:val="0d7377"/>
                <w:sz w:val="18"/>
                <w:szCs w:val="18"/>
                <w:rtl w:val="0"/>
              </w:rPr>
              <w:t xml:space="preserve">Node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Before mainnet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Go-live approval in ClickUp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☐  G8 — Post-delivery: close project, update Risk Register, archive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i w:val="1"/>
                <w:iCs w:val="1"/>
                <w:color w:val="0d7377"/>
                <w:sz w:val="18"/>
                <w:szCs w:val="18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Project 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Evidence folder in GRC Drive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0d7377"/>
          <w:sz w:val="24"/>
          <w:szCs w:val="24"/>
          <w:rtl w:val="0"/>
        </w:rPr>
        <w:t xml:space="preserve">3.3 Periodic Review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lineRule="auto"/>
        <w:rPr/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Active scores are not static. The following tasks maintain score currency and ensure the portfolio is monitored for emerging concentration or delivery risk.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0"/>
        <w:gridCol w:w="1600"/>
        <w:gridCol w:w="1400"/>
        <w:gridCol w:w="1800"/>
        <w:tblGridChange w:id="0">
          <w:tblGrid>
            <w:gridCol w:w="4600"/>
            <w:gridCol w:w="1600"/>
            <w:gridCol w:w="14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Periodic Review 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☐  Update B2 (payment history) sub-score for all active 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i w:val="1"/>
                <w:iCs w:val="1"/>
                <w:color w:val="0d7377"/>
                <w:sz w:val="18"/>
                <w:szCs w:val="18"/>
                <w:rtl w:val="0"/>
              </w:rPr>
              <w:t xml:space="preserve">Finance / Node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Payment tracker in ClickUp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☐  Review portfolio concentration: recalculate C2 for all active clients vs node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i w:val="1"/>
                <w:iCs w:val="1"/>
                <w:color w:val="0d7377"/>
                <w:sz w:val="18"/>
                <w:szCs w:val="18"/>
                <w:rtl w:val="0"/>
              </w:rPr>
              <w:t xml:space="preserve">GRC Committee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Portfolio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☐  Full re-score of all Amber and Red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i w:val="1"/>
                <w:iCs w:val="1"/>
                <w:color w:val="0d7377"/>
                <w:sz w:val="18"/>
                <w:szCs w:val="18"/>
                <w:rtl w:val="0"/>
              </w:rPr>
              <w:t xml:space="preserve">Node Owner + GRC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Updated Risk Register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☐  Check for new regulatory developments affecting client jurisdictions (C3)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i w:val="1"/>
                <w:iCs w:val="1"/>
                <w:color w:val="0d7377"/>
                <w:sz w:val="18"/>
                <w:szCs w:val="18"/>
                <w:rtl w:val="0"/>
              </w:rPr>
              <w:t xml:space="preserve">GRC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Regulatory watch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☐  Annual review of scoring methodology and threshold calibration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i w:val="1"/>
                <w:iCs w:val="1"/>
                <w:color w:val="0d7377"/>
                <w:sz w:val="18"/>
                <w:szCs w:val="18"/>
                <w:rtl w:val="0"/>
              </w:rPr>
              <w:t xml:space="preserve">GRC Committee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Annually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Board presentation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☐  Annual review of MSA templates for currency against applicable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i w:val="1"/>
                <w:iCs w:val="1"/>
                <w:color w:val="0d7377"/>
                <w:sz w:val="18"/>
                <w:szCs w:val="18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Annually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Legal review record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bottom w:color="0d7377" w:space="4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b3a5c"/>
          <w:sz w:val="30"/>
          <w:szCs w:val="30"/>
          <w:rtl w:val="0"/>
        </w:rPr>
        <w:t xml:space="preserve">4. Review Trigger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80" w:lineRule="auto"/>
        <w:rPr/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Score updates are event-driven (payment events, milestone delivery) and calendar-driven (quarterly portfolio review). This table defines when, who, and what is reviewed.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40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84"/>
        <w:gridCol w:w="1453"/>
        <w:gridCol w:w="1790"/>
        <w:gridCol w:w="1392"/>
        <w:gridCol w:w="2581"/>
        <w:tblGridChange w:id="0">
          <w:tblGrid>
            <w:gridCol w:w="2184"/>
            <w:gridCol w:w="1453"/>
            <w:gridCol w:w="1790"/>
            <w:gridCol w:w="1392"/>
            <w:gridCol w:w="25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Review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Action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New project pre-MSA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color w:val="0d7377"/>
                <w:sz w:val="19"/>
                <w:szCs w:val="19"/>
                <w:rtl w:val="0"/>
              </w:rPr>
              <w:t xml:space="preserve">Once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BD + Node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i w:val="1"/>
                <w:iCs w:val="1"/>
                <w:color w:val="222222"/>
                <w:sz w:val="18"/>
                <w:szCs w:val="18"/>
                <w:rtl w:val="0"/>
              </w:rPr>
              <w:t xml:space="preserve">Scoring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Gate approval documented in ClickUp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Payment event (invoice issued)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color w:val="0d7377"/>
                <w:sz w:val="19"/>
                <w:szCs w:val="19"/>
                <w:rtl w:val="0"/>
              </w:rPr>
              <w:t xml:space="preserve">Per 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Node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i w:val="1"/>
                <w:iCs w:val="1"/>
                <w:color w:val="222222"/>
                <w:sz w:val="18"/>
                <w:szCs w:val="18"/>
                <w:rtl w:val="0"/>
              </w:rPr>
              <w:t xml:space="preserve">B-score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rtl w:val="0"/>
              </w:rPr>
              <w:t xml:space="preserve">Update B2 sub-score; escalate if B-avg ≥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Quarterly portfolio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color w:val="0d7377"/>
                <w:sz w:val="19"/>
                <w:szCs w:val="19"/>
                <w:rtl w:val="0"/>
              </w:rPr>
              <w:t xml:space="preserve">Q1/Q2/Q3/Q4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GRC Committee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i w:val="1"/>
                <w:iCs w:val="1"/>
                <w:color w:val="222222"/>
                <w:sz w:val="18"/>
                <w:szCs w:val="18"/>
                <w:rtl w:val="0"/>
              </w:rPr>
              <w:t xml:space="preserve">Full re-score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rtl w:val="0"/>
              </w:rPr>
              <w:t xml:space="preserve">Concentration check; rebalance portfolio if C2 ≥ 3 for any node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Milestone / Go-live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color w:val="0d7377"/>
                <w:sz w:val="19"/>
                <w:szCs w:val="19"/>
                <w:rtl w:val="0"/>
              </w:rPr>
              <w:t xml:space="preserve">Per 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i w:val="1"/>
                <w:iCs w:val="1"/>
                <w:color w:val="222222"/>
                <w:sz w:val="18"/>
                <w:szCs w:val="18"/>
                <w:rtl w:val="0"/>
              </w:rPr>
              <w:t xml:space="preserve">P-score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Verify audit completion; update TVL exposure (P3)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Client distress 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color w:val="0d7377"/>
                <w:sz w:val="19"/>
                <w:szCs w:val="19"/>
                <w:rtl w:val="0"/>
              </w:rPr>
              <w:t xml:space="preserve">Ad hoc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Node Owner + GRC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i w:val="1"/>
                <w:iCs w:val="1"/>
                <w:color w:val="222222"/>
                <w:sz w:val="18"/>
                <w:szCs w:val="18"/>
                <w:rtl w:val="0"/>
              </w:rPr>
              <w:t xml:space="preserve">Full re-score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Immediate escalation; consider retainer or stop-work clause activation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Annual ISMS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color w:val="0d7377"/>
                <w:sz w:val="19"/>
                <w:szCs w:val="19"/>
                <w:rtl w:val="0"/>
              </w:rPr>
              <w:t xml:space="preserve">Annually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GRC Committee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i w:val="1"/>
                <w:iCs w:val="1"/>
                <w:color w:val="222222"/>
                <w:sz w:val="18"/>
                <w:szCs w:val="18"/>
                <w:rtl w:val="0"/>
              </w:rPr>
              <w:t xml:space="preserve">Full portfolio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Update methodology; present to 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bottom w:color="0d7377" w:space="4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b3a5c"/>
          <w:sz w:val="30"/>
          <w:szCs w:val="30"/>
          <w:rtl w:val="0"/>
        </w:rPr>
        <w:t xml:space="preserve">5. ClickUp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0d7377"/>
          <w:sz w:val="24"/>
          <w:szCs w:val="24"/>
          <w:rtl w:val="0"/>
        </w:rPr>
        <w:t xml:space="preserve">5.1 Space &amp; List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80" w:lineRule="auto"/>
        <w:rPr/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The scoring model is operationalised in ClickUp using the following space/list structure. Automations ensure that score changes trigger immediate notifications and task creation without manual intervention.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2000"/>
        <w:gridCol w:w="1600"/>
        <w:gridCol w:w="3000"/>
        <w:tblGridChange w:id="0">
          <w:tblGrid>
            <w:gridCol w:w="2200"/>
            <w:gridCol w:w="2000"/>
            <w:gridCol w:w="160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ClickUp Space /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Custom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Automation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color w:val="1b3a5c"/>
                <w:sz w:val="19"/>
                <w:szCs w:val="19"/>
                <w:rtl w:val="0"/>
              </w:rPr>
              <w:t xml:space="preserve">GRC / Risk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Project Risk Scores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i w:val="1"/>
                <w:iCs w:val="1"/>
                <w:color w:val="222222"/>
                <w:sz w:val="17"/>
                <w:szCs w:val="17"/>
                <w:rtl w:val="0"/>
              </w:rPr>
              <w:t xml:space="preserve">C-Score, B-Score, P-Score (numeric fields)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Score ≥ 3 → auto-assign GRC reviewer + tag 🔴 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1"/>
                <w:bCs w:val="1"/>
                <w:color w:val="1b3a5c"/>
                <w:sz w:val="19"/>
                <w:szCs w:val="19"/>
                <w:rtl w:val="0"/>
              </w:rPr>
              <w:t xml:space="preserve">GRC / Risk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Portfolio 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i w:val="1"/>
                <w:iCs w:val="1"/>
                <w:color w:val="222222"/>
                <w:sz w:val="17"/>
                <w:szCs w:val="17"/>
                <w:rtl w:val="0"/>
              </w:rPr>
              <w:t xml:space="preserve">Client Concentration %, Revenue at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55555"/>
                <w:sz w:val="18"/>
                <w:szCs w:val="18"/>
                <w:rtl w:val="0"/>
              </w:rPr>
              <w:t xml:space="preserve">Concentration &gt; 30% of node → Slack alert to Node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color w:val="1b3a5c"/>
                <w:sz w:val="19"/>
                <w:szCs w:val="19"/>
                <w:rtl w:val="0"/>
              </w:rPr>
              <w:t xml:space="preserve">Sales /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Pre-MSA 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i w:val="1"/>
                <w:iCs w:val="1"/>
                <w:color w:val="222222"/>
                <w:sz w:val="17"/>
                <w:szCs w:val="17"/>
                <w:rtl w:val="0"/>
              </w:rPr>
              <w:t xml:space="preserve">Scoring checklist task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55555"/>
                <w:sz w:val="18"/>
                <w:szCs w:val="18"/>
                <w:rtl w:val="0"/>
              </w:rPr>
              <w:t xml:space="preserve">New deal created → trigger 'Run Risk Score'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bCs w:val="1"/>
                <w:color w:val="1b3a5c"/>
                <w:sz w:val="19"/>
                <w:szCs w:val="19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Delivery Gates (per project)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i w:val="1"/>
                <w:iCs w:val="1"/>
                <w:color w:val="222222"/>
                <w:sz w:val="17"/>
                <w:szCs w:val="17"/>
                <w:rtl w:val="0"/>
              </w:rPr>
              <w:t xml:space="preserve">Gate status: G1–G8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55555"/>
                <w:sz w:val="18"/>
                <w:szCs w:val="18"/>
                <w:rtl w:val="0"/>
              </w:rPr>
              <w:t xml:space="preserve">G4 (Go-Live) → trigger 'Verify Audit' task in GRC 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color w:val="1b3a5c"/>
                <w:sz w:val="19"/>
                <w:szCs w:val="19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Payment Tracker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i w:val="1"/>
                <w:iCs w:val="1"/>
                <w:color w:val="222222"/>
                <w:sz w:val="17"/>
                <w:szCs w:val="17"/>
                <w:rtl w:val="0"/>
              </w:rPr>
              <w:t xml:space="preserve">Invoice date, Due date, Paid date, Days overdue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55555"/>
                <w:sz w:val="18"/>
                <w:szCs w:val="18"/>
                <w:rtl w:val="0"/>
              </w:rPr>
              <w:t xml:space="preserve">Overdue &gt; 15 days → update B2 score, notify Node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color w:val="1b3a5c"/>
                <w:sz w:val="19"/>
                <w:szCs w:val="19"/>
                <w:rtl w:val="0"/>
              </w:rPr>
              <w:t xml:space="preserve">GRC /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Periodic Review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i w:val="1"/>
                <w:iCs w:val="1"/>
                <w:color w:val="222222"/>
                <w:sz w:val="17"/>
                <w:szCs w:val="17"/>
                <w:rtl w:val="0"/>
              </w:rPr>
              <w:t xml:space="preserve">Review type, Due date, Last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7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55555"/>
                <w:sz w:val="18"/>
                <w:szCs w:val="18"/>
                <w:rtl w:val="0"/>
              </w:rPr>
              <w:t xml:space="preserve">Quarterly review due → create review task 2 weeks prior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0d7377"/>
          <w:sz w:val="24"/>
          <w:szCs w:val="24"/>
          <w:rtl w:val="0"/>
        </w:rPr>
        <w:t xml:space="preserve">5.2 Custom Field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80" w:lineRule="auto"/>
        <w:rPr/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Create the following custom fields at the List level in 'GRC / Risk Register':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C-Score: Number field (1–4), auto-average from C1/C2/C3/C4 sub-fields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B-Score: Number field (1–4), B2 sub-field updatable by Finance space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P-Score: Number field (1–4), P3 sub-field triggers Hard Stop check if = 4 with no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Composite Score: Formula field = (C × 0.30) + (B × 0.35) + (P × 0.35)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RAG Status: Dropdown (🟢 Green / 🟡 Amber / 🔴 Red / ⛔ Critical) — driven by Composite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Last Review Date: Date field — triggers review task creation when overdue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Approver: People field — linked to approval gate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0d7377"/>
          <w:sz w:val="24"/>
          <w:szCs w:val="24"/>
          <w:rtl w:val="0"/>
        </w:rPr>
        <w:t xml:space="preserve">5.3 Automation Rules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New task in 'Sales / BD' space with type = 'Client Engagement' → auto-create 'Run Risk Score' task in GRC space, assigned to BD Lead + Node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Composite Score ≥ 3.0 → auto-tag 🔴 RED, auto-assign GRC Committee reviewer, send Slack notification to #grc-alerts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Composite Score ≥ 3.6 → auto-tag ⛔ CRITICAL, auto-create 'CEO Approval Required'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Finance task 'Invoice Overdue &gt; 15 days' → trigger B2 update prompt for Node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Finance task 'Invoice Overdue &gt; 60 days' → auto-set B2 = 4, auto-escalate to Node Owner + GRC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Delivery gate G4 or G7 → trigger re-score task in GRC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Last Review Date &gt; 90 days → create 'Quarterly Review Overdue' task and assign to Node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bottom w:color="0d7377" w:space="4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b3a5c"/>
          <w:sz w:val="30"/>
          <w:szCs w:val="30"/>
          <w:rtl w:val="0"/>
        </w:rPr>
        <w:t xml:space="preserve">6. Notion Documentation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0d7377"/>
          <w:sz w:val="24"/>
          <w:szCs w:val="24"/>
          <w:rtl w:val="0"/>
        </w:rPr>
        <w:t xml:space="preserve">6.1 Recommended Notion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80" w:lineRule="auto"/>
        <w:rPr/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The Notion workspace mirrors the ClickUp operational layer with a documentation and knowledge layer. The following pages should be created under a 'GRC Programme' top-level page: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📋  GRC Overview — Programme charter, scope, ownership, contact escalation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📊  Risk Scoring Framework — This document (embed from Drive + summary tables)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🗂  Policy Library — Links to all L0/L1/L2 documents in Google Drive, with version and status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✅  Checklists — Embedded pre-MSA, delivery gate, and periodic review checklists (sync with ClickUp)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📅  Review Calendar — Gantt or calendar view of all upcoming review 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🏛  Risk Register — Embedded ClickUp view (read-only dashboard) showing all active projects by RAG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📚  Training Hub — AI-assisted GRC training modules, prompt library, onboarding guides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🔍  Regulatory Watch — Log of regulatory developments affecting client jurisdictions and Web3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7377"/>
          <w:sz w:val="24"/>
          <w:szCs w:val="24"/>
          <w:rtl w:val="0"/>
        </w:rPr>
        <w:t xml:space="preserve">6.2 ClickUp ↔ Notion ↔ Google Drive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80" w:lineRule="auto"/>
        <w:rPr/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The three platforms serve different purposes and should not duplicate content — they reference each other: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Google Drive = Document of Record (policies, standards, evidence, audit trails)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ClickUp = Operational execution (tasks, scores, approvals, automation)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Notion = Knowledge layer (training, navigation, dashboards, links to Drive docs and ClickUp views)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bottom w:color="0d7377" w:space="4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b3a5c"/>
          <w:sz w:val="30"/>
          <w:szCs w:val="30"/>
          <w:rtl w:val="0"/>
        </w:rPr>
        <w:t xml:space="preserve">7. Training &amp; AI-Assisted GRC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0d7377"/>
          <w:sz w:val="24"/>
          <w:szCs w:val="24"/>
          <w:rtl w:val="0"/>
        </w:rPr>
        <w:t xml:space="preserve">7.1 Core Competencies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80" w:lineRule="auto"/>
        <w:rPr/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All personnel involved in scoring, review, or approval need baseline competency 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Reading and applying the scoring criteria in this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Using ClickUp Risk Register to record, update, and approve scores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Recognising Hard Stop conditions and escalating 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Understanding Web3-specific risk concepts: TVL, smart contract liability, oracle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0d7377"/>
          <w:sz w:val="24"/>
          <w:szCs w:val="24"/>
          <w:rtl w:val="0"/>
        </w:rPr>
        <w:t xml:space="preserve">7.2 How to Work with AI for GRC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80" w:lineRule="auto"/>
        <w:rPr/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Claude (AI assistant) can accelerate GRC work significantly. Below are the primary use cases and how to use AI effectively and safely: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Risk Scoring Support: Paste the client/project description and ask Claude to draft a preliminary score with justification. Always review and override — Claude cannot access internal payment history or real-time portfolio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Policy Drafting: Use the 'policy-regulatory-alignment' prompt template stored in Google Drive (Prompts doc). Provide the framework (e.g. 'NIST 800-53 AC family') and the Protofire context; Claude produces a draft aligned to the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Regulatory Research: Ask Claude to summarise new regulations (MiCA, DORA, FATF updates) and flag which of Protofire's L1 standards need updating. Always verify against primary 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Checklist Generation: Describe a new project type and ask Claude to identify which checklist items are particularly relevant. Output feeds into the project-specific risk treatment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Evidence Summaries: Paste audit findings or incident reports and ask Claude to produce an executive summary for the Risk Register or Board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0d7377"/>
          <w:sz w:val="24"/>
          <w:szCs w:val="24"/>
          <w:rtl w:val="0"/>
        </w:rPr>
        <w:t xml:space="preserve">7.3 AI Guardrails for GRC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80" w:lineRule="auto"/>
        <w:rPr/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When using AI for GRC work, the following rules apply: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Never paste client names, contract values, or personal data into public AI tools. Use Claude via the approved enterprise instance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All AI-generated content requires human review and approval before inclusion in any formal GRC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AI cannot approve risks, sign off gates, or represent Protofire's position — these remain human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Prompt templates for all standard GRC AI tasks are maintained in the Google Drive 'Prompts' document and the Notion Training 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Bdr>
          <w:bottom w:color="0d7377" w:space="4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b3a5c"/>
          <w:sz w:val="30"/>
          <w:szCs w:val="30"/>
          <w:rtl w:val="0"/>
        </w:rPr>
        <w:t xml:space="preserve">8. Document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0d7377"/>
          <w:sz w:val="24"/>
          <w:szCs w:val="24"/>
          <w:rtl w:val="0"/>
        </w:rPr>
        <w:t xml:space="preserve">8.1 Version History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1600"/>
        <w:gridCol w:w="3200"/>
        <w:gridCol w:w="3360"/>
        <w:tblGridChange w:id="0">
          <w:tblGrid>
            <w:gridCol w:w="1200"/>
            <w:gridCol w:w="1600"/>
            <w:gridCol w:w="32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377" w:space="0" w:sz="4" w:val="single"/>
              <w:left w:color="0d7377" w:space="0" w:sz="4" w:val="single"/>
              <w:bottom w:color="0d7377" w:space="0" w:sz="4" w:val="single"/>
              <w:right w:color="0d7377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Summary of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March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Aleksey Lekontsev (Protofire GRC)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Initial release. Three-pillar model with formula, checklists, ClickUp and Notion implementation guide.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0d7377"/>
          <w:sz w:val="24"/>
          <w:szCs w:val="24"/>
          <w:rtl w:val="0"/>
        </w:rPr>
        <w:t xml:space="preserve">8.2 Review &amp;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80" w:lineRule="auto"/>
        <w:rPr/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This document is reviewed quarterly for score threshold calibration and annually for full methodology review. Any Hard Stop condition triggered must be documented and reviewed within 5 business days by the GRC Committee.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80" w:lineRule="auto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Approved by: ________________________    Date: ________________    Role: Node Owners Council / GRC Committee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8">
    <w:pPr>
      <w:pBdr>
        <w:top w:color="0d7377" w:space="6" w:sz="4" w:val="single"/>
      </w:pBdr>
      <w:tabs>
        <w:tab w:val="right" w:leader="none" w:pos="9026"/>
      </w:tabs>
      <w:rPr/>
    </w:pPr>
    <w:r w:rsidDel="00000000" w:rsidR="00000000" w:rsidRPr="00000000">
      <w:rPr>
        <w:color w:val="555555"/>
        <w:sz w:val="16"/>
        <w:szCs w:val="16"/>
        <w:rtl w:val="0"/>
      </w:rPr>
      <w:t xml:space="preserve">© 2026 Protofire  |  Internal GRC Document</w:t>
      <w:tab/>
      <w:t xml:space="preserve">Page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7">
    <w:pPr>
      <w:pBdr>
        <w:bottom w:color="0d7377" w:space="6" w:sz="4" w:val="single"/>
      </w:pBdr>
      <w:rPr/>
    </w:pPr>
    <w:r w:rsidDel="00000000" w:rsidR="00000000" w:rsidRPr="00000000">
      <w:rPr>
        <w:b w:val="1"/>
        <w:bCs w:val="1"/>
        <w:color w:val="1b3a5c"/>
        <w:sz w:val="18"/>
        <w:szCs w:val="18"/>
        <w:rtl w:val="0"/>
      </w:rPr>
      <w:t xml:space="preserve">PROTOFIRE  |  PROJECT RISK SCORING FRAMEWORK  </w:t>
    </w:r>
    <w:r w:rsidDel="00000000" w:rsidR="00000000" w:rsidRPr="00000000">
      <w:rPr>
        <w:color w:val="555555"/>
        <w:sz w:val="18"/>
        <w:szCs w:val="18"/>
        <w:rtl w:val="0"/>
      </w:rPr>
      <w:t xml:space="preserve"> CONFIDENTIAL — GRC-ERM-001  |  v1.0  |  March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