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Project Governance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POL-001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Project Governance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STD-101; L1-ERM-001; CL-PHASE-001; lifecycle-model; hard-stops; risk-tiers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POL-001 is the enterprise policy that governs all Protofire engagements through the mandatory 12-step delivery lifecycle and 8-gate decision model. It is the policy that binds Hard-Stop enforcement, governance-tier assignment, role accountability and gate-record evidence. It applies equally to Track A (Protofire-led) and Track B (client-led)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Protofire project engagements — client, internal, R&amp;D, pro bono — follow this policy. Non-engagement corporate activities (HR, finance, procurement) are out of scope and governed by their respective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Lifecycle adherence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engagements follow the mandatory 12-step lifecycle defined in definitions/lifecycle-model.md. No step may be skipped. Attempting to bypass a step is a control failure and triggers an immediate internal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Gate signers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Each gate requires designated signers per the lifecycle model. A gate signed by an individual not authorised for that gate is invalid, and any downstream work relying on that gate record is suspended pending re-authorisation.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Hard Stops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Hard-Stop conditions HS-01 (OFAC), HS-02 (No MSA), HS-03 (TVL), HS-04 (Concentration), HS-05 (Arrears), HS-06 (Irreversibility) and HS-07 (Custody) are enforced at the gates listed in definitions/hard-stops.md. HS-01 and HS-02 are non-exceptable — they cannot be waived by any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Governance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Governance tier (T1–T4) is determined by the Composite Risk Score calculated before Gate G2 per OPS-001. Tier determines: approval authority, review cadence, budget floor, gate intensity.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3.5 Role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Node Owner acting concurrently as Project Manager and Account Manager on the same engagement must obtain Director-of-Engagements or fractional-CTO co-signature for tier T2 and above. This prevents concentration of authority in a single individual on higher-risk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3.6 Track B client 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Track B engagements (client-led) require written client acknowledgement for all risk waivers, scope changes affecting risk, or exceptions to standard security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3.7 Gate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gate decisions produce an immutable gate record containing: decision, signers, timestamp, evidence references, and any conditions. Gate records are stored per L1-EVID-004 and indexed in REG-511.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engagements follow the mandatory 12-step lifecycle. No step may be skipped.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step_skipped THEN block(next_gate)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Each gate requires designated signers per lifecycle-model.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required_signer.absent THEN gate_invalid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Hard Stops HS-01 through HS-07 enforced at designated gates.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See hard-stops.md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Governance tier (T1–T4) determined by Composite Risk Score before G2.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cbp_score = NULL at G2 THEN block(G2)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Tier determines: approval authority, review cadence, budget floor, gate intensity.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See risk-tiers.md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acting as PM and AM must obtain DoE or fCTO co-sign at T2+.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NO.roles INCLUDES [PM,AM] AND tier&gt;=T2 THEN require(DoE_co_sign)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Track B engagements require client written acknowledgement for all risk waivers.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track=B AND waiver_requested THEN require(client_signature)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POL-001-R08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gate decisions recorded in gate record with timestamp, signers, evidence 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gate_passed THEN create(gate_record)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Roles &amp; Responsibilities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R/A/C/I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all gate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Consulted on all gates; Accountable for G4 and G7-IRR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lifecycle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pre-sales gates (G1-A, G1-B, G2)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technical gates (G4, G5, G6)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as independent reviewer at G5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deployment gates (G6, G7-IRR)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Control Mapping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POL-001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A.5.1, A.5.4, A.6.1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Policy, responsibilities, screening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GV.OC, GV.RM, GV.OV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Organisational context, risk mgmt,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C01 Governance, C02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Core governance artefact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CC1.1–CC1.5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Control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POL-001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