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POL-002  •  L1 Policy  •  v1.0  •  2026-04-15  •  Supersedes POL-002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Information Security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L0-4 ISMS Scope; L1-SDLC-003; L1-KEY-005; L1-INFRA-009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POL-002 is the apex information-security policy for Protofire. It codifies the security objectives and mandatory controls that apply to all information assets, systems and processing activities within the ISMS scope (L0-4). Together with its child standards (L1-SDLC-003, L1-KEY-005, L1-INFRA-009, L1-HR-010) it forms the ISO/IEC 27001:2022 information-security-policy evidence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information assets, systems and processing activities within the ISMS scope defined in L0-4. Explicitly includes: source code repositories, CI/CD pipelines, on-chain infrastructure, client data under advisory, employee and candidate data, and all third-party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Development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code merged to a production branch undergoes peer review by a minimum of two independent reviewers. Security-critical code additionally requires Technical-Lead review. Static application security testing (SAST) and secret scanning are enforced at the CI/CD gate; Critical or High SAST findings block merge, and any detected secret blocks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Access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Principle of least privilege applies to all access. Access is role-scoped, project-scoped, and time-limited. Detailed controls and procedures are in POL-004 and L2-ACCESS-203.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Cryptographic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hard-coded credentials in source code. Production key material is managed via HSM or approved secret vault. Detailed controls are in L1-KEY-005 and POL-014 (where applicable).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Infrastructure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Infrastructure conforms to L1-INFRA-009 baselines: hardened images, logging, network segmentation, vulnerability management, backup and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3.5 Deployment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Threat model is produced at Gate G4 covering four categories: technical, economic, governance, human-failure. The two-person rule applies at testnet and mainnet deployment: deployer must not equal reviewer. External audit is mandatory where TVL exceeds USD 1 million or where the engagement involves custody, bridging, cross-chain or lending.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3.6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personal-data breach triggers GDPR Art. 33 notification within 72 hours of awareness. Internal report to CISO within 4 hours per PR-208. L2-INC-201 provides the full incident runbook.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3.7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Monthly Security-360 reviews, quarterly access reviews, annual internal audit (IAP-001). Non-compliance is tracked in REG-506 per POL-009.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Peer code review with min 2 independent reviewers; TL mandatory for security-critical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security_critical AND tl_review=FALSE THEN block(merge)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SAST enforced at CI/CD gate; Critical/High findings 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sast.severity IN [Critical,High] THEN block(merge)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Secret scanning at CI/CD gate; any finding blocks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secret_scan.count&gt;0 THEN block(merge)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Least privilege — role-scoped, time-limited, project-scoped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access&gt;role_scope THEN deny()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hard-coded credentials; HSM/vault for production key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hardcoded_secret THEN block(merge); require(vault)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Threat model covering 4 categories: technical, economic, governance, human-failure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threat_model.categories&lt;4 THEN block(G4)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Two-person rule: deployer ≠ reviewer at testnet and mainnet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deployer=reviewer THEN block(deployment)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External audit mandatory for TVL&gt;$1M or custody/bridge/cross-chain/lending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(tvl&gt;1M OR custody OR bridge) AND no_audit THEN trigger(HS-03)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 Art.33 notification within 72h; internal CISO report within 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personal_data_breach THEN notify(CISO,4h); notify(authority,72h)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Monthly Security-360; quarterly access review; annual internal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Cadence enforced via evidence calendar REG-512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POL-002-R11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Non-compliance tracked in exception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non_compliance THEN log(REG-506)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Roles &amp; Responsibilities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policy, training programme, KRI dashboard, incident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threat model, code review, security-critical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CI/CD security gates, deployment two-person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independent testing and 2nd-reviewer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exception register maintenance, evidence cadence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Control Mapping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POL-002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A.5.1, A.8.25, A.8.28, A.8.29, A.8.8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Information-security policy + secure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PR.AA, PR.DS, PR.PS, PR.IR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Access, data security, platform security, infrastructure resilience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C01-C20 (apex)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CC6, CC7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Logical access + system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Art.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Security of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POL-002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