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0"/>
          <w:szCs w:val="40"/>
          <w:rtl w:val="0"/>
        </w:rPr>
        <w:t xml:space="preserve">Change Management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POL-005  •  L1 Policy  •  v1.0  •  2026-04-15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0. Document Control</w:t>
      </w: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000"/>
        <w:tblGridChange w:id="0">
          <w:tblGrid>
            <w:gridCol w:w="3000"/>
            <w:gridCol w:w="7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Change Management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Hierarchy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L1 —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Effective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2026-04-15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Review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Confidential — Internal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Supersedes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L2-CHANGE-205; POL-002; CL-PHASE-001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Last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2026-04-15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Audit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Audit-ready v1.0 — generated 2026-04-15 for Drive publication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1.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POL-005 governs all changes to code, infrastructure and operational configuration across Protofire engagements. It ensures every change is classified, authorised, documented and reversible — and that emergency changes remain controlled.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2.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All changes to production code, infrastructure, on-chain contracts, pipelines, monitoring, alerting, and operational configuration. Trivial documentation changes follow C1 routing.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3. Five-Class Change Model</w:t>
      </w: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800"/>
        <w:gridCol w:w="3200"/>
        <w:gridCol w:w="2400"/>
        <w:gridCol w:w="1800"/>
        <w:tblGridChange w:id="0">
          <w:tblGrid>
            <w:gridCol w:w="800"/>
            <w:gridCol w:w="1800"/>
            <w:gridCol w:w="3200"/>
            <w:gridCol w:w="240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Approval 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Trivial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Docs, comments, linting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Ticket + 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Minor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Feature under feature-flag, internal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TL +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Ticket + PR +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Non-breaking deployment, config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TL + PM +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Ticket + PR + test + rollback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Major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Breaking change, schema migration, admin-function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TL + PM + NO + 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C3 set + threat-model delta + comms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Emergency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Production incident response, security hotfix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NO + CISO (post-hoc ≤24h)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Post-hoc full change record within 24h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4. Atomic Requirements</w:t>
      </w: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5800"/>
        <w:gridCol w:w="2500"/>
        <w:tblGridChange w:id="0">
          <w:tblGrid>
            <w:gridCol w:w="1700"/>
            <w:gridCol w:w="580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POL-005-R01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5-class change model with approval chains, documentation and rollback per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change_request THEN classify(C1_C5)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POL-005-R02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C1 TL; C2 TL+PM; C3 TL+PM+NO; C4 TL+PM+NO+CISO; C5 NO+CISO post-hoc ≤24h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route_approval(change_class)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POL-005-R03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On-chain change for TVL&gt;$1M requires mini-cycle: threat-model update, testnet validation, two-person 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tvl&gt;1M AND on_chain THEN require(mini_cycle)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POL-005-R04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Rollback plan required for C3+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change_class&gt;=C3 THEN require(rollback_plan)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POL-005-R05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All changes logged: requestor, class, approvers, timestamp, rollback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log(change_record)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5. Emergency-Change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Detection → Incident Commander declares emergency → C5 class assigned.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Change executed under incident protocol (L2-INC-201).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Within 24 hours: full change record, root cause, rollback status, lessons learned entry.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Within 5 business days: post-incident review; CAPA if any control gap identified.</w:t>
      </w:r>
    </w:p>
    <w:p w:rsidR="00000000" w:rsidDel="00000000" w:rsidP="00000000" w:rsidRDefault="00000000" w:rsidRPr="00000000" w14:paraId="0000005D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6. Roles &amp; Responsibilities</w:t>
      </w:r>
      <w:r w:rsidDel="00000000" w:rsidR="00000000" w:rsidRPr="00000000">
        <w:rPr>
          <w:rtl w:val="0"/>
        </w:rPr>
      </w:r>
    </w:p>
    <w:tbl>
      <w:tblPr>
        <w:tblStyle w:val="Table4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600"/>
        <w:tblGridChange w:id="0">
          <w:tblGrid>
            <w:gridCol w:w="2400"/>
            <w:gridCol w:w="7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Classifies change; ensures PR meets class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Confirms impact assessment and rollback readiness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Approves C3+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Approves C4/C5 and reviews pattern of emergencies quarterly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Executes deployment under two-person rule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7. Control Mapping</w:t>
      </w:r>
      <w:r w:rsidDel="00000000" w:rsidR="00000000" w:rsidRPr="00000000">
        <w:rPr>
          <w:rtl w:val="0"/>
        </w:rPr>
      </w:r>
    </w:p>
    <w:tbl>
      <w:tblPr>
        <w:tblStyle w:val="Table5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200"/>
        <w:gridCol w:w="4400"/>
        <w:tblGridChange w:id="0">
          <w:tblGrid>
            <w:gridCol w:w="2400"/>
            <w:gridCol w:w="32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How POL-005 satisfies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ISO/IEC 27001:2022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A.8.32, A.8.25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Change mgmt + secure development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NIST CSF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PR.PS-01, PR.PS-02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Configuration + platform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Annex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C13 Change mgmt, C14 Rollback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Defining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SOC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CC8.1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Change 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Exceptions &amp; Deviations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Any deviation from the requirements in this policy must be raised as a formal exception under POL-009 and recorded in REG-506. Class determines approval authority and duration (E1 NO/90d, E2 NO+CISO/180d, E3 NO+CFO+CISO/365d, E4 CEO/90d non-renewable). Undocumented deviation is treated as a control failure under IAP-001 and logged in the Internal Audit non-conformance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Metrics &amp; KRIs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Operational effectiveness is monitored via the KRI dashboard specified in STD-110. KRI amber and red thresholds drive escalation and exception workflows defined in POL-009 and L2-INC-201. Red KRIs trigger Node Owner escalation within 48 hours per POL-010-R05.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Review &amp;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Reviewed annually by the named Owner and additionally on: material control-environment change, regulatory change, incident or audit finding, change of CISO/NO, or supersession of any referenced document. Review actions (confirm / amend / supersede) are recorded in REG-511 and approved by the named Approver.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Version History</w:t>
      </w:r>
      <w:r w:rsidDel="00000000" w:rsidR="00000000" w:rsidRPr="00000000">
        <w:rPr>
          <w:rtl w:val="0"/>
        </w:rPr>
      </w:r>
    </w:p>
    <w:tbl>
      <w:tblPr>
        <w:tblStyle w:val="Table6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600"/>
        <w:gridCol w:w="2600"/>
        <w:gridCol w:w="4000"/>
        <w:tblGridChange w:id="0">
          <w:tblGrid>
            <w:gridCol w:w="1200"/>
            <w:gridCol w:w="1600"/>
            <w:gridCol w:w="260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Change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v0.9 (superseded)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 draft in GitHub main_learning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2026-04-15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Full audit-ready publication for Drive; expanded purpose/scope/roles/definitions; added control mapping; evidence cadence; exception routing; KRI pointers.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Cross-References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RACI-001 Enterprise RACI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L1-EVID-004 Evidence &amp; Recordkeeping Standard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REG-506 Exception Register / REG-511 Document Registry / REG-512 Evidence Calendar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STD-110 KRI Dashboard Specification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IAP-001 Internal Audit Programme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CL-PHASE-001 Lifecycle Checklist</w:t>
      </w:r>
    </w:p>
    <w:sectPr>
      <w:headerReference r:id="rId6" w:type="default"/>
      <w:footerReference r:id="rId7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jc w:val="center"/>
      <w:rPr/>
    </w:pPr>
    <w:r w:rsidDel="00000000" w:rsidR="00000000" w:rsidRPr="00000000">
      <w:rPr>
        <w:rFonts w:ascii="Arial" w:cs="Arial" w:eastAsia="Arial" w:hAnsi="Arial"/>
        <w:color w:val="808080"/>
        <w:sz w:val="16"/>
        <w:szCs w:val="16"/>
        <w:rtl w:val="0"/>
      </w:rPr>
      <w:t xml:space="preserve">Protofire GRC — Page </w:t>
    </w:r>
    <w:r w:rsidDel="00000000" w:rsidR="00000000" w:rsidRPr="00000000"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08080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jc w:val="right"/>
      <w:rPr/>
    </w:pPr>
    <w:r w:rsidDel="00000000" w:rsidR="00000000" w:rsidRPr="00000000">
      <w:rPr>
        <w:rFonts w:ascii="Arial" w:cs="Arial" w:eastAsia="Arial" w:hAnsi="Arial"/>
        <w:color w:val="808080"/>
        <w:sz w:val="16"/>
        <w:szCs w:val="16"/>
        <w:rtl w:val="0"/>
      </w:rPr>
      <w:t xml:space="preserve">Confidential — Internal    |    POL-005    |    v1.0    |    Effective 2026-04-15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