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40"/>
          <w:szCs w:val="40"/>
          <w:rtl w:val="0"/>
        </w:rPr>
        <w:t xml:space="preserve">Testing &amp; Quality Assurance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95959"/>
          <w:sz w:val="20"/>
          <w:szCs w:val="20"/>
          <w:rtl w:val="0"/>
        </w:rPr>
        <w:t xml:space="preserve">POL-006  •  L1 Policy  •  v1.0  •  2026-04-15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0. Document Control</w:t>
      </w:r>
      <w:r w:rsidDel="00000000" w:rsidR="00000000" w:rsidRPr="00000000">
        <w:rPr>
          <w:rtl w:val="0"/>
        </w:rPr>
      </w:r>
    </w:p>
    <w:tbl>
      <w:tblPr>
        <w:tblStyle w:val="Table1"/>
        <w:tblW w:w="10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7000"/>
        <w:tblGridChange w:id="0">
          <w:tblGrid>
            <w:gridCol w:w="3000"/>
            <w:gridCol w:w="7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0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0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0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Document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POL-006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Testing &amp; Quality Assurance Policy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Hierarchy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L1 — Policy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Approved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Effective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2026-04-15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Review Cycle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Annual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CISO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Approver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NOC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Classification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Confidential — Internal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Supersedes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References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L2-ASSURE-103; L3-TEST-204; L2-TEST-204; POL-002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Last 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2026-04-15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Audit Readiness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Audit-ready v1.0 — generated 2026-04-15 for Drive publication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pStyle w:val="Heading1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1. Purpose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0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POL-006 governs all QA activities across the delivery lifecycle — internal review, testnet validation, and external audit. It enforces the independence of QA from development and the minimum test-evidence standards.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2.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0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All engineering work that produces executable artefacts — smart contracts, application code, infrastructure-as-code, operational scripts. Documentation-only changes are out of scope (covered by POL-008).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3. Policy Statements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3.1 Independent 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0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 minimum of two independent code reviews is required before Gate G5. QA cannot be the code author; independence is a gate pre-condition.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3.2 Test evidence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0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Test evidence is documented per L3-TEST-204 Test Evidence Standard, producing a test-evidence pack that is an immutable gate-record artefact.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3.3 Automated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0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SAST and secret scanning run at the CI/CD gate. Critical/High SAST findings and any detected secret block merge. For DeFi protocols, fuzz testing (Echidna) and property testing are mandatory before testnet deployment.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3.4 External audit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0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Decision on external audit is made at Gate G6 per L2-ASSURE-103 criteria, and is mandatory where HS-03 applies.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4. Atomic Requirements</w:t>
      </w:r>
      <w:r w:rsidDel="00000000" w:rsidR="00000000" w:rsidRPr="00000000">
        <w:rPr>
          <w:rtl w:val="0"/>
        </w:rPr>
      </w:r>
    </w:p>
    <w:tbl>
      <w:tblPr>
        <w:tblStyle w:val="Table2"/>
        <w:tblW w:w="10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00"/>
        <w:gridCol w:w="5800"/>
        <w:gridCol w:w="2500"/>
        <w:tblGridChange w:id="0">
          <w:tblGrid>
            <w:gridCol w:w="1700"/>
            <w:gridCol w:w="5800"/>
            <w:gridCol w:w="25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Req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Enforcement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POL-006-R01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18"/>
                <w:szCs w:val="18"/>
                <w:rtl w:val="0"/>
              </w:rPr>
              <w:t xml:space="preserve">Minimum 2 independent code reviews before G5; QA ≠ code author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IF reviews&lt;2 OR qa=author THEN block(G5)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POL-006-R02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Test evidence documented per L3-TEST-204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IF test_evidence=NULL THEN block(G5)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POL-006-R03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SAST and secret scanning mandatory at CI/CD 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IF sast_not_run THEN block(merge)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POL-006-R04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Fuzz (Echidna) and property testing for DeFi protocols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IF protocol_type=DeFi THEN require(fuzz_testing)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POL-006-R05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External audit decision at G6 per L2-ASSURE-103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See HS-03 triggers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pStyle w:val="Heading1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5. Roles &amp; Responsibilities</w:t>
      </w:r>
      <w:r w:rsidDel="00000000" w:rsidR="00000000" w:rsidRPr="00000000">
        <w:rPr>
          <w:rtl w:val="0"/>
        </w:rPr>
      </w:r>
    </w:p>
    <w:tbl>
      <w:tblPr>
        <w:tblStyle w:val="Table3"/>
        <w:tblW w:w="10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7600"/>
        <w:tblGridChange w:id="0">
          <w:tblGrid>
            <w:gridCol w:w="2400"/>
            <w:gridCol w:w="7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Responsibility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Accountable for independent review; must not be code author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TL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Responsible for code-review adequacy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DevOps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Operates CI/CD security gates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CISO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Approves external-audit scope and sign-off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pStyle w:val="Heading1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6. Control Mapping</w:t>
      </w:r>
      <w:r w:rsidDel="00000000" w:rsidR="00000000" w:rsidRPr="00000000">
        <w:rPr>
          <w:rtl w:val="0"/>
        </w:rPr>
      </w:r>
    </w:p>
    <w:tbl>
      <w:tblPr>
        <w:tblStyle w:val="Table4"/>
        <w:tblW w:w="10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3200"/>
        <w:gridCol w:w="4400"/>
        <w:tblGridChange w:id="0">
          <w:tblGrid>
            <w:gridCol w:w="2400"/>
            <w:gridCol w:w="3200"/>
            <w:gridCol w:w="4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Framework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How POL-006 satisfies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ISO/IEC 27001:2022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A.8.25, A.8.28, A.8.29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Secure SDLC + testing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NIST CSF 2.0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PR.PS-05, PR.PS-06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Software development security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Annex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C15 Testing, C19 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Defining policy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pStyle w:val="Heading1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Exceptions &amp; Deviations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0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Any deviation from the requirements in this policy must be raised as a formal exception under POL-009 and recorded in REG-506. Class determines approval authority and duration (E1 NO/90d, E2 NO+CISO/180d, E3 NO+CFO+CISO/365d, E4 CEO/90d non-renewable). Undocumented deviation is treated as a control failure under IAP-001 and logged in the Internal Audit non-conformance workflow.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Metrics &amp; KRIs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0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Operational effectiveness is monitored via the KRI dashboard specified in STD-110. KRI amber and red thresholds drive escalation and exception workflows defined in POL-009 and L2-INC-201. Red KRIs trigger Node Owner escalation within 48 hours per POL-010-R05.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Review &amp; Maintenance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0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Reviewed annually by the named Owner and additionally on: material control-environment change, regulatory change, incident or audit finding, change of CISO/NO, or supersession of any referenced document. Review actions (confirm / amend / supersede) are recorded in REG-511 and approved by the named Approver.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Version History</w:t>
      </w:r>
      <w:r w:rsidDel="00000000" w:rsidR="00000000" w:rsidRPr="00000000">
        <w:rPr>
          <w:rtl w:val="0"/>
        </w:rPr>
      </w:r>
    </w:p>
    <w:tbl>
      <w:tblPr>
        <w:tblStyle w:val="Table5"/>
        <w:tblW w:w="9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1600"/>
        <w:gridCol w:w="2600"/>
        <w:gridCol w:w="4000"/>
        <w:tblGridChange w:id="0">
          <w:tblGrid>
            <w:gridCol w:w="1200"/>
            <w:gridCol w:w="1600"/>
            <w:gridCol w:w="2600"/>
            <w:gridCol w:w="4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Author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Change 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v0.9 (superseded)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Prior draft in GitHub main_learning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v1.0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2026-04-15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CISO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Full audit-ready publication for Drive; expanded purpose/scope/roles/definitions; added control mapping; evidence cadence; exception routing; KRI pointers.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pStyle w:val="Heading1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Cross-References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RACI-001 Enterprise RACI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L1-EVID-004 Evidence &amp; Recordkeeping Standard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REG-506 Exception Register / REG-511 Document Registry / REG-512 Evidence Calendar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STD-110 KRI Dashboard Specification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IAP-001 Internal Audit Programme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CL-PHASE-001 Lifecycle Checklist</w:t>
      </w:r>
    </w:p>
    <w:sectPr>
      <w:headerReference r:id="rId6" w:type="default"/>
      <w:footerReference r:id="rId7" w:type="default"/>
      <w:pgSz w:h="15840" w:w="12240" w:orient="portrait"/>
      <w:pgMar w:bottom="900" w:top="900" w:left="900" w:right="9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jc w:val="center"/>
      <w:rPr/>
    </w:pPr>
    <w:r w:rsidDel="00000000" w:rsidR="00000000" w:rsidRPr="00000000">
      <w:rPr>
        <w:rFonts w:ascii="Arial" w:cs="Arial" w:eastAsia="Arial" w:hAnsi="Arial"/>
        <w:color w:val="808080"/>
        <w:sz w:val="16"/>
        <w:szCs w:val="16"/>
        <w:rtl w:val="0"/>
      </w:rPr>
      <w:t xml:space="preserve">Protofire GRC — Page </w:t>
    </w:r>
    <w:r w:rsidDel="00000000" w:rsidR="00000000" w:rsidRPr="00000000"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808080"/>
        <w:sz w:val="16"/>
        <w:szCs w:val="16"/>
        <w:rtl w:val="0"/>
      </w:rPr>
      <w:t xml:space="preserve"> of </w:t>
    </w:r>
    <w:r w:rsidDel="00000000" w:rsidR="00000000" w:rsidRPr="00000000"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jc w:val="right"/>
      <w:rPr/>
    </w:pPr>
    <w:r w:rsidDel="00000000" w:rsidR="00000000" w:rsidRPr="00000000">
      <w:rPr>
        <w:rFonts w:ascii="Arial" w:cs="Arial" w:eastAsia="Arial" w:hAnsi="Arial"/>
        <w:color w:val="808080"/>
        <w:sz w:val="16"/>
        <w:szCs w:val="16"/>
        <w:rtl w:val="0"/>
      </w:rPr>
      <w:t xml:space="preserve">Confidential — Internal    |    POL-006    |    v1.0    |    Effective 2026-04-15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