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Third-Party &amp; Vendor Risk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POL-007  •  L1 Policy  •  v1.0  •  2026-04-15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Third-Party &amp; Vendor Risk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S-115; REG-505 (sub-processors); L1-EVID-004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POL-007 governs the full lifecycle of third-party and vendor relationships — selection, onboarding, ongoing monitoring, concentration management and exit. It is the policy counterpart to the S-115 assessment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third parties and vendors: oracle providers, bridge operators, RPC providers, cloud infrastructure, audit firms, monitoring providers, key-management providers, and tooling vendors. Covers suppliers that process DC-2 or above data and any supplier on an engagement critical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Policy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Every vendor is classified as Critical, High, Medium or Low per S-115 §3 taxonomy. Critical and High vendors enter the active monitoring programme.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access is granted to a Critical vendor before the S-115 assessment is complete and PASS or CONDITIONAL. Sub-processor chains are documented at onboarding for any vendor handling DC-3+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Reassessment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Critical vendors reassessed annually; High every 18 months; Medium every 2 years; Low at onboarding only unless incident or classification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Vendor security incidents are reported to CISO within 24 hours of vendor notification. A vendor incident that affects Protofire-custodied or client-custodied assets is treated as a Protofire incident and routed through L2-INC-201.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3.5 Exit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Every Critical vendor has a documented exit strategy covering: key handover, data extraction, service migration path, and alternative-provider plan. Lack of an exit plan is a control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3.6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single Critical vendor may exceed 35% of any one service category. Concentration is KRI-14 in STD-110 and reviewed at the quarterly NOC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Atomic Requirements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POL-007-R01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critical third parties assessed per S-115 before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vendor.critical AND assessment=NULL THEN block(onboarding)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POL-007-R02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Vendor risk classification: Critical/High/Medium/Low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classify(vendor)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POL-007-R03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Critical annual, High 18-month reassessment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assessment_age&gt;threshold THEN flag(overdue)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POL-007-R04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Vendor incidents to CISO within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vendor_incident THEN notify(CISO,24h)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POL-007-R05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Exit strategy documented for all Critical 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vendor.critical AND exit_plan=NULL THEN flag(gap)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Roles &amp; Responsibilities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vendor risk programme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Critical vendor technical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assessment cadence and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Procurement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Consulted for contractual terms (audit right, 24h notification)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Control Mapping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POL-007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A.5.19 – A.5.23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Supplier relationships 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GV.SC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Supply-chain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Art.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Processor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C17 Third-party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Defining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POL-007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