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0"/>
        </w:rPr>
        <w:t xml:space="preserve">Exception &amp; Deviation Management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POL-009  •  L1 Policy  •  v1.0  •  2026-04-15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0. Document Control</w:t>
      </w: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000"/>
        <w:tblGridChange w:id="0">
          <w:tblGrid>
            <w:gridCol w:w="3000"/>
            <w:gridCol w:w="7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Exception &amp; Deviation Management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Hierarchy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L1 —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Review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Confidential — 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Supersedes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REG-506; exception-classes; POL-001; HS-01, HS-02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Last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Audit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Audit-ready v1.0 — generated 2026-04-15 for Drive publication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1.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POL-009 governs how Protofire handles deviations from GRC policy — how they are raised, classified, approved, recorded, monitored and closed. It is the control mechanism that distinguishes risk-informed governance from uncontrolled non-compliance.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2.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All deviations from GRC-PF-001 and component policies. Undocumented deviation is treated as a control failure and is routed to IAP-001 as a non-conformance.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3. Four-Class Exception Model</w:t>
      </w: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800"/>
        <w:gridCol w:w="2600"/>
        <w:gridCol w:w="1900"/>
        <w:gridCol w:w="1800"/>
        <w:tblGridChange w:id="0">
          <w:tblGrid>
            <w:gridCol w:w="900"/>
            <w:gridCol w:w="2800"/>
            <w:gridCol w:w="2600"/>
            <w:gridCol w:w="19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Approval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Max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Review Cadence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Low — cosmetic/process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Node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At renewal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Medium — control substitution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+ 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180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High — material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+ CFO + 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365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Bi-weekly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Critical — Hard-Stop proximity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CEO + Board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90 days, non-renewable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Weekly + immediate escalation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4. Non-Exceptable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HS-01 (OFAC) and HS-02 (No MSA) may not be waived, excepted or otherwise bypassed under any authority. Any attempt triggers an immediate IAP-001 non-conformance investigation.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5. Atomic Requirements</w:t>
      </w: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5800"/>
        <w:gridCol w:w="2500"/>
        <w:tblGridChange w:id="0">
          <w:tblGrid>
            <w:gridCol w:w="1700"/>
            <w:gridCol w:w="58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POL-009-R01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4-class exception model E1–E4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See exception-classes.md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POL-009-R02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HS-01 and HS-02 cannot be excepted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exception_target IN [HS-01,HS-02] THEN reject(exception)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POL-009-R03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All exceptions recorded in REG-506 with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exception_approved THEN log(REG-506)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POL-009-R04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Automatic lapse at expiry; re-application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exception.expired THEN policy.reapplies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POL-009-R05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E4: one-time only; no renewal without full re-approval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E4.renewal_requested THEN require(full_reapproval)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POL-009-R06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Exception register reviewed monthly by 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month_end THEN CISO.review(REG-506)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6.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Request — Via exception-intake form with proposed compensating control.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Triage — GRC Manager classifies E1–E4; validates compensating control sufficiency.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Approve — Authority per class signs; rejection equally recorded.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 — Per-class cadence; residual re-assessed on control change.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— Expiry / withdrawal / absorption into policy revision.</w:t>
      </w:r>
    </w:p>
    <w:p w:rsidR="00000000" w:rsidDel="00000000" w:rsidP="00000000" w:rsidRDefault="00000000" w:rsidRPr="00000000" w14:paraId="0000005E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7.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Monthly: CISO review of REG-506; aggregate dashboard (open, expired, renewed, rejected).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Quarterly: NOC review of exception patterns by control class.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Annually: Board briefing on exception volume, patterns, remediation themes.</w:t>
      </w:r>
    </w:p>
    <w:p w:rsidR="00000000" w:rsidDel="00000000" w:rsidP="00000000" w:rsidRDefault="00000000" w:rsidRPr="00000000" w14:paraId="00000062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8. Control Mapping</w:t>
      </w: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4400"/>
        <w:tblGridChange w:id="0">
          <w:tblGrid>
            <w:gridCol w:w="2400"/>
            <w:gridCol w:w="32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How POL-009 satisfies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ISO/IEC 27001:2022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A.5.35, Cl.10.1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Independent review + nonconformity/CAPA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NIST CSF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GV.PO-02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Policy exception 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Annex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C05 Acceptance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Defining policy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Exceptions &amp; Deviations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Any deviation from the requirements in this policy must be raised as a formal exception under POL-009 and recorded in REG-506. Class determines approval authority and duration (E1 NO/90d, E2 NO+CISO/180d, E3 NO+CFO+CISO/365d, E4 CEO/90d non-renewable). Undocumented deviation is treated as a control failure under IAP-001 and logged in the Internal Audit non-conformance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Metrics &amp; KRIs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Operational effectiveness is monitored via the KRI dashboard specified in STD-110. KRI amber and red thresholds drive escalation and exception workflows defined in POL-009 and L2-INC-201. Red KRIs trigger Node Owner escalation within 48 hours per POL-010-R05.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Review &amp;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Reviewed annually by the named Owner and additionally on: material control-environment change, regulatory change, incident or audit finding, change of CISO/NO, or supersession of any referenced document. Review actions (confirm / amend / supersede) are recorded in REG-511 and approved by the named Approver.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Version History</w:t>
      </w:r>
      <w:r w:rsidDel="00000000" w:rsidR="00000000" w:rsidRPr="00000000">
        <w:rPr>
          <w:rtl w:val="0"/>
        </w:rPr>
      </w:r>
    </w:p>
    <w:tbl>
      <w:tblPr>
        <w:tblStyle w:val="Table5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600"/>
        <w:gridCol w:w="2600"/>
        <w:gridCol w:w="4000"/>
        <w:tblGridChange w:id="0">
          <w:tblGrid>
            <w:gridCol w:w="1200"/>
            <w:gridCol w:w="1600"/>
            <w:gridCol w:w="260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Change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v0.9 (superseded)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 draft in GitHub main_learning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Full audit-ready publication for Drive; expanded purpose/scope/roles/definitions; added control mapping; evidence cadence; exception routing; KRI pointers.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Cross-References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RACI-001 Enterprise RACI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L1-EVID-004 Evidence &amp; Recordkeeping Standard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REG-506 Exception Register / REG-511 Document Registry / REG-512 Evidence Calendar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STD-110 KRI Dashboard Specification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IAP-001 Internal Audit Programme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CL-PHASE-001 Lifecycle Checklist</w:t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jc w:val="center"/>
      <w:rPr/>
    </w:pP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Protofire GRC — Page </w:t>
    </w:r>
    <w:r w:rsidDel="00000000" w:rsidR="00000000" w:rsidRPr="00000000"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jc w:val="right"/>
      <w:rPr/>
    </w:pP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Confidential — Internal    |    POL-009    |    v1.0    |    Effective 2026-04-15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