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Arial" w:cs="Arial" w:eastAsia="Arial" w:hAnsi="Arial"/>
          <w:b w:val="1"/>
          <w:bCs w:val="1"/>
          <w:color w:val="1f3864"/>
          <w:sz w:val="40"/>
          <w:szCs w:val="40"/>
          <w:rtl w:val="0"/>
        </w:rPr>
        <w:t xml:space="preserve">Data Protection &amp; Privacy Policy</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color w:val="595959"/>
          <w:sz w:val="20"/>
          <w:szCs w:val="20"/>
          <w:rtl w:val="0"/>
        </w:rPr>
        <w:t xml:space="preserve">POL-011  •  L1 Policy  •  v1.0  •  2026-04-15  •  Confidential — Internal</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0. Document Control</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4">
            <w:pPr>
              <w:jc w:val="left"/>
              <w:rPr/>
            </w:pPr>
            <w:r w:rsidDel="00000000" w:rsidR="00000000" w:rsidRPr="00000000">
              <w:rPr>
                <w:rFonts w:ascii="Arial" w:cs="Arial" w:eastAsia="Arial" w:hAnsi="Arial"/>
                <w:b w:val="1"/>
                <w:bCs w:val="1"/>
                <w:sz w:val="18"/>
                <w:szCs w:val="18"/>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5">
            <w:pPr>
              <w:jc w:val="left"/>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0"/>
                <w:bCs w:val="0"/>
                <w:sz w:val="18"/>
                <w:szCs w:val="18"/>
                <w:rtl w:val="0"/>
              </w:rPr>
              <w:t xml:space="preserve">Document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sz w:val="18"/>
                <w:szCs w:val="18"/>
                <w:rtl w:val="0"/>
              </w:rPr>
              <w:t xml:space="preserve">POL-011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0"/>
                <w:bCs w:val="0"/>
                <w:sz w:val="18"/>
                <w:szCs w:val="18"/>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sz w:val="18"/>
                <w:szCs w:val="18"/>
                <w:rtl w:val="0"/>
              </w:rPr>
              <w:t xml:space="preserve">Data Protection &amp; Privacy Policy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0"/>
                <w:bCs w:val="0"/>
                <w:sz w:val="18"/>
                <w:szCs w:val="18"/>
                <w:rtl w:val="0"/>
              </w:rPr>
              <w:t xml:space="preserve">Hierarchy 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sz w:val="18"/>
                <w:szCs w:val="18"/>
                <w:rtl w:val="0"/>
              </w:rPr>
              <w:t xml:space="preserve">L1 — Policy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0"/>
                <w:bCs w:val="0"/>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0"/>
                <w:bCs w:val="0"/>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0"/>
                <w:bCs w:val="0"/>
                <w:sz w:val="18"/>
                <w:szCs w:val="18"/>
                <w:rtl w:val="0"/>
              </w:rPr>
              <w:t xml:space="preserve">Draft — pending DoE + NOC approval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0"/>
                <w:bCs w:val="0"/>
                <w:sz w:val="18"/>
                <w:szCs w:val="18"/>
                <w:rtl w:val="0"/>
              </w:rPr>
              <w:t xml:space="preserve">Effective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sz w:val="18"/>
                <w:szCs w:val="18"/>
                <w:rtl w:val="0"/>
              </w:rPr>
              <w:t xml:space="preserve">Review Cycle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sz w:val="18"/>
                <w:szCs w:val="18"/>
                <w:rtl w:val="0"/>
              </w:rPr>
              <w:t xml:space="preserve">Annual (ad-hoc on GDPR/ICO/EDPB change)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sz w:val="18"/>
                <w:szCs w:val="18"/>
                <w:rtl w:val="0"/>
              </w:rPr>
              <w:t xml:space="preserve">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sz w:val="18"/>
                <w:szCs w:val="18"/>
                <w:rtl w:val="0"/>
              </w:rPr>
              <w:t xml:space="preserve">CISO-DPO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sz w:val="18"/>
                <w:szCs w:val="18"/>
                <w:rtl w:val="0"/>
              </w:rPr>
              <w:t xml:space="preserve">Approver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sz w:val="18"/>
                <w:szCs w:val="18"/>
                <w:rtl w:val="0"/>
              </w:rPr>
              <w:t xml:space="preserve">DoE + NOC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sz w:val="18"/>
                <w:szCs w:val="18"/>
                <w:rtl w:val="0"/>
              </w:rPr>
              <w:t xml:space="preserve">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sz w:val="18"/>
                <w:szCs w:val="18"/>
                <w:rtl w:val="0"/>
              </w:rPr>
              <w:t xml:space="preserve">Confidential — Internal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sz w:val="18"/>
                <w:szCs w:val="18"/>
                <w:rtl w:val="0"/>
              </w:rPr>
              <w:t xml:space="preserve">Supersedes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sz w:val="18"/>
                <w:szCs w:val="18"/>
                <w:rtl w:val="0"/>
              </w:rPr>
              <w:t xml:space="preserve">POL-011_Data_Protection_Privacy_Policy_v1.0.md (Drive raw markdown, 2026-04-03)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sz w:val="18"/>
                <w:szCs w:val="18"/>
                <w:rtl w:val="0"/>
              </w:rPr>
              <w:t xml:space="preserve">References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sz w:val="18"/>
                <w:szCs w:val="18"/>
                <w:rtl w:val="0"/>
              </w:rPr>
              <w:t xml:space="preserve">GRC-PF-001; GDPR Art.5-49; UK GDPR; CCPA; LGPD; ISO/IEC 27001:2022 A.5.34; NIST CSF 2.0 PR.DS-P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18"/>
                <w:szCs w:val="18"/>
                <w:rtl w:val="0"/>
              </w:rPr>
              <w:t xml:space="preserve">Last Change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sz w:val="18"/>
                <w:szCs w:val="18"/>
                <w:rtl w:val="0"/>
              </w:rPr>
              <w:t xml:space="preserve">Audit Readiness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sz w:val="18"/>
                <w:szCs w:val="18"/>
                <w:rtl w:val="0"/>
              </w:rPr>
              <w:t xml:space="preserve">Audit-ready v1.0 — generated 2026-04-15 for Drive publication; replaces POL-011_*.md on Drive.</w:t>
            </w:r>
            <w:r w:rsidDel="00000000" w:rsidR="00000000" w:rsidRPr="00000000">
              <w:rPr>
                <w:rtl w:val="0"/>
              </w:rPr>
            </w:r>
          </w:p>
        </w:tc>
      </w:tr>
    </w:tbl>
    <w:p w:rsidR="00000000" w:rsidDel="00000000" w:rsidP="00000000" w:rsidRDefault="00000000" w:rsidRPr="00000000" w14:paraId="00000022">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 Purpose</w:t>
      </w:r>
      <w:r w:rsidDel="00000000" w:rsidR="00000000" w:rsidRPr="00000000">
        <w:rPr>
          <w:rtl w:val="0"/>
        </w:rPr>
      </w:r>
    </w:p>
    <w:p w:rsidR="00000000" w:rsidDel="00000000" w:rsidP="00000000" w:rsidRDefault="00000000" w:rsidRPr="00000000" w14:paraId="00000023">
      <w:pPr>
        <w:spacing w:after="100" w:lineRule="auto"/>
        <w:jc w:val="both"/>
        <w:rPr/>
      </w:pPr>
      <w:r w:rsidDel="00000000" w:rsidR="00000000" w:rsidRPr="00000000">
        <w:rPr>
          <w:rFonts w:ascii="Arial" w:cs="Arial" w:eastAsia="Arial" w:hAnsi="Arial"/>
          <w:sz w:val="20"/>
          <w:szCs w:val="20"/>
          <w:rtl w:val="0"/>
        </w:rPr>
        <w:t xml:space="preserve">POL-011 defines Protofire's enterprise position on the protection of personal data, establishes the lawful basis framework for all processing activities, and fixes the obligations of Protofire acting as either data controller or data processor on behalf of clients. It operationalises the EU GDPR / UK GDPR, and — by reference — CCPA (California), LGPD (Brazil), and any sector-specific data-protection regime applicable to an engagement. It is the parent policy for PR-208 (Breach Notification), PR-209 (DSR Handling), GL-304 (Privacy-by-Design), CL-409 (DPIA Screening), REG-505 (ROPA) and REG-510 (DPIA Register).</w:t>
      </w:r>
      <w:r w:rsidDel="00000000" w:rsidR="00000000" w:rsidRPr="00000000">
        <w:rPr>
          <w:rtl w:val="0"/>
        </w:rPr>
      </w:r>
    </w:p>
    <w:p w:rsidR="00000000" w:rsidDel="00000000" w:rsidP="00000000" w:rsidRDefault="00000000" w:rsidRPr="00000000" w14:paraId="00000024">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2. Scope</w:t>
      </w:r>
      <w:r w:rsidDel="00000000" w:rsidR="00000000" w:rsidRPr="00000000">
        <w:rPr>
          <w:rtl w:val="0"/>
        </w:rPr>
      </w:r>
    </w:p>
    <w:p w:rsidR="00000000" w:rsidDel="00000000" w:rsidP="00000000" w:rsidRDefault="00000000" w:rsidRPr="00000000" w14:paraId="00000025">
      <w:pPr>
        <w:spacing w:after="100" w:lineRule="auto"/>
        <w:jc w:val="both"/>
        <w:rPr/>
      </w:pPr>
      <w:r w:rsidDel="00000000" w:rsidR="00000000" w:rsidRPr="00000000">
        <w:rPr>
          <w:rFonts w:ascii="Arial" w:cs="Arial" w:eastAsia="Arial" w:hAnsi="Arial"/>
          <w:sz w:val="20"/>
          <w:szCs w:val="20"/>
          <w:rtl w:val="0"/>
        </w:rPr>
        <w:t xml:space="preserve">Applies to all personal data processing carried out by, or on behalf of, any Protofire entity, regardless of medium, location, or jurisdiction of the data subject. Covers employees, contractors, clients, client end-users, counterparties and third parties. Also applies where Protofire acts as a processor on behalf of a controller; in that case, the controller's instructions and this policy both apply, and the stricter requirement governs. Out of scope: fully anonymised data (as defined in §3) once anonymisation has been verified; and personal data processed by client systems where Protofire has no access and no advisory duty.</w:t>
      </w:r>
      <w:r w:rsidDel="00000000" w:rsidR="00000000" w:rsidRPr="00000000">
        <w:rPr>
          <w:rtl w:val="0"/>
        </w:rPr>
      </w:r>
    </w:p>
    <w:p w:rsidR="00000000" w:rsidDel="00000000" w:rsidP="00000000" w:rsidRDefault="00000000" w:rsidRPr="00000000" w14:paraId="0000002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3. Definitions</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sz w:val="18"/>
                <w:szCs w:val="18"/>
                <w:rtl w:val="0"/>
              </w:rPr>
              <w:t xml:space="preserve">Term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sz w:val="18"/>
                <w:szCs w:val="18"/>
                <w:rtl w:val="0"/>
              </w:rPr>
              <w:t xml:space="preserve">Definition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sz w:val="18"/>
                <w:szCs w:val="18"/>
                <w:rtl w:val="0"/>
              </w:rPr>
              <w:t xml:space="preserve">Personal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sz w:val="18"/>
                <w:szCs w:val="18"/>
                <w:rtl w:val="0"/>
              </w:rPr>
              <w:t xml:space="preserve">GDPR Art.4(1) — any information relating to an identified or identifiable natural person.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sz w:val="18"/>
                <w:szCs w:val="18"/>
                <w:rtl w:val="0"/>
              </w:rPr>
              <w:t xml:space="preserve">Special-Category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sz w:val="18"/>
                <w:szCs w:val="18"/>
                <w:rtl w:val="0"/>
              </w:rPr>
              <w:t xml:space="preserve">GDPR Art.9 — race, political opinion, religion, trade-union, genetics, biometrics, health, sex life/orientation.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sz w:val="18"/>
                <w:szCs w:val="18"/>
                <w:rtl w:val="0"/>
              </w:rPr>
              <w:t xml:space="preserve">Data Controller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sz w:val="18"/>
                <w:szCs w:val="18"/>
                <w:rtl w:val="0"/>
              </w:rPr>
              <w:t xml:space="preserve">The entity that determines the purposes and means of processing (GDPR Art.4(7)).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sz w:val="18"/>
                <w:szCs w:val="18"/>
                <w:rtl w:val="0"/>
              </w:rPr>
              <w:t xml:space="preserve">Data Processor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sz w:val="18"/>
                <w:szCs w:val="18"/>
                <w:rtl w:val="0"/>
              </w:rPr>
              <w:t xml:space="preserve">Entity that processes personal data on behalf of the controller (GDPR Art.4(8)).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sz w:val="18"/>
                <w:szCs w:val="18"/>
                <w:rtl w:val="0"/>
              </w:rPr>
              <w:t xml:space="preserve">DPIA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sz w:val="18"/>
                <w:szCs w:val="18"/>
                <w:rtl w:val="0"/>
              </w:rPr>
              <w:t xml:space="preserve">Data Protection Impact Assessment — GDPR Art.35.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sz w:val="18"/>
                <w:szCs w:val="18"/>
                <w:rtl w:val="0"/>
              </w:rPr>
              <w:t xml:space="preserve">ROPA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sz w:val="18"/>
                <w:szCs w:val="18"/>
                <w:rtl w:val="0"/>
              </w:rPr>
              <w:t xml:space="preserve">Record of Processing Activities — GDPR Art.30; maintained in REG-505.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sz w:val="18"/>
                <w:szCs w:val="18"/>
                <w:rtl w:val="0"/>
              </w:rPr>
              <w:t xml:space="preserve">DSR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sz w:val="18"/>
                <w:szCs w:val="18"/>
                <w:rtl w:val="0"/>
              </w:rPr>
              <w:t xml:space="preserve">Data Subject Request — access, rectification, erasure, restriction, portability, objection (Art.15–22).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sz w:val="18"/>
                <w:szCs w:val="18"/>
                <w:rtl w:val="0"/>
              </w:rPr>
              <w:t xml:space="preserve">DPO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sz w:val="18"/>
                <w:szCs w:val="18"/>
                <w:rtl w:val="0"/>
              </w:rPr>
              <w:t xml:space="preserve">Data Protection Officer — GDPR Art.37–39; function held by CISO.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sz w:val="18"/>
                <w:szCs w:val="18"/>
                <w:rtl w:val="0"/>
              </w:rPr>
              <w:t xml:space="preserve">Lawful Basis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18"/>
                <w:szCs w:val="18"/>
                <w:rtl w:val="0"/>
              </w:rPr>
              <w:t xml:space="preserve">GDPR Art.6(1)(a)–(f) or Art.9(2)(a)–(j) for special-category data.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18"/>
                <w:szCs w:val="18"/>
                <w:rtl w:val="0"/>
              </w:rPr>
              <w:t xml:space="preserve">Anonymisation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18"/>
                <w:szCs w:val="18"/>
                <w:rtl w:val="0"/>
              </w:rPr>
              <w:t xml:space="preserve">Irreversible de-identification such that data subject can no longer be identified by any means reasonably likely to be used.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sz w:val="18"/>
                <w:szCs w:val="18"/>
                <w:rtl w:val="0"/>
              </w:rPr>
              <w:t xml:space="preserve">Pseudonymisation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sz w:val="18"/>
                <w:szCs w:val="18"/>
                <w:rtl w:val="0"/>
              </w:rPr>
              <w:t xml:space="preserve">GDPR Art.4(5) — data cannot be attributed to a subject without additional information.</w:t>
            </w:r>
            <w:r w:rsidDel="00000000" w:rsidR="00000000" w:rsidRPr="00000000">
              <w:rPr>
                <w:rtl w:val="0"/>
              </w:rPr>
            </w:r>
          </w:p>
        </w:tc>
      </w:tr>
    </w:tbl>
    <w:p w:rsidR="00000000" w:rsidDel="00000000" w:rsidP="00000000" w:rsidRDefault="00000000" w:rsidRPr="00000000" w14:paraId="0000003F">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4. Policy Statements</w:t>
      </w:r>
      <w:r w:rsidDel="00000000" w:rsidR="00000000" w:rsidRPr="00000000">
        <w:rPr>
          <w:rtl w:val="0"/>
        </w:rPr>
      </w:r>
    </w:p>
    <w:p w:rsidR="00000000" w:rsidDel="00000000" w:rsidP="00000000" w:rsidRDefault="00000000" w:rsidRPr="00000000" w14:paraId="00000040">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4.1 Principles (GDPR Art.5)</w:t>
      </w:r>
      <w:r w:rsidDel="00000000" w:rsidR="00000000" w:rsidRPr="00000000">
        <w:rPr>
          <w:rtl w:val="0"/>
        </w:rPr>
      </w:r>
    </w:p>
    <w:p w:rsidR="00000000" w:rsidDel="00000000" w:rsidP="00000000" w:rsidRDefault="00000000" w:rsidRPr="00000000" w14:paraId="00000041">
      <w:pPr>
        <w:spacing w:after="100" w:lineRule="auto"/>
        <w:jc w:val="both"/>
        <w:rPr/>
      </w:pPr>
      <w:r w:rsidDel="00000000" w:rsidR="00000000" w:rsidRPr="00000000">
        <w:rPr>
          <w:rFonts w:ascii="Arial" w:cs="Arial" w:eastAsia="Arial" w:hAnsi="Arial"/>
          <w:sz w:val="20"/>
          <w:szCs w:val="20"/>
          <w:rtl w:val="0"/>
        </w:rPr>
        <w:t xml:space="preserve">Protofire processes personal data in accordance with the seven GDPR principles: (a) lawfulness, fairness and transparency; (b) purpose limitation; (c) data minimisation; (d) accuracy; (e) storage limitation; (f) integrity and confidentiality (security); (g) accountability. Accountability is evidenced through this policy, REG-505 ROPA, REG-510 DPIA Register, the DPO function, and the annual DPO report to the NOC.</w:t>
      </w:r>
      <w:r w:rsidDel="00000000" w:rsidR="00000000" w:rsidRPr="00000000">
        <w:rPr>
          <w:rtl w:val="0"/>
        </w:rPr>
      </w:r>
    </w:p>
    <w:p w:rsidR="00000000" w:rsidDel="00000000" w:rsidP="00000000" w:rsidRDefault="00000000" w:rsidRPr="00000000" w14:paraId="00000042">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4.2 Lawful Basis Framework</w:t>
      </w:r>
      <w:r w:rsidDel="00000000" w:rsidR="00000000" w:rsidRPr="00000000">
        <w:rPr>
          <w:rtl w:val="0"/>
        </w:rPr>
      </w:r>
    </w:p>
    <w:p w:rsidR="00000000" w:rsidDel="00000000" w:rsidP="00000000" w:rsidRDefault="00000000" w:rsidRPr="00000000" w14:paraId="00000043">
      <w:pPr>
        <w:spacing w:after="100" w:lineRule="auto"/>
        <w:jc w:val="both"/>
        <w:rPr/>
      </w:pPr>
      <w:r w:rsidDel="00000000" w:rsidR="00000000" w:rsidRPr="00000000">
        <w:rPr>
          <w:rFonts w:ascii="Arial" w:cs="Arial" w:eastAsia="Arial" w:hAnsi="Arial"/>
          <w:sz w:val="20"/>
          <w:szCs w:val="20"/>
          <w:rtl w:val="0"/>
        </w:rPr>
        <w:t xml:space="preserve">Every processing activity must have a lawful basis identified under GDPR Art.6(1), and for special-category data under Art.9(2), before processing begins. The lawful basis is recorded in REG-505 ROPA for each processing activity. Where consent is the lawful basis, it must be freely given, specific, informed, unambiguous and withdrawable; and the withdrawal mechanism must be as easy as the consent mechanism.</w:t>
      </w:r>
      <w:r w:rsidDel="00000000" w:rsidR="00000000" w:rsidRPr="00000000">
        <w:rPr>
          <w:rtl w:val="0"/>
        </w:rPr>
      </w:r>
    </w:p>
    <w:p w:rsidR="00000000" w:rsidDel="00000000" w:rsidP="00000000" w:rsidRDefault="00000000" w:rsidRPr="00000000" w14:paraId="00000044">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4.3 Privacy by Design and by Default (GDPR Art.25)</w:t>
      </w:r>
      <w:r w:rsidDel="00000000" w:rsidR="00000000" w:rsidRPr="00000000">
        <w:rPr>
          <w:rtl w:val="0"/>
        </w:rPr>
      </w:r>
    </w:p>
    <w:p w:rsidR="00000000" w:rsidDel="00000000" w:rsidP="00000000" w:rsidRDefault="00000000" w:rsidRPr="00000000" w14:paraId="00000045">
      <w:pPr>
        <w:spacing w:after="100" w:lineRule="auto"/>
        <w:jc w:val="both"/>
        <w:rPr/>
      </w:pPr>
      <w:r w:rsidDel="00000000" w:rsidR="00000000" w:rsidRPr="00000000">
        <w:rPr>
          <w:rFonts w:ascii="Arial" w:cs="Arial" w:eastAsia="Arial" w:hAnsi="Arial"/>
          <w:sz w:val="20"/>
          <w:szCs w:val="20"/>
          <w:rtl w:val="0"/>
        </w:rPr>
        <w:t xml:space="preserve">Privacy requirements must be embedded at the architecture phase (Gate G4) of every engagement that processes personal data. The operational detail is given in GL-304 Privacy-by-Design Guideline. Default settings must be the most privacy-protective option available; processing that is not necessary for the stated purpose must not occur by default.</w:t>
      </w:r>
      <w:r w:rsidDel="00000000" w:rsidR="00000000" w:rsidRPr="00000000">
        <w:rPr>
          <w:rtl w:val="0"/>
        </w:rPr>
      </w:r>
    </w:p>
    <w:p w:rsidR="00000000" w:rsidDel="00000000" w:rsidP="00000000" w:rsidRDefault="00000000" w:rsidRPr="00000000" w14:paraId="00000046">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4.4 DPIA (GDPR Art.35)</w:t>
      </w:r>
      <w:r w:rsidDel="00000000" w:rsidR="00000000" w:rsidRPr="00000000">
        <w:rPr>
          <w:rtl w:val="0"/>
        </w:rPr>
      </w:r>
    </w:p>
    <w:p w:rsidR="00000000" w:rsidDel="00000000" w:rsidP="00000000" w:rsidRDefault="00000000" w:rsidRPr="00000000" w14:paraId="00000047">
      <w:pPr>
        <w:spacing w:after="100" w:lineRule="auto"/>
        <w:jc w:val="both"/>
        <w:rPr/>
      </w:pPr>
      <w:r w:rsidDel="00000000" w:rsidR="00000000" w:rsidRPr="00000000">
        <w:rPr>
          <w:rFonts w:ascii="Arial Unicode MS" w:cs="Arial Unicode MS" w:eastAsia="Arial Unicode MS" w:hAnsi="Arial Unicode MS"/>
          <w:sz w:val="20"/>
          <w:szCs w:val="20"/>
          <w:rtl w:val="0"/>
        </w:rPr>
        <w:t xml:space="preserve">A DPIA screening (CL-409) is mandatory for every engagement at Gate G4 where personal data is in scope. A full DPIA (recorded in REG-510) is mandatory where the screening indicates likely high risk, where Tier ≥ T2 engagements process EU personal data, where special-category data is in scope, or where Art.35(3) criteria apply. DPIA output with unresolved high residual risk blocks G4 progression; escalation to the DPO and Supervisory Authority consultation (Art.36) applies.</w:t>
      </w:r>
      <w:r w:rsidDel="00000000" w:rsidR="00000000" w:rsidRPr="00000000">
        <w:rPr>
          <w:rtl w:val="0"/>
        </w:rPr>
      </w:r>
    </w:p>
    <w:p w:rsidR="00000000" w:rsidDel="00000000" w:rsidP="00000000" w:rsidRDefault="00000000" w:rsidRPr="00000000" w14:paraId="00000048">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4.5 Data Subject Rights (GDPR Art.12–22)</w:t>
      </w:r>
      <w:r w:rsidDel="00000000" w:rsidR="00000000" w:rsidRPr="00000000">
        <w:rPr>
          <w:rtl w:val="0"/>
        </w:rPr>
      </w:r>
    </w:p>
    <w:p w:rsidR="00000000" w:rsidDel="00000000" w:rsidP="00000000" w:rsidRDefault="00000000" w:rsidRPr="00000000" w14:paraId="00000049">
      <w:pPr>
        <w:spacing w:after="100" w:lineRule="auto"/>
        <w:jc w:val="both"/>
        <w:rPr/>
      </w:pPr>
      <w:r w:rsidDel="00000000" w:rsidR="00000000" w:rsidRPr="00000000">
        <w:rPr>
          <w:rFonts w:ascii="Arial" w:cs="Arial" w:eastAsia="Arial" w:hAnsi="Arial"/>
          <w:sz w:val="20"/>
          <w:szCs w:val="20"/>
          <w:rtl w:val="0"/>
        </w:rPr>
        <w:t xml:space="preserve">Protofire supports all data subject rights applicable to the lawful basis and processing activity: access (Art.15), rectification (Art.16), erasure (Art.17), restriction (Art.18), portability (Art.20), and objection (Art.21). Operational handling is defined in PR-209 DSR Handling Procedure with the 3-business-day acknowledgement and 30-calendar-day fulfilment SLA (extendable by 60 days for complex requests with written notification).</w:t>
      </w:r>
      <w:r w:rsidDel="00000000" w:rsidR="00000000" w:rsidRPr="00000000">
        <w:rPr>
          <w:rtl w:val="0"/>
        </w:rPr>
      </w:r>
    </w:p>
    <w:p w:rsidR="00000000" w:rsidDel="00000000" w:rsidP="00000000" w:rsidRDefault="00000000" w:rsidRPr="00000000" w14:paraId="0000004A">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4.6 Breach Notification (GDPR Art.33–34)</w:t>
      </w:r>
      <w:r w:rsidDel="00000000" w:rsidR="00000000" w:rsidRPr="00000000">
        <w:rPr>
          <w:rtl w:val="0"/>
        </w:rPr>
      </w:r>
    </w:p>
    <w:p w:rsidR="00000000" w:rsidDel="00000000" w:rsidP="00000000" w:rsidRDefault="00000000" w:rsidRPr="00000000" w14:paraId="0000004B">
      <w:pPr>
        <w:spacing w:after="100" w:lineRule="auto"/>
        <w:jc w:val="both"/>
        <w:rPr/>
      </w:pPr>
      <w:r w:rsidDel="00000000" w:rsidR="00000000" w:rsidRPr="00000000">
        <w:rPr>
          <w:rFonts w:ascii="Arial" w:cs="Arial" w:eastAsia="Arial" w:hAnsi="Arial"/>
          <w:sz w:val="20"/>
          <w:szCs w:val="20"/>
          <w:rtl w:val="0"/>
        </w:rPr>
        <w:t xml:space="preserve">Any personal-data breach is handled under PR-208 Breach Notification Procedure: internal escalation to the CISO-DPO within 4 hours of discovery, Supervisory Authority notification within 72 hours of awareness, and data subject notification without undue delay where high risk to rights and freedoms is assessed. All breaches, including near-misses classified as breaches, are recorded in REG-510 and referenced from REG-501 Enterprise Risk Register.</w:t>
      </w:r>
      <w:r w:rsidDel="00000000" w:rsidR="00000000" w:rsidRPr="00000000">
        <w:rPr>
          <w:rtl w:val="0"/>
        </w:rPr>
      </w:r>
    </w:p>
    <w:p w:rsidR="00000000" w:rsidDel="00000000" w:rsidP="00000000" w:rsidRDefault="00000000" w:rsidRPr="00000000" w14:paraId="0000004C">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4.7 International Transfers (GDPR Ch.V)</w:t>
      </w:r>
      <w:r w:rsidDel="00000000" w:rsidR="00000000" w:rsidRPr="00000000">
        <w:rPr>
          <w:rtl w:val="0"/>
        </w:rPr>
      </w:r>
    </w:p>
    <w:p w:rsidR="00000000" w:rsidDel="00000000" w:rsidP="00000000" w:rsidRDefault="00000000" w:rsidRPr="00000000" w14:paraId="0000004D">
      <w:pPr>
        <w:spacing w:after="100" w:lineRule="auto"/>
        <w:jc w:val="both"/>
        <w:rPr/>
      </w:pPr>
      <w:r w:rsidDel="00000000" w:rsidR="00000000" w:rsidRPr="00000000">
        <w:rPr>
          <w:rFonts w:ascii="Arial" w:cs="Arial" w:eastAsia="Arial" w:hAnsi="Arial"/>
          <w:sz w:val="20"/>
          <w:szCs w:val="20"/>
          <w:rtl w:val="0"/>
        </w:rPr>
        <w:t xml:space="preserve">Personal data transfers outside the EEA require a valid transfer mechanism: adequacy decision, Standard Contractual Clauses (2021 modules), Binding Corporate Rules, or a derogation under Art.49. For SCC transfers, a Transfer Impact Assessment is required (EDPB Recommendations 01/2020). Transfer details are recorded in REG-505 per processing activity.</w:t>
      </w:r>
      <w:r w:rsidDel="00000000" w:rsidR="00000000" w:rsidRPr="00000000">
        <w:rPr>
          <w:rtl w:val="0"/>
        </w:rPr>
      </w:r>
    </w:p>
    <w:p w:rsidR="00000000" w:rsidDel="00000000" w:rsidP="00000000" w:rsidRDefault="00000000" w:rsidRPr="00000000" w14:paraId="0000004E">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4.8 Processor Obligations (GDPR Art.28)</w:t>
      </w:r>
      <w:r w:rsidDel="00000000" w:rsidR="00000000" w:rsidRPr="00000000">
        <w:rPr>
          <w:rtl w:val="0"/>
        </w:rPr>
      </w:r>
    </w:p>
    <w:p w:rsidR="00000000" w:rsidDel="00000000" w:rsidP="00000000" w:rsidRDefault="00000000" w:rsidRPr="00000000" w14:paraId="0000004F">
      <w:pPr>
        <w:spacing w:after="100" w:lineRule="auto"/>
        <w:jc w:val="both"/>
        <w:rPr/>
      </w:pPr>
      <w:r w:rsidDel="00000000" w:rsidR="00000000" w:rsidRPr="00000000">
        <w:rPr>
          <w:rFonts w:ascii="Arial" w:cs="Arial" w:eastAsia="Arial" w:hAnsi="Arial"/>
          <w:sz w:val="20"/>
          <w:szCs w:val="20"/>
          <w:rtl w:val="0"/>
        </w:rPr>
        <w:t xml:space="preserve">Where Protofire engages sub-processors, a Data Processing Agreement (DPA) meeting Art.28 requirements is mandatory. Where Protofire acts as processor for a client-controller, a DPA reflecting the client's instructions governs and this policy applies in the stricter-requirement-governs mode. Sub-processor changes follow the change-management process in POL-005 with advance notice to the controller.</w:t>
      </w:r>
      <w:r w:rsidDel="00000000" w:rsidR="00000000" w:rsidRPr="00000000">
        <w:rPr>
          <w:rtl w:val="0"/>
        </w:rPr>
      </w:r>
    </w:p>
    <w:p w:rsidR="00000000" w:rsidDel="00000000" w:rsidP="00000000" w:rsidRDefault="00000000" w:rsidRPr="00000000" w14:paraId="00000050">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4.9 Records of Processing (GDPR Art.30)</w:t>
      </w:r>
      <w:r w:rsidDel="00000000" w:rsidR="00000000" w:rsidRPr="00000000">
        <w:rPr>
          <w:rtl w:val="0"/>
        </w:rPr>
      </w:r>
    </w:p>
    <w:p w:rsidR="00000000" w:rsidDel="00000000" w:rsidP="00000000" w:rsidRDefault="00000000" w:rsidRPr="00000000" w14:paraId="00000051">
      <w:pPr>
        <w:spacing w:after="100" w:lineRule="auto"/>
        <w:jc w:val="both"/>
        <w:rPr/>
      </w:pPr>
      <w:r w:rsidDel="00000000" w:rsidR="00000000" w:rsidRPr="00000000">
        <w:rPr>
          <w:rFonts w:ascii="Arial" w:cs="Arial" w:eastAsia="Arial" w:hAnsi="Arial"/>
          <w:sz w:val="20"/>
          <w:szCs w:val="20"/>
          <w:rtl w:val="0"/>
        </w:rPr>
        <w:t xml:space="preserve">REG-505 is the authoritative Record of Processing Activities and must be kept current. Each processing activity entry includes: name and contact details of the controller / DPO / processor; purposes; categories of data subjects and personal data; categories of recipients; transfers and safeguards; retention period; and a general description of technical and organisational measures. ROPA is reviewed at least annually and upon any material processing change.</w:t>
      </w:r>
      <w:r w:rsidDel="00000000" w:rsidR="00000000" w:rsidRPr="00000000">
        <w:rPr>
          <w:rtl w:val="0"/>
        </w:rPr>
      </w:r>
    </w:p>
    <w:p w:rsidR="00000000" w:rsidDel="00000000" w:rsidP="00000000" w:rsidRDefault="00000000" w:rsidRPr="00000000" w14:paraId="00000052">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4.10 DPO (GDPR Art.37–39)</w:t>
      </w:r>
      <w:r w:rsidDel="00000000" w:rsidR="00000000" w:rsidRPr="00000000">
        <w:rPr>
          <w:rtl w:val="0"/>
        </w:rPr>
      </w:r>
    </w:p>
    <w:p w:rsidR="00000000" w:rsidDel="00000000" w:rsidP="00000000" w:rsidRDefault="00000000" w:rsidRPr="00000000" w14:paraId="00000053">
      <w:pPr>
        <w:spacing w:after="100" w:lineRule="auto"/>
        <w:jc w:val="both"/>
        <w:rPr/>
      </w:pPr>
      <w:r w:rsidDel="00000000" w:rsidR="00000000" w:rsidRPr="00000000">
        <w:rPr>
          <w:rFonts w:ascii="Arial" w:cs="Arial" w:eastAsia="Arial" w:hAnsi="Arial"/>
          <w:sz w:val="20"/>
          <w:szCs w:val="20"/>
          <w:rtl w:val="0"/>
        </w:rPr>
        <w:t xml:space="preserve">The DPO function is held by the CISO. If the CISO becomes unavailable, the CEO shall appoint an interim DPO within 5 business days. The DPO is engaged from the earliest stage of any engagement processing personal data, reports to the highest management level, is not instructed on the performance of DPO tasks, and faces no penalty for performing the role. Contact details of the DPO are published and provided to any supervisory authority on request.</w:t>
      </w:r>
      <w:r w:rsidDel="00000000" w:rsidR="00000000" w:rsidRPr="00000000">
        <w:rPr>
          <w:rtl w:val="0"/>
        </w:rPr>
      </w:r>
    </w:p>
    <w:p w:rsidR="00000000" w:rsidDel="00000000" w:rsidP="00000000" w:rsidRDefault="00000000" w:rsidRPr="00000000" w14:paraId="00000054">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5. Atomic Requirements (seeded verbatim from GitHub main_learning POL-011.md)</w:t>
      </w:r>
      <w:r w:rsidDel="00000000" w:rsidR="00000000" w:rsidRPr="00000000">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600"/>
        <w:gridCol w:w="3000"/>
        <w:tblGridChange w:id="0">
          <w:tblGrid>
            <w:gridCol w:w="1400"/>
            <w:gridCol w:w="5600"/>
            <w:gridCol w:w="3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1"/>
                <w:bCs w:val="1"/>
                <w:sz w:val="18"/>
                <w:szCs w:val="18"/>
                <w:rtl w:val="0"/>
              </w:rPr>
              <w:t xml:space="preserve">Req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1"/>
                <w:bCs w:val="1"/>
                <w:sz w:val="18"/>
                <w:szCs w:val="18"/>
                <w:rtl w:val="0"/>
              </w:rPr>
              <w:t xml:space="preserve">Requirement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1"/>
                <w:bCs w:val="1"/>
                <w:sz w:val="18"/>
                <w:szCs w:val="18"/>
                <w:rtl w:val="0"/>
              </w:rPr>
              <w:t xml:space="preserve">Enforcement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sz w:val="18"/>
                <w:szCs w:val="18"/>
                <w:rtl w:val="0"/>
              </w:rPr>
              <w:t xml:space="preserve">POL-011-R01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sz w:val="18"/>
                <w:szCs w:val="18"/>
                <w:rtl w:val="0"/>
              </w:rPr>
              <w:t xml:space="preserve">Data minimization: only collect personal data with identified lawful basis.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sz w:val="18"/>
                <w:szCs w:val="18"/>
                <w:rtl w:val="0"/>
              </w:rPr>
              <w:t xml:space="preserve">IF lawful_basis = NULL THEN reject(collection)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sz w:val="18"/>
                <w:szCs w:val="18"/>
                <w:rtl w:val="0"/>
              </w:rPr>
              <w:t xml:space="preserve">POL-011-R02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sz w:val="18"/>
                <w:szCs w:val="18"/>
                <w:rtl w:val="0"/>
              </w:rPr>
              <w:t xml:space="preserve">Purpose limitation: data used only for stated purpose.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sz w:val="18"/>
                <w:szCs w:val="18"/>
                <w:rtl w:val="0"/>
              </w:rPr>
              <w:t xml:space="preserve">IF purpose_change THEN require(new_lawful_basis)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sz w:val="18"/>
                <w:szCs w:val="18"/>
                <w:rtl w:val="0"/>
              </w:rPr>
              <w:t xml:space="preserve">POL-011-R03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sz w:val="18"/>
                <w:szCs w:val="18"/>
                <w:rtl w:val="0"/>
              </w:rPr>
              <w:t xml:space="preserve">Privacy impact considered at architecture phase (G4).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sz w:val="18"/>
                <w:szCs w:val="18"/>
                <w:rtl w:val="0"/>
              </w:rPr>
              <w:t xml:space="preserve">IF g4_review AND personal_data THEN require(privacy_assessment)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sz w:val="18"/>
                <w:szCs w:val="18"/>
                <w:rtl w:val="0"/>
              </w:rPr>
              <w:t xml:space="preserve">POL-011-R04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sz w:val="18"/>
                <w:szCs w:val="18"/>
                <w:rtl w:val="0"/>
              </w:rPr>
              <w:t xml:space="preserve">DPIA mandatory for T2+ engagements processing EU personal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sz w:val="18"/>
                <w:szCs w:val="18"/>
                <w:rtl w:val="0"/>
              </w:rPr>
              <w:t xml:space="preserve">IF tier &gt;= T2 AND eu_data THEN require(DPIA_before_G4)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sz w:val="18"/>
                <w:szCs w:val="18"/>
                <w:rtl w:val="0"/>
              </w:rPr>
              <w:t xml:space="preserve">POL-011-R05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sz w:val="18"/>
                <w:szCs w:val="18"/>
                <w:rtl w:val="0"/>
              </w:rPr>
              <w:t xml:space="preserve">Unresolved high-residual DPIA blocks G4.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sz w:val="18"/>
                <w:szCs w:val="18"/>
                <w:rtl w:val="0"/>
              </w:rPr>
              <w:t xml:space="preserve">IF dpia.residual_risk = HIGH AND unresolved THEN block(G4)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sz w:val="18"/>
                <w:szCs w:val="18"/>
                <w:rtl w:val="0"/>
              </w:rPr>
              <w:t xml:space="preserve">POL-011-R06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sz w:val="18"/>
                <w:szCs w:val="18"/>
                <w:rtl w:val="0"/>
              </w:rPr>
              <w:t xml:space="preserve">DSR acknowledged within 3 business days.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sz w:val="18"/>
                <w:szCs w:val="18"/>
                <w:rtl w:val="0"/>
              </w:rPr>
              <w:t xml:space="preserve">IF dsr_received THEN ack(3_bdays)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sz w:val="18"/>
                <w:szCs w:val="18"/>
                <w:rtl w:val="0"/>
              </w:rPr>
              <w:t xml:space="preserve">POL-011-R07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sz w:val="18"/>
                <w:szCs w:val="18"/>
                <w:rtl w:val="0"/>
              </w:rPr>
              <w:t xml:space="preserve">DSR fulfilled within 30 calendar days; extendable by 60d for complex requests with written notification.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sz w:val="18"/>
                <w:szCs w:val="18"/>
                <w:rtl w:val="0"/>
              </w:rPr>
              <w:t xml:space="preserve">IF dsr_complex THEN extend(60d, notify_subject)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sz w:val="18"/>
                <w:szCs w:val="18"/>
                <w:rtl w:val="0"/>
              </w:rPr>
              <w:t xml:space="preserve">POL-011-R08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sz w:val="18"/>
                <w:szCs w:val="18"/>
                <w:rtl w:val="0"/>
              </w:rPr>
              <w:t xml:space="preserve">Internal breach report to CISO within 4 hours of discovery.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sz w:val="18"/>
                <w:szCs w:val="18"/>
                <w:rtl w:val="0"/>
              </w:rPr>
              <w:t xml:space="preserve">IF breach_discovered THEN notify(CISO, 4h)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sz w:val="18"/>
                <w:szCs w:val="18"/>
                <w:rtl w:val="0"/>
              </w:rPr>
              <w:t xml:space="preserve">POL-011-R09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sz w:val="18"/>
                <w:szCs w:val="18"/>
                <w:rtl w:val="0"/>
              </w:rPr>
              <w:t xml:space="preserve">Supervisory authority notification within 72 hours of awareness.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sz w:val="18"/>
                <w:szCs w:val="18"/>
                <w:rtl w:val="0"/>
              </w:rPr>
              <w:t xml:space="preserve">IF personal_data_breach THEN notify(authority, 72h)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sz w:val="18"/>
                <w:szCs w:val="18"/>
                <w:rtl w:val="0"/>
              </w:rPr>
              <w:t xml:space="preserve">POL-011-R10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sz w:val="18"/>
                <w:szCs w:val="18"/>
                <w:rtl w:val="0"/>
              </w:rPr>
              <w:t xml:space="preserve">Data subjects notified without undue delay if high risk to rights.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sz w:val="18"/>
                <w:szCs w:val="18"/>
                <w:rtl w:val="0"/>
              </w:rPr>
              <w:t xml:space="preserve">IF risk_to_rights = HIGH THEN notify(data_subjects, without_undue_delay)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sz w:val="18"/>
                <w:szCs w:val="18"/>
                <w:rtl w:val="0"/>
              </w:rPr>
              <w:t xml:space="preserve">POL-011-R11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sz w:val="18"/>
                <w:szCs w:val="18"/>
                <w:rtl w:val="0"/>
              </w:rPr>
              <w:t xml:space="preserve">Transfers outside EEA require safeguard mechanism (SCCs, adequacy, BCRs).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sz w:val="18"/>
                <w:szCs w:val="18"/>
                <w:rtl w:val="0"/>
              </w:rPr>
              <w:t xml:space="preserve">IF transfer_outside_eea AND safeguard = NULL THEN block(transfer)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sz w:val="18"/>
                <w:szCs w:val="18"/>
                <w:rtl w:val="0"/>
              </w:rPr>
              <w:t xml:space="preserve">POL-011-R12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sz w:val="18"/>
                <w:szCs w:val="18"/>
                <w:rtl w:val="0"/>
              </w:rPr>
              <w:t xml:space="preserve">DPA required with all sub-processors.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sz w:val="18"/>
                <w:szCs w:val="18"/>
                <w:rtl w:val="0"/>
              </w:rPr>
              <w:t xml:space="preserve">IF sub_processor AND dpa = NULL THEN block(engagement)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0"/>
                <w:bCs w:val="0"/>
                <w:sz w:val="18"/>
                <w:szCs w:val="18"/>
                <w:rtl w:val="0"/>
              </w:rPr>
              <w:t xml:space="preserve">POL-011-R13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sz w:val="18"/>
                <w:szCs w:val="18"/>
                <w:rtl w:val="0"/>
              </w:rPr>
              <w:t xml:space="preserve">ROPA maintained and current for all processing activities.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sz w:val="18"/>
                <w:szCs w:val="18"/>
                <w:rtl w:val="0"/>
              </w:rPr>
              <w:t xml:space="preserve">IF new_processing THEN update(REG-505)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0"/>
                <w:bCs w:val="0"/>
                <w:sz w:val="18"/>
                <w:szCs w:val="18"/>
                <w:rtl w:val="0"/>
              </w:rPr>
              <w:t xml:space="preserve">POL-011-R14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0"/>
                <w:bCs w:val="0"/>
                <w:sz w:val="18"/>
                <w:szCs w:val="18"/>
                <w:rtl w:val="0"/>
              </w:rPr>
              <w:t xml:space="preserve">DPO function held by CISO. Succession: CEO appoints interim within 5 business days.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sz w:val="18"/>
                <w:szCs w:val="18"/>
                <w:rtl w:val="0"/>
              </w:rPr>
              <w:t xml:space="preserve">IF dpo_unavailable THEN ceo.appoint_interim(5_bdays)</w:t>
            </w:r>
            <w:r w:rsidDel="00000000" w:rsidR="00000000" w:rsidRPr="00000000">
              <w:rPr>
                <w:rtl w:val="0"/>
              </w:rPr>
            </w:r>
          </w:p>
        </w:tc>
      </w:tr>
    </w:tbl>
    <w:p w:rsidR="00000000" w:rsidDel="00000000" w:rsidP="00000000" w:rsidRDefault="00000000" w:rsidRPr="00000000" w14:paraId="00000082">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6. Roles &amp; Responsibilities</w:t>
      </w:r>
      <w:r w:rsidDel="00000000" w:rsidR="00000000" w:rsidRPr="00000000">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00"/>
        <w:tblGridChange w:id="0">
          <w:tblGrid>
            <w:gridCol w:w="2600"/>
            <w:gridCol w:w="7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1"/>
                <w:bCs w:val="1"/>
                <w:sz w:val="18"/>
                <w:szCs w:val="18"/>
                <w:rtl w:val="0"/>
              </w:rPr>
              <w:t xml:space="preserve">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1"/>
                <w:bCs w:val="1"/>
                <w:sz w:val="18"/>
                <w:szCs w:val="18"/>
                <w:rtl w:val="0"/>
              </w:rPr>
              <w:t xml:space="preserve">Responsibility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sz w:val="18"/>
                <w:szCs w:val="18"/>
                <w:rtl w:val="0"/>
              </w:rPr>
              <w:t xml:space="preserve">DPO (held by CISO)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sz w:val="18"/>
                <w:szCs w:val="18"/>
                <w:rtl w:val="0"/>
              </w:rPr>
              <w:t xml:space="preserve">Accountable for this policy; single contact point for supervisory authorities and data subjects; reviews DPIA output; approves international transfer mechanisms.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sz w:val="18"/>
                <w:szCs w:val="18"/>
                <w:rtl w:val="0"/>
              </w:rPr>
              <w:t xml:space="preserve">CEO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sz w:val="18"/>
                <w:szCs w:val="18"/>
                <w:rtl w:val="0"/>
              </w:rPr>
              <w:t xml:space="preserve">Appoints interim DPO within 5 business days if CISO-DPO becomes unavailable; escalation path for Art.36 Supervisory Authority consultation.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sz w:val="18"/>
                <w:szCs w:val="18"/>
                <w:rtl w:val="0"/>
              </w:rPr>
              <w:t xml:space="preserve">CISO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sz w:val="18"/>
                <w:szCs w:val="18"/>
                <w:rtl w:val="0"/>
              </w:rPr>
              <w:t xml:space="preserve">Owns the security measures underpinning this policy (Art.32); maintains ROPA integrity jointly with Engagement Owners.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sz w:val="18"/>
                <w:szCs w:val="18"/>
                <w:rtl w:val="0"/>
              </w:rPr>
              <w:t xml:space="preserve">Director of Engineering (DoE)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sz w:val="18"/>
                <w:szCs w:val="18"/>
                <w:rtl w:val="0"/>
              </w:rPr>
              <w:t xml:space="preserve">Co-approves the policy; accountable for Privacy-by-Design enforcement in STD-101.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sz w:val="18"/>
                <w:szCs w:val="18"/>
                <w:rtl w:val="0"/>
              </w:rPr>
              <w:t xml:space="preserve">Engagement Owner (TL /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sz w:val="18"/>
                <w:szCs w:val="18"/>
                <w:rtl w:val="0"/>
              </w:rPr>
              <w:t xml:space="preserve">Responsible for identifying lawful basis, documenting the ROPA entry, running CL-409 DPIA screening at G4, and escalating DPIA findings to the DPO.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sz w:val="18"/>
                <w:szCs w:val="18"/>
                <w:rtl w:val="0"/>
              </w:rPr>
              <w:t xml:space="preserve">vCISO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sz w:val="18"/>
                <w:szCs w:val="18"/>
                <w:rtl w:val="0"/>
              </w:rPr>
              <w:t xml:space="preserve">Independent advisory review of DPIA output where special-category data is in scope; mandatory Gate G4 co-sign.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sz w:val="18"/>
                <w:szCs w:val="18"/>
                <w:rtl w:val="0"/>
              </w:rPr>
              <w:t xml:space="preserve">Legal / Compliance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sz w:val="18"/>
                <w:szCs w:val="18"/>
                <w:rtl w:val="0"/>
              </w:rPr>
              <w:t xml:space="preserve">Consulted on Art.6 lawful-basis assessments, Art.28 DPA drafting, Art.49 derogations, and Supervisory Authority correspondence.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sz w:val="18"/>
                <w:szCs w:val="18"/>
                <w:rtl w:val="0"/>
              </w:rPr>
              <w:t xml:space="preserve">All Personnel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sz w:val="18"/>
                <w:szCs w:val="18"/>
                <w:rtl w:val="0"/>
              </w:rPr>
              <w:t xml:space="preserve">Responsible for handling personal data in accordance with this policy; reporting suspected breaches to the CISO-DPO within 4 hours of suspicion.</w:t>
            </w:r>
            <w:r w:rsidDel="00000000" w:rsidR="00000000" w:rsidRPr="00000000">
              <w:rPr>
                <w:rtl w:val="0"/>
              </w:rPr>
            </w:r>
          </w:p>
        </w:tc>
      </w:tr>
    </w:tbl>
    <w:p w:rsidR="00000000" w:rsidDel="00000000" w:rsidP="00000000" w:rsidRDefault="00000000" w:rsidRPr="00000000" w14:paraId="00000095">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7. Control Mapping</w:t>
      </w:r>
      <w:r w:rsidDel="00000000" w:rsidR="00000000" w:rsidRPr="00000000">
        <w:rPr>
          <w:rtl w:val="0"/>
        </w:rPr>
      </w:r>
    </w:p>
    <w:tbl>
      <w:tblPr>
        <w:tblStyle w:val="Table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00"/>
        <w:tblGridChange w:id="0">
          <w:tblGrid>
            <w:gridCol w:w="2400"/>
            <w:gridCol w:w="76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1"/>
                <w:bCs w:val="1"/>
                <w:sz w:val="18"/>
                <w:szCs w:val="18"/>
                <w:rtl w:val="0"/>
              </w:rPr>
              <w:t xml:space="preserve">Framework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1"/>
                <w:bCs w:val="1"/>
                <w:sz w:val="18"/>
                <w:szCs w:val="18"/>
                <w:rtl w:val="0"/>
              </w:rPr>
              <w:t xml:space="preserve">Clause / Control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sz w:val="18"/>
                <w:szCs w:val="18"/>
                <w:rtl w:val="0"/>
              </w:rPr>
              <w:t xml:space="preserve">GDPR / UK GDPR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sz w:val="18"/>
                <w:szCs w:val="18"/>
                <w:rtl w:val="0"/>
              </w:rPr>
              <w:t xml:space="preserve">Art.5 Principles; Art.6 Lawful basis; Art.9 Special-category; Art.12–22 Data subject rights; Art.25 Privacy by Design; Art.28 Processor; Art.30 ROPA; Art.32 Security; Art.33–34 Breach notification; Art.35 DPIA; Art.36 Prior consultation; Art.37–39 DPO; Art.44–49 International transfers.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sz w:val="18"/>
                <w:szCs w:val="18"/>
                <w:rtl w:val="0"/>
              </w:rPr>
              <w:t xml:space="preserve">ISO/IEC 27001:2022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sz w:val="18"/>
                <w:szCs w:val="18"/>
                <w:rtl w:val="0"/>
              </w:rPr>
              <w:t xml:space="preserve">A.5.34 Privacy and protection of PII; A.5.14 Information transfer; A.8.11 Data masking; A.8.12 Data leakage prevention; A.5.33 Protection of records.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sz w:val="18"/>
                <w:szCs w:val="18"/>
                <w:rtl w:val="0"/>
              </w:rPr>
              <w:t xml:space="preserve">NIST CSF 2.0 (Privacy Overlay)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sz w:val="18"/>
                <w:szCs w:val="18"/>
                <w:rtl w:val="0"/>
              </w:rPr>
              <w:t xml:space="preserve">GV.RR Roles &amp; Responsibilities; PR.DS-P Data Security (Privacy); PR.IP-P Information Protection Processes.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sz w:val="18"/>
                <w:szCs w:val="18"/>
                <w:rtl w:val="0"/>
              </w:rPr>
              <w:t xml:space="preserve">NIST SP 800-53 Rev.5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0"/>
                <w:bCs w:val="0"/>
                <w:sz w:val="18"/>
                <w:szCs w:val="18"/>
                <w:rtl w:val="0"/>
              </w:rPr>
              <w:t xml:space="preserve">PT-1..PT-8 PII Processing &amp; Transparency; SI-12 Information Handling &amp; Retention.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0"/>
                <w:bCs w:val="0"/>
                <w:sz w:val="18"/>
                <w:szCs w:val="18"/>
                <w:rtl w:val="0"/>
              </w:rPr>
              <w:t xml:space="preserve">SOC 2 (TSC)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sz w:val="18"/>
                <w:szCs w:val="18"/>
                <w:rtl w:val="0"/>
              </w:rPr>
              <w:t xml:space="preserve">P1 Notice; P2 Choice &amp; Consent; P3 Collection; P4 Use, Retention &amp; Disposal; P5 Access; P6 Disclosure to Third Parties; P7 Quality; P8 Monitoring &amp; Enforcement.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sz w:val="18"/>
                <w:szCs w:val="18"/>
                <w:rtl w:val="0"/>
              </w:rPr>
              <w:t xml:space="preserve">CCPA / CPRA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sz w:val="18"/>
                <w:szCs w:val="18"/>
                <w:rtl w:val="0"/>
              </w:rPr>
              <w:t xml:space="preserve">§1798.100 Right to know; §1798.105 Right to delete; §1798.106 Right to correct; §1798.110 Request for specific pieces; §1798.125 Non-discrimination; §1798.135 Methods for submitting requests.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0"/>
                <w:bCs w:val="0"/>
                <w:sz w:val="18"/>
                <w:szCs w:val="18"/>
                <w:rtl w:val="0"/>
              </w:rPr>
              <w:t xml:space="preserve">LGPD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0"/>
                <w:bCs w:val="0"/>
                <w:sz w:val="18"/>
                <w:szCs w:val="18"/>
                <w:rtl w:val="0"/>
              </w:rPr>
              <w:t xml:space="preserve">Art.6 Principles; Art.7/11 Lawful basis; Art.18 Data subject rights; Art.46 Security; Art.48 Breach notification.</w:t>
            </w:r>
            <w:r w:rsidDel="00000000" w:rsidR="00000000" w:rsidRPr="00000000">
              <w:rPr>
                <w:rtl w:val="0"/>
              </w:rPr>
            </w:r>
          </w:p>
        </w:tc>
      </w:tr>
    </w:tbl>
    <w:p w:rsidR="00000000" w:rsidDel="00000000" w:rsidP="00000000" w:rsidRDefault="00000000" w:rsidRPr="00000000" w14:paraId="000000A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8. Evidence &amp; Recordkeeping</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REG-505 Record of Processing Activities — per processing activity, current</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REG-510 DPIA Register — per DPIA conducted, including screening outcomes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CL-409 DPIA Screening records — one per Gate G4</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PR-208 Breach log (incident records) — referenced from REG-501 and REG-510</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PR-209 DSR log — acknowledgement + fulfilment timestamps per request</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Standard Contractual Clauses (2021 modules) and Transfer Impact Assessments — per cross-border processing activity</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Processing Agreements — per sub-processor and per client-controller engagement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DPO annual report to the NOC — tabled at the annual governance review</w:t>
      </w:r>
    </w:p>
    <w:p w:rsidR="00000000" w:rsidDel="00000000" w:rsidP="00000000" w:rsidRDefault="00000000" w:rsidRPr="00000000" w14:paraId="000000AF">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9. Exceptions</w:t>
      </w:r>
      <w:r w:rsidDel="00000000" w:rsidR="00000000" w:rsidRPr="00000000">
        <w:rPr>
          <w:rtl w:val="0"/>
        </w:rPr>
      </w:r>
    </w:p>
    <w:p w:rsidR="00000000" w:rsidDel="00000000" w:rsidP="00000000" w:rsidRDefault="00000000" w:rsidRPr="00000000" w14:paraId="000000B0">
      <w:pPr>
        <w:spacing w:after="100" w:lineRule="auto"/>
        <w:jc w:val="both"/>
        <w:rPr/>
      </w:pPr>
      <w:r w:rsidDel="00000000" w:rsidR="00000000" w:rsidRPr="00000000">
        <w:rPr>
          <w:rFonts w:ascii="Arial" w:cs="Arial" w:eastAsia="Arial" w:hAnsi="Arial"/>
          <w:sz w:val="20"/>
          <w:szCs w:val="20"/>
          <w:rtl w:val="0"/>
        </w:rPr>
        <w:t xml:space="preserve">Deviations from this policy require a formal exception under POL-009 Exception &amp; Deviation Policy. Privacy-affecting exceptions default to classification E2 or higher given mandatory DPO co-approval. HS-01 OFAC and HS-06 Irreversibility hard stops are non-exceptable. Undocumented deviation is treated as a GDPR Art.5(2) accountability failure and must be reported through the Internal Audit Programme (IAP-001); where such a deviation results in a reportable breach, Art.33/34 notification obligations apply.</w:t>
      </w:r>
      <w:r w:rsidDel="00000000" w:rsidR="00000000" w:rsidRPr="00000000">
        <w:rPr>
          <w:rtl w:val="0"/>
        </w:rPr>
      </w:r>
    </w:p>
    <w:p w:rsidR="00000000" w:rsidDel="00000000" w:rsidP="00000000" w:rsidRDefault="00000000" w:rsidRPr="00000000" w14:paraId="000000B1">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10. Metrics &amp; KRIs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DSR acknowledgement within 3 BD — target 100% (KRI in STD-110)</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DSR fulfilment within 30 CD — target ≥ 95%</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Breaches reported to CISO within 4 h — target 100%</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Supervisory Authority notifications within 72 h — target 100% (reportable events)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DPIA screening coverage at G4 — target 100% of engagements processing personal data</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ROPA currency — last review ≤ 12 months for every processing activity</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Sub-processor DPA coverage — target 100%</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DSR backlog (count + aged &gt; 20 CD) — Amber 5 / Red 10 or any single age &gt; 25 CD</w:t>
      </w:r>
    </w:p>
    <w:p w:rsidR="00000000" w:rsidDel="00000000" w:rsidP="00000000" w:rsidRDefault="00000000" w:rsidRPr="00000000" w14:paraId="000000BA">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11. Review &amp; Maintenance</w:t>
      </w:r>
      <w:r w:rsidDel="00000000" w:rsidR="00000000" w:rsidRPr="00000000">
        <w:rPr>
          <w:rtl w:val="0"/>
        </w:rPr>
      </w:r>
    </w:p>
    <w:p w:rsidR="00000000" w:rsidDel="00000000" w:rsidP="00000000" w:rsidRDefault="00000000" w:rsidRPr="00000000" w14:paraId="000000BB">
      <w:pPr>
        <w:spacing w:after="100" w:lineRule="auto"/>
        <w:jc w:val="both"/>
        <w:rPr/>
      </w:pPr>
      <w:r w:rsidDel="00000000" w:rsidR="00000000" w:rsidRPr="00000000">
        <w:rPr>
          <w:rFonts w:ascii="Arial" w:cs="Arial" w:eastAsia="Arial" w:hAnsi="Arial"/>
          <w:sz w:val="20"/>
          <w:szCs w:val="20"/>
          <w:rtl w:val="0"/>
        </w:rPr>
        <w:t xml:space="preserve">Reviewed on an Annual cadence by the CISO-DPO and additionally upon: (a) regulatory change (GDPR, UK GDPR, CCPA, LGPD, ICO / EDPB / CNIL / ANPD guidance updates), (b) material change to processing activities or sub-processors, (c) breach or near-miss with privacy impact, (d) change of CISO-DPO, or (e) Supervisory Authority investigation affecting Protofire. Review actions (confirm / amend / supersede) are recorded in REG-511 and approved by DoE + NOC.</w:t>
      </w:r>
      <w:r w:rsidDel="00000000" w:rsidR="00000000" w:rsidRPr="00000000">
        <w:rPr>
          <w:rtl w:val="0"/>
        </w:rPr>
      </w:r>
    </w:p>
    <w:p w:rsidR="00000000" w:rsidDel="00000000" w:rsidP="00000000" w:rsidRDefault="00000000" w:rsidRPr="00000000" w14:paraId="000000BC">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12. Version History</w:t>
      </w:r>
      <w:r w:rsidDel="00000000" w:rsidR="00000000" w:rsidRPr="00000000">
        <w:rPr>
          <w:rtl w:val="0"/>
        </w:rPr>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600"/>
        <w:gridCol w:w="4000"/>
        <w:tblGridChange w:id="0">
          <w:tblGrid>
            <w:gridCol w:w="1200"/>
            <w:gridCol w:w="1600"/>
            <w:gridCol w:w="2600"/>
            <w:gridCol w:w="4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1"/>
                <w:bCs w:val="1"/>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BE">
            <w:pPr>
              <w:jc w:val="left"/>
              <w:rPr/>
            </w:pPr>
            <w:r w:rsidDel="00000000" w:rsidR="00000000" w:rsidRPr="00000000">
              <w:rPr>
                <w:rFonts w:ascii="Arial" w:cs="Arial" w:eastAsia="Arial" w:hAnsi="Arial"/>
                <w:b w:val="1"/>
                <w:bCs w:val="1"/>
                <w:sz w:val="18"/>
                <w:szCs w:val="18"/>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BF">
            <w:pPr>
              <w:jc w:val="left"/>
              <w:rPr/>
            </w:pPr>
            <w:r w:rsidDel="00000000" w:rsidR="00000000" w:rsidRPr="00000000">
              <w:rPr>
                <w:rFonts w:ascii="Arial" w:cs="Arial" w:eastAsia="Arial" w:hAnsi="Arial"/>
                <w:b w:val="1"/>
                <w:bCs w:val="1"/>
                <w:sz w:val="18"/>
                <w:szCs w:val="18"/>
                <w:rtl w:val="0"/>
              </w:rPr>
              <w:t xml:space="preserve">Author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1"/>
                <w:bCs w:val="1"/>
                <w:sz w:val="18"/>
                <w:szCs w:val="18"/>
                <w:rtl w:val="0"/>
              </w:rPr>
              <w:t xml:space="preserve">Change Summary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C1">
            <w:pPr>
              <w:jc w:val="left"/>
              <w:rPr/>
            </w:pPr>
            <w:r w:rsidDel="00000000" w:rsidR="00000000" w:rsidRPr="00000000">
              <w:rPr>
                <w:rFonts w:ascii="Arial" w:cs="Arial" w:eastAsia="Arial" w:hAnsi="Arial"/>
                <w:b w:val="0"/>
                <w:bCs w:val="0"/>
                <w:sz w:val="18"/>
                <w:szCs w:val="18"/>
                <w:rtl w:val="0"/>
              </w:rPr>
              <w:t xml:space="preserve">v1.0 (markdown)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0"/>
                <w:bCs w:val="0"/>
                <w:sz w:val="18"/>
                <w:szCs w:val="18"/>
                <w:rtl w:val="0"/>
              </w:rPr>
              <w:t xml:space="preserve">2026-04-03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0"/>
                <w:bCs w:val="0"/>
                <w:sz w:val="18"/>
                <w:szCs w:val="18"/>
                <w:rtl w:val="0"/>
              </w:rPr>
              <w:t xml:space="preserve">CISO-DPO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0"/>
                <w:bCs w:val="0"/>
                <w:sz w:val="18"/>
                <w:szCs w:val="18"/>
                <w:rtl w:val="0"/>
              </w:rPr>
              <w:t xml:space="preserve">Raw markdown draft in Drive + GitHub main_learning — 14 atomic requirements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0"/>
                <w:bCs w:val="0"/>
                <w:sz w:val="18"/>
                <w:szCs w:val="18"/>
                <w:rtl w:val="0"/>
              </w:rPr>
              <w:t xml:space="preserve">v1.0 (audit-ready DOCX)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C7">
            <w:pPr>
              <w:jc w:val="left"/>
              <w:rPr/>
            </w:pPr>
            <w:r w:rsidDel="00000000" w:rsidR="00000000" w:rsidRPr="00000000">
              <w:rPr>
                <w:rFonts w:ascii="Arial" w:cs="Arial" w:eastAsia="Arial" w:hAnsi="Arial"/>
                <w:b w:val="0"/>
                <w:bCs w:val="0"/>
                <w:sz w:val="18"/>
                <w:szCs w:val="18"/>
                <w:rtl w:val="0"/>
              </w:rPr>
              <w:t xml:space="preserve">CISO-DPO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0"/>
                <w:bCs w:val="0"/>
                <w:sz w:val="18"/>
                <w:szCs w:val="18"/>
                <w:rtl w:val="0"/>
              </w:rPr>
              <w:t xml:space="preserve">Full audit-ready publication for Drive: expanded principles, lawful-basis framework, DPO role, control mapping (GDPR / ISO 27001:2022 / NIST CSF 2.0 Privacy / SP 800-53 PT / SOC 2 Privacy / CCPA / LGPD), evidence and KRI thresholds.</w:t>
            </w:r>
            <w:r w:rsidDel="00000000" w:rsidR="00000000" w:rsidRPr="00000000">
              <w:rPr>
                <w:rtl w:val="0"/>
              </w:rPr>
            </w:r>
          </w:p>
        </w:tc>
      </w:tr>
    </w:tbl>
    <w:p w:rsidR="00000000" w:rsidDel="00000000" w:rsidP="00000000" w:rsidRDefault="00000000" w:rsidRPr="00000000" w14:paraId="000000C9">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13. Appendix — Cross-References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GRC-PF-001 Governance &amp; Security Policy Framework (parent)</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PR-208 Breach Notification Procedure</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PR-209 DSR Handling Procedure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GL-304 Privacy-by-Design Guideline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CL-409 DPIA Screening Checklist</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REG-505 Record of Processing Activities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REG-510 DPIA Register</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REG-511 Document Registry</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POL-005 Change Management Policy (sub-processor changes)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POL-007 Vendor &amp; Third-Party Risk Policy (sub-processor onboarding)</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POL-009 Exception &amp; Deviation Policy</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STD-110 KRI Dashboard Specification</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IAP-001 Internal Audit Programme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CTL-PRI-001..005, CTL-SEC-008 (control catalogue)</w:t>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jc w:val="center"/>
      <w:rPr/>
    </w:pPr>
    <w:r w:rsidDel="00000000" w:rsidR="00000000" w:rsidRPr="00000000">
      <w:rPr>
        <w:rFonts w:ascii="Arial" w:cs="Arial" w:eastAsia="Arial" w:hAnsi="Arial"/>
        <w:color w:val="808080"/>
        <w:sz w:val="16"/>
        <w:szCs w:val="16"/>
        <w:rtl w:val="0"/>
      </w:rPr>
      <w:t xml:space="preserve">Protofire GRC — Page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08080"/>
        <w:sz w:val="16"/>
        <w:szCs w:val="16"/>
        <w:rtl w:val="0"/>
      </w:rPr>
      <w:t xml:space="preserve"> of </w:t>
    </w:r>
    <w:r w:rsidDel="00000000" w:rsidR="00000000" w:rsidRPr="00000000">
      <w:rPr>
        <w:rFonts w:ascii="Arial" w:cs="Arial" w:eastAsia="Arial" w:hAnsi="Arial"/>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jc w:val="right"/>
      <w:rPr/>
    </w:pPr>
    <w:r w:rsidDel="00000000" w:rsidR="00000000" w:rsidRPr="00000000">
      <w:rPr>
        <w:rFonts w:ascii="Arial" w:cs="Arial" w:eastAsia="Arial" w:hAnsi="Arial"/>
        <w:color w:val="808080"/>
        <w:sz w:val="16"/>
        <w:szCs w:val="16"/>
        <w:rtl w:val="0"/>
      </w:rPr>
      <w:t xml:space="preserve">Confidential — Internal    |    POL-011    |    v1.0    |    Effective 2026-04-15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