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POL-013 — Business Continuity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**Document ID**</w:t>
            </w:r>
          </w:p>
        </w:tc>
        <w:tc>
          <w:tcPr>
            <w:tcW w:type="dxa" w:w="4320"/>
          </w:tcPr>
          <w:p>
            <w:r>
              <w:t>POL-013</w:t>
            </w:r>
          </w:p>
        </w:tc>
      </w:tr>
      <w:tr>
        <w:tc>
          <w:tcPr>
            <w:tcW w:type="dxa" w:w="4320"/>
          </w:tcPr>
          <w:p>
            <w:r>
              <w:t>**Document Title**</w:t>
            </w:r>
          </w:p>
        </w:tc>
        <w:tc>
          <w:tcPr>
            <w:tcW w:type="dxa" w:w="4320"/>
          </w:tcPr>
          <w:p>
            <w:r>
              <w:t>Business Continuity Policy</w:t>
            </w:r>
          </w:p>
        </w:tc>
      </w:tr>
      <w:tr>
        <w:tc>
          <w:tcPr>
            <w:tcW w:type="dxa" w:w="4320"/>
          </w:tcPr>
          <w:p>
            <w:r>
              <w:t>**Document Type**</w:t>
            </w:r>
          </w:p>
        </w:tc>
        <w:tc>
          <w:tcPr>
            <w:tcW w:type="dxa" w:w="4320"/>
          </w:tcPr>
          <w:p>
            <w:r>
              <w:t>Policy (L1)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Draft — pending approval</w:t>
            </w:r>
          </w:p>
        </w:tc>
      </w:tr>
      <w:tr>
        <w:tc>
          <w:tcPr>
            <w:tcW w:type="dxa" w:w="4320"/>
          </w:tcPr>
          <w:p>
            <w:r>
              <w:t>**Effective Date**</w:t>
            </w:r>
          </w:p>
        </w:tc>
        <w:tc>
          <w:tcPr>
            <w:tcW w:type="dxa" w:w="4320"/>
          </w:tcPr>
          <w:p>
            <w:r>
              <w:t>Upon approval — [DD Month 2026]</w:t>
            </w:r>
          </w:p>
        </w:tc>
      </w:tr>
      <w:tr>
        <w:tc>
          <w:tcPr>
            <w:tcW w:type="dxa" w:w="4320"/>
          </w:tcPr>
          <w:p>
            <w:r>
              <w:t>**Review Cycle**</w:t>
            </w:r>
          </w:p>
        </w:tc>
        <w:tc>
          <w:tcPr>
            <w:tcW w:type="dxa" w:w="4320"/>
          </w:tcPr>
          <w:p>
            <w:r>
              <w:t>Annual (or upon material change)</w:t>
            </w:r>
          </w:p>
        </w:tc>
      </w:tr>
      <w:tr>
        <w:tc>
          <w:tcPr>
            <w:tcW w:type="dxa" w:w="4320"/>
          </w:tcPr>
          <w:p>
            <w:r>
              <w:t>**Owner**</w:t>
            </w:r>
          </w:p>
        </w:tc>
        <w:tc>
          <w:tcPr>
            <w:tcW w:type="dxa" w:w="4320"/>
          </w:tcPr>
          <w:p>
            <w:r>
              <w:t>CISO — Aleksey Lekontsev</w:t>
            </w:r>
          </w:p>
        </w:tc>
      </w:tr>
      <w:tr>
        <w:tc>
          <w:tcPr>
            <w:tcW w:type="dxa" w:w="4320"/>
          </w:tcPr>
          <w:p>
            <w:r>
              <w:t>**Approver**</w:t>
            </w:r>
          </w:p>
        </w:tc>
        <w:tc>
          <w:tcPr>
            <w:tcW w:type="dxa" w:w="4320"/>
          </w:tcPr>
          <w:p>
            <w:r>
              <w:t>Director of Engineering + CEO</w:t>
            </w:r>
          </w:p>
        </w:tc>
      </w:tr>
      <w:tr>
        <w:tc>
          <w:tcPr>
            <w:tcW w:type="dxa" w:w="4320"/>
          </w:tcPr>
          <w:p>
            <w:r>
              <w:t>**Classification**</w:t>
            </w:r>
          </w:p>
        </w:tc>
        <w:tc>
          <w:tcPr>
            <w:tcW w:type="dxa" w:w="4320"/>
          </w:tcPr>
          <w:p>
            <w:r>
              <w:t>Confidential — Internal</w:t>
            </w:r>
          </w:p>
        </w:tc>
      </w:tr>
      <w:tr>
        <w:tc>
          <w:tcPr>
            <w:tcW w:type="dxa" w:w="4320"/>
          </w:tcPr>
          <w:p>
            <w:r>
              <w:t>**Concordance**</w:t>
            </w:r>
          </w:p>
        </w:tc>
        <w:tc>
          <w:tcPr>
            <w:tcW w:type="dxa" w:w="4320"/>
          </w:tcPr>
          <w:p>
            <w:r>
              <w:t>Replaces P-005 (GRC-MASTER-001 v1.0) per GRC-CONC-001</w:t>
            </w:r>
          </w:p>
        </w:tc>
      </w:tr>
      <w:tr>
        <w:tc>
          <w:tcPr>
            <w:tcW w:type="dxa" w:w="4320"/>
          </w:tcPr>
          <w:p>
            <w:r>
              <w:t>**References**</w:t>
            </w:r>
          </w:p>
        </w:tc>
        <w:tc>
          <w:tcPr>
            <w:tcW w:type="dxa" w:w="4320"/>
          </w:tcPr>
          <w:p>
            <w:r>
              <w:t>GRC-PF-001; L0-1 GRC Charter; L1-BC-008; L2-TEST-204; L1-INFRA-009; POL-017; ISO 22301:2019; ISO/IEC 27001:2022 A.5.29–A.5.30; NIST CSF 2.0 RC; SOC 2 A1.2; DORA Art.11–12</w:t>
            </w:r>
          </w:p>
        </w:tc>
      </w:tr>
      <w:tr>
        <w:tc>
          <w:tcPr>
            <w:tcW w:type="dxa" w:w="4320"/>
          </w:tcPr>
          <w:p>
            <w:r>
              <w:t>**Subordinate Documents**</w:t>
            </w:r>
          </w:p>
        </w:tc>
        <w:tc>
          <w:tcPr>
            <w:tcW w:type="dxa" w:w="4320"/>
          </w:tcPr>
          <w:p>
            <w:r>
              <w:t>S-111 Business Continuity &amp; DR Standard; PR-210 BCM/DR Testing Procedure; CL-408 Business Continuity Test Checklist; PR-213 Backup &amp; Recovery Procedure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Protofire's commitment to maintaining the continuity of essential business functions and client-delivery services during and after disruptive events. It mandates business impact analysis, continuity planning, disaster recovery, and regular testing across all operations.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Scope</w:t>
      </w:r>
    </w:p>
    <w:p>
      <w:r>
        <w:t>This Policy applies to: all Protofire corporate functions and IT systems; all client delivery engagements regardless of track or tier; all on-chain operations including deployed smart contracts, monitoring infrastructure, and key management systems; all third-party services critical to Protofire operations (cloud providers, RPC nodes, oracle services).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Business Continuity Principles</w:t>
      </w:r>
    </w:p>
    <w:p>
      <w:pPr>
        <w:pStyle w:val="Heading3"/>
      </w:pPr>
      <w:r>
        <w:t>3.1 Proportionality</w:t>
      </w:r>
    </w:p>
    <w:p>
      <w:r>
        <w:t>Continuity measures must be proportionate to the criticality of the service and the risk tier of the engagement. T3/T4 engagements with TVL &gt; $1M require dedicated continuity planning per engagement.</w:t>
      </w:r>
    </w:p>
    <w:p>
      <w:pPr>
        <w:pStyle w:val="Heading3"/>
      </w:pPr>
      <w:r>
        <w:t>3.2 Essential functions</w:t>
      </w:r>
    </w:p>
    <w:p>
      <w:r>
        <w:t>The following are classified as essential functions requiring continuity capability: production smart contract operations (where Protofire holds admin/upgrade keys); client delivery pipelines (CI/CD, source control, secrets management); key management and signing operations; incident response and communication channels; financial operations (billing, payment monitoring).</w:t>
      </w:r>
    </w:p>
    <w:p>
      <w:pPr>
        <w:pStyle w:val="Heading3"/>
      </w:pPr>
      <w:r>
        <w:t>3.3 Recovery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**Function**</w:t>
            </w:r>
          </w:p>
        </w:tc>
        <w:tc>
          <w:tcPr>
            <w:tcW w:type="dxa" w:w="2880"/>
          </w:tcPr>
          <w:p>
            <w:r>
              <w:t>**RTO (target)**</w:t>
            </w:r>
          </w:p>
        </w:tc>
        <w:tc>
          <w:tcPr>
            <w:tcW w:type="dxa" w:w="2880"/>
          </w:tcPr>
          <w:p>
            <w:r>
              <w:t>**RPO (target)**</w:t>
            </w:r>
          </w:p>
        </w:tc>
      </w:tr>
      <w:tr>
        <w:tc>
          <w:tcPr>
            <w:tcW w:type="dxa" w:w="2880"/>
          </w:tcPr>
          <w:p>
            <w:r>
              <w:t>Production smart contract monitoring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0 (real-time)</w:t>
            </w:r>
          </w:p>
        </w:tc>
      </w:tr>
      <w:tr>
        <w:tc>
          <w:tcPr>
            <w:tcW w:type="dxa" w:w="2880"/>
          </w:tcPr>
          <w:p>
            <w:r>
              <w:t>Key management / signing capability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CI/CD pipeline and source control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Corporate communications (email, Slack)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Financial systems (billing, invoicing)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  <w:tr>
        <w:tc>
          <w:tcPr>
            <w:tcW w:type="dxa" w:w="2880"/>
          </w:tcPr>
          <w:p>
            <w:r>
              <w:t>Internal documentation (Google Workspace)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</w:tbl>
    <w:p>
      <w:r>
        <w:t>RTO/RPO targets must be validated through the Business Impact Analysis (§4) and updated annually.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Business Impact Analysis (BIA)</w:t>
      </w:r>
    </w:p>
    <w:p>
      <w:pPr>
        <w:pStyle w:val="Heading3"/>
      </w:pPr>
      <w:r>
        <w:t>4.1 Requirement</w:t>
      </w:r>
    </w:p>
    <w:p>
      <w:r>
        <w:t>A BIA must be conducted annually and whenever a material change occurs to Protofire's service portfolio, infrastructure, or client base. The BIA identifies critical business processes, their dependencies, acceptable downtime, and the financial and reputational impact of disruption.</w:t>
      </w:r>
    </w:p>
    <w:p>
      <w:pPr>
        <w:pStyle w:val="Heading3"/>
      </w:pPr>
      <w:r>
        <w:t>4.2 Web3-specific considerations</w:t>
      </w:r>
    </w:p>
    <w:p>
      <w:r>
        <w:t>The BIA must specifically address: loss of access to production multisig keys; failure of RPC node providers; oracle service outages; blockchain network congestion or chain halts; smart contract pause function availability; loss of monitoring and alerting capability.</w:t>
      </w:r>
    </w:p>
    <w:p>
      <w:pPr>
        <w:pStyle w:val="Heading3"/>
      </w:pPr>
      <w:r>
        <w:t>4.3 Output</w:t>
      </w:r>
    </w:p>
    <w:p>
      <w:r>
        <w:t>The BIA produces: a prioritised list of essential functions; validated RTO/RPO targets; identified single points of failure; and input to the Business Continuity Plan.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Business Continuity Plans (BCP)</w:t>
      </w:r>
    </w:p>
    <w:p>
      <w:pPr>
        <w:pStyle w:val="Heading3"/>
      </w:pPr>
      <w:r>
        <w:t>5.1 Corporate BCP</w:t>
      </w:r>
    </w:p>
    <w:p>
      <w:r>
        <w:t>A corporate BCP must be maintained covering all essential functions identified in the BIA. The BCP must include: activation criteria and escalation procedures; roles and responsibilities (aligned with RACI-001); communication plans (internal and external); recovery procedures for each essential function; alternative operating procedures for degraded service; supplier and third-party dependencies with fallback options.</w:t>
      </w:r>
    </w:p>
    <w:p>
      <w:pPr>
        <w:pStyle w:val="Heading3"/>
      </w:pPr>
      <w:r>
        <w:t>5.2 Project-level continuity</w:t>
      </w:r>
    </w:p>
    <w:p>
      <w:r>
        <w:t>For T3/T4 engagements and any engagement with TVL &gt; $1M, a project-specific continuity section must be included in the PSF (P4-PM-002) covering: emergency contract pause/unpause procedures; key recovery procedures; fallback monitoring configuration; client communication escalation path.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Disaster Recovery</w:t>
      </w:r>
    </w:p>
    <w:p>
      <w:pPr>
        <w:pStyle w:val="Heading3"/>
      </w:pPr>
      <w:r>
        <w:t>6.1 IT disaster recovery plan</w:t>
      </w:r>
    </w:p>
    <w:p>
      <w:r>
        <w:t>An IT disaster recovery plan must be maintained covering: backup and restoration of all critical systems; infrastructure failover procedures; data recovery verification; communication system recovery.</w:t>
      </w:r>
    </w:p>
    <w:p>
      <w:pPr>
        <w:pStyle w:val="Heading3"/>
      </w:pPr>
      <w:r>
        <w:t>6.2 Backup requirements</w:t>
      </w:r>
    </w:p>
    <w:p>
      <w:r>
        <w:t>All critical data must be backed up per PR-213 (Backup &amp; Recovery Procedure). Backups must be: encrypted at rest (S-103); stored in a geographically separate location; tested for recoverability at least quarterly; retained per POL-008 retention schedules.</w:t>
      </w:r>
    </w:p>
    <w:p>
      <w:pPr>
        <w:pStyle w:val="Heading3"/>
      </w:pPr>
      <w:r>
        <w:t>6.3 On-chain recovery</w:t>
      </w:r>
    </w:p>
    <w:p>
      <w:r>
        <w:t>For smart contracts deployed by Protofire with upgrade or admin capabilities: upgrade procedures must be documented in the deployment runbook; emergency pause/unpause procedures must be tested during Phase 8 (testnet); key recovery procedures must be documented in the Signing Ceremony Checklist (CL-411).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Testing and Exercise</w:t>
      </w:r>
    </w:p>
    <w:p>
      <w:pPr>
        <w:pStyle w:val="Heading3"/>
      </w:pPr>
      <w:r>
        <w:t>7.1 Requirement</w:t>
      </w:r>
    </w:p>
    <w:p>
      <w:r>
        <w:t>Business continuity plans must be tested at least annually per PR-210 and CL-408. Tests must include at a minimum: tabletop exercise for SEV-1 scenario; technical recovery test for at least one critical system; communication cascade test; backup restoration verification.</w:t>
      </w:r>
    </w:p>
    <w:p>
      <w:pPr>
        <w:pStyle w:val="Heading3"/>
      </w:pPr>
      <w:r>
        <w:t>7.2 Test results</w:t>
      </w:r>
    </w:p>
    <w:p>
      <w:r>
        <w:t>Test results must be documented, including: scenarios tested; participants; outcomes; identified gaps; and remediation actions with owners and deadlines. Test evidence is stored per L1-EVID-004.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**Role**</w:t>
            </w:r>
          </w:p>
        </w:tc>
        <w:tc>
          <w:tcPr>
            <w:tcW w:type="dxa" w:w="4320"/>
          </w:tcPr>
          <w:p>
            <w:r>
              <w:t>**Responsibility**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BCM programme owner. Maintains BIA, BCP, and DR plans. Commissions annual tests.</w:t>
            </w:r>
          </w:p>
        </w:tc>
      </w:tr>
      <w:tr>
        <w:tc>
          <w:tcPr>
            <w:tcW w:type="dxa" w:w="4320"/>
          </w:tcPr>
          <w:p>
            <w:r>
              <w:t>Node Owner</w:t>
            </w:r>
          </w:p>
        </w:tc>
        <w:tc>
          <w:tcPr>
            <w:tcW w:type="dxa" w:w="4320"/>
          </w:tcPr>
          <w:p>
            <w:r>
              <w:t>Approves BCP activation for SEV-1 events. Authorises emergency expenditure for recovery.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Maintains IT DR procedures. Executes backup restoration tests. Manages infrastructure failover.</w:t>
            </w:r>
          </w:p>
        </w:tc>
      </w:tr>
      <w:tr>
        <w:tc>
          <w:tcPr>
            <w:tcW w:type="dxa" w:w="4320"/>
          </w:tcPr>
          <w:p>
            <w:r>
              <w:t>TL</w:t>
            </w:r>
          </w:p>
        </w:tc>
        <w:tc>
          <w:tcPr>
            <w:tcW w:type="dxa" w:w="4320"/>
          </w:tcPr>
          <w:p>
            <w:r>
              <w:t>Maintains project-level continuity procedures. Documents smart contract emergency procedures.</w:t>
            </w:r>
          </w:p>
        </w:tc>
      </w:tr>
      <w:tr>
        <w:tc>
          <w:tcPr>
            <w:tcW w:type="dxa" w:w="4320"/>
          </w:tcPr>
          <w:p>
            <w:r>
              <w:t>PM</w:t>
            </w:r>
          </w:p>
        </w:tc>
        <w:tc>
          <w:tcPr>
            <w:tcW w:type="dxa" w:w="4320"/>
          </w:tcPr>
          <w:p>
            <w:r>
              <w:t>Executes client communication plan during disruptions. Coordinates recovery timeline with clients.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Exceptions</w:t>
      </w:r>
    </w:p>
    <w:p>
      <w:r>
        <w:t>Deviations from this Policy are managed under POL-009. No exception may waive the annual BIA requirement or the annual test requirement.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Review</w:t>
      </w:r>
    </w:p>
    <w:p>
      <w:r>
        <w:t>This Policy is reviewed annually by the CISO and upon any material change to Protofire's infrastructure, service portfolio, or applicable regulations (DORA, ISO 22301).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**Role**</w:t>
            </w:r>
          </w:p>
        </w:tc>
        <w:tc>
          <w:tcPr>
            <w:tcW w:type="dxa" w:w="2160"/>
          </w:tcPr>
          <w:p>
            <w:r>
              <w:t>**Name**</w:t>
            </w:r>
          </w:p>
        </w:tc>
        <w:tc>
          <w:tcPr>
            <w:tcW w:type="dxa" w:w="2160"/>
          </w:tcPr>
          <w:p>
            <w:r>
              <w:t>**Signature**</w:t>
            </w:r>
          </w:p>
        </w:tc>
        <w:tc>
          <w:tcPr>
            <w:tcW w:type="dxa" w:w="2160"/>
          </w:tcPr>
          <w:p>
            <w:r>
              <w:t>**Date**</w:t>
            </w:r>
          </w:p>
        </w:tc>
      </w:tr>
      <w:tr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Director of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Document end — POL-013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