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POL-015 — Personnel Security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**Document ID**</w:t>
            </w:r>
          </w:p>
        </w:tc>
        <w:tc>
          <w:tcPr>
            <w:tcW w:type="dxa" w:w="4320"/>
          </w:tcPr>
          <w:p>
            <w:r>
              <w:t>POL-015</w:t>
            </w:r>
          </w:p>
        </w:tc>
      </w:tr>
      <w:tr>
        <w:tc>
          <w:tcPr>
            <w:tcW w:type="dxa" w:w="4320"/>
          </w:tcPr>
          <w:p>
            <w:r>
              <w:t>**Document Title**</w:t>
            </w:r>
          </w:p>
        </w:tc>
        <w:tc>
          <w:tcPr>
            <w:tcW w:type="dxa" w:w="4320"/>
          </w:tcPr>
          <w:p>
            <w:r>
              <w:t>Personnel Security Policy</w:t>
            </w:r>
          </w:p>
        </w:tc>
      </w:tr>
      <w:tr>
        <w:tc>
          <w:tcPr>
            <w:tcW w:type="dxa" w:w="4320"/>
          </w:tcPr>
          <w:p>
            <w:r>
              <w:t>**Document Type**</w:t>
            </w:r>
          </w:p>
        </w:tc>
        <w:tc>
          <w:tcPr>
            <w:tcW w:type="dxa" w:w="4320"/>
          </w:tcPr>
          <w:p>
            <w:r>
              <w:t>Policy (L1)</w:t>
            </w:r>
          </w:p>
        </w:tc>
      </w:tr>
      <w:tr>
        <w:tc>
          <w:tcPr>
            <w:tcW w:type="dxa" w:w="4320"/>
          </w:tcPr>
          <w:p>
            <w:r>
              <w:t>**Version**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Draft — pending approval</w:t>
            </w:r>
          </w:p>
        </w:tc>
      </w:tr>
      <w:tr>
        <w:tc>
          <w:tcPr>
            <w:tcW w:type="dxa" w:w="4320"/>
          </w:tcPr>
          <w:p>
            <w:r>
              <w:t>**Effective Date**</w:t>
            </w:r>
          </w:p>
        </w:tc>
        <w:tc>
          <w:tcPr>
            <w:tcW w:type="dxa" w:w="4320"/>
          </w:tcPr>
          <w:p>
            <w:r>
              <w:t>Upon approval — [DD Month 2026]</w:t>
            </w:r>
          </w:p>
        </w:tc>
      </w:tr>
      <w:tr>
        <w:tc>
          <w:tcPr>
            <w:tcW w:type="dxa" w:w="4320"/>
          </w:tcPr>
          <w:p>
            <w:r>
              <w:t>**Review Cycle**</w:t>
            </w:r>
          </w:p>
        </w:tc>
        <w:tc>
          <w:tcPr>
            <w:tcW w:type="dxa" w:w="4320"/>
          </w:tcPr>
          <w:p>
            <w:r>
              <w:t>Annual (or upon material change)</w:t>
            </w:r>
          </w:p>
        </w:tc>
      </w:tr>
      <w:tr>
        <w:tc>
          <w:tcPr>
            <w:tcW w:type="dxa" w:w="4320"/>
          </w:tcPr>
          <w:p>
            <w:r>
              <w:t>**Owner**</w:t>
            </w:r>
          </w:p>
        </w:tc>
        <w:tc>
          <w:tcPr>
            <w:tcW w:type="dxa" w:w="4320"/>
          </w:tcPr>
          <w:p>
            <w:r>
              <w:t>CISO — Aleksey Lekontsev</w:t>
            </w:r>
          </w:p>
        </w:tc>
      </w:tr>
      <w:tr>
        <w:tc>
          <w:tcPr>
            <w:tcW w:type="dxa" w:w="4320"/>
          </w:tcPr>
          <w:p>
            <w:r>
              <w:t>**Approver**</w:t>
            </w:r>
          </w:p>
        </w:tc>
        <w:tc>
          <w:tcPr>
            <w:tcW w:type="dxa" w:w="4320"/>
          </w:tcPr>
          <w:p>
            <w:r>
              <w:t>Director of Engineering + Node Owners Council</w:t>
            </w:r>
          </w:p>
        </w:tc>
      </w:tr>
      <w:tr>
        <w:tc>
          <w:tcPr>
            <w:tcW w:type="dxa" w:w="4320"/>
          </w:tcPr>
          <w:p>
            <w:r>
              <w:t>**Classification**</w:t>
            </w:r>
          </w:p>
        </w:tc>
        <w:tc>
          <w:tcPr>
            <w:tcW w:type="dxa" w:w="4320"/>
          </w:tcPr>
          <w:p>
            <w:r>
              <w:t>Confidential — Internal</w:t>
            </w:r>
          </w:p>
        </w:tc>
      </w:tr>
      <w:tr>
        <w:tc>
          <w:tcPr>
            <w:tcW w:type="dxa" w:w="4320"/>
          </w:tcPr>
          <w:p>
            <w:r>
              <w:t>**Concordance**</w:t>
            </w:r>
          </w:p>
        </w:tc>
        <w:tc>
          <w:tcPr>
            <w:tcW w:type="dxa" w:w="4320"/>
          </w:tcPr>
          <w:p>
            <w:r>
              <w:t>Replaces P-008 (GRC-MASTER-001 v1.0) per GRC-CONC-001</w:t>
            </w:r>
          </w:p>
        </w:tc>
      </w:tr>
      <w:tr>
        <w:tc>
          <w:tcPr>
            <w:tcW w:type="dxa" w:w="4320"/>
          </w:tcPr>
          <w:p>
            <w:r>
              <w:t>**References**</w:t>
            </w:r>
          </w:p>
        </w:tc>
        <w:tc>
          <w:tcPr>
            <w:tcW w:type="dxa" w:w="4320"/>
          </w:tcPr>
          <w:p>
            <w:r>
              <w:t>GRC-PF-001; L0-1 GRC Charter; L1-HR-010; L2-ACCESS-203; POL-004; POL-014; ISO/IEC 27001:2022 A.6.1–A.6.6; NIST CSF 2.0 GV.RR; SOC 2 CC1.4</w:t>
            </w:r>
          </w:p>
        </w:tc>
      </w:tr>
      <w:tr>
        <w:tc>
          <w:tcPr>
            <w:tcW w:type="dxa" w:w="4320"/>
          </w:tcPr>
          <w:p>
            <w:r>
              <w:t>**Subordinate Documents**</w:t>
            </w:r>
          </w:p>
        </w:tc>
        <w:tc>
          <w:tcPr>
            <w:tcW w:type="dxa" w:w="4320"/>
          </w:tcPr>
          <w:p>
            <w:r>
              <w:t>PR-206 Access Provisioning Procedure (JML); PR-212 Security Awareness &amp; Training Procedure; CL-412 New Employee Security Onboarding Checklist; CL-405 Access Review Checklist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establishes Protofire's requirements for personnel security throughout the employment lifecycle — from pre-engagement screening through onboarding, ongoing employment, and termination. It ensures that individuals with access to Protofire systems and client data meet security and trustworthiness requirements.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Scope</w:t>
      </w:r>
    </w:p>
    <w:p>
      <w:r>
        <w:t>This Policy applies to all Protofire employees, contractors, consultants, freelancers, and any third-party personnel granted access to Protofire systems, repositories, or client information.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Pre-Engagement Screening</w:t>
      </w:r>
    </w:p>
    <w:p>
      <w:pPr>
        <w:pStyle w:val="Heading3"/>
      </w:pPr>
      <w:r>
        <w:t>3.1 Background verification</w:t>
      </w:r>
    </w:p>
    <w:p>
      <w:r>
        <w:t>Background verification must be conducted for all new hires and contractors before granting access to Protofire systems. Verification scope is proportionate to the role's risk level: standard verification (identity, right to work, reference check) for all roles; enhanced verification (employment history, qualification verification) for roles with access to production signing keys, client funds, or T3/T4 engagement data.</w:t>
      </w:r>
    </w:p>
    <w:p>
      <w:pPr>
        <w:pStyle w:val="Heading3"/>
      </w:pPr>
      <w:r>
        <w:t>3.2 Contractual obligations</w:t>
      </w:r>
    </w:p>
    <w:p>
      <w:r>
        <w:t>All personnel must sign: a confidentiality and non-disclosure agreement before first access; acceptance of this Policy and the Information Security Policy (POL-002); acceptable use terms per POL-012 (when approved).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Security Onboarding</w:t>
      </w:r>
    </w:p>
    <w:p>
      <w:pPr>
        <w:pStyle w:val="Heading3"/>
      </w:pPr>
      <w:r>
        <w:t>4.1 Onboarding checklist</w:t>
      </w:r>
    </w:p>
    <w:p>
      <w:r>
        <w:t>All new personnel must complete the Security Onboarding Checklist (CL-412) within 5 business days of start date, covering: security awareness training (§5); MFA configuration on all Protofire systems; access provisioning per POL-004 (least privilege); acknowledgement of incident reporting obligations (POL-017); data protection awareness per POL-011 §14.</w:t>
      </w:r>
    </w:p>
    <w:p>
      <w:pPr>
        <w:pStyle w:val="Heading3"/>
      </w:pPr>
      <w:r>
        <w:t>4.2 Access provisioning</w:t>
      </w:r>
    </w:p>
    <w:p>
      <w:r>
        <w:t>Access is provisioned per the Joiner/Mover/Leaver procedure (PR-206 / L2-ACCESS-203). Access must be role-scoped, time-limited where appropriate, and documented in the access management system.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Security Awareness and Training</w:t>
      </w:r>
    </w:p>
    <w:p>
      <w:pPr>
        <w:pStyle w:val="Heading3"/>
      </w:pPr>
      <w:r>
        <w:t>5.1 Mandatory training</w:t>
      </w:r>
    </w:p>
    <w:p>
      <w:r>
        <w:t>All personnel must complete security awareness training within 30 days of joining and annually thereafter. Training content must cover: information security principles and this Policy; phishing and social engineering recognition; secure coding practices (for engineering roles); key management and handling of secrets; incident reporting obligations; data protection and privacy (POL-011); Web3-specific threats (private key phishing, governance attacks, front-end injection).</w:t>
      </w:r>
    </w:p>
    <w:p>
      <w:pPr>
        <w:pStyle w:val="Heading3"/>
      </w:pPr>
      <w:r>
        <w:t>5.2 Role-specific training</w:t>
      </w:r>
    </w:p>
    <w:p>
      <w:r>
        <w:t>Personnel in security-sensitive roles (TL, DevOps, signers) must complete additional role-specific training on: signing ceremony procedures (CL-411); deployment runbook execution; monitoring and alerting configuration; incident response procedures for their role.</w:t>
      </w:r>
    </w:p>
    <w:p>
      <w:pPr>
        <w:pStyle w:val="Heading3"/>
      </w:pPr>
      <w:r>
        <w:t>5.3 Evidence</w:t>
      </w:r>
    </w:p>
    <w:p>
      <w:r>
        <w:t>Training completion is recorded per L1-EVID-004 and the Evidence Calendar. Training records are retained for the duration of employment plus 2 years.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During Employment</w:t>
      </w:r>
    </w:p>
    <w:p>
      <w:pPr>
        <w:pStyle w:val="Heading3"/>
      </w:pPr>
      <w:r>
        <w:t>6.1 Access reviews</w:t>
      </w:r>
    </w:p>
    <w:p>
      <w:r>
        <w:t>Access rights must be reviewed quarterly per CL-405 (Access Review Checklist). Access must be adjusted immediately upon role change (Mover procedure in PR-206). Dormant accounts (no login for 60 days) must be investigated and disabled if no longer required.</w:t>
      </w:r>
    </w:p>
    <w:p>
      <w:pPr>
        <w:pStyle w:val="Heading3"/>
      </w:pPr>
      <w:r>
        <w:t>6.2 Security responsibilities</w:t>
      </w:r>
    </w:p>
    <w:p>
      <w:r>
        <w:t>All personnel are responsible for: protecting credentials and not sharing them; reporting security incidents within 4 hours (POL-017); following secure development practices; complying with all applicable GRC policies.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Termination and Role Change</w:t>
      </w:r>
    </w:p>
    <w:p>
      <w:pPr>
        <w:pStyle w:val="Heading3"/>
      </w:pPr>
      <w:r>
        <w:t>7.1 Offboarding</w:t>
      </w:r>
    </w:p>
    <w:p>
      <w:r>
        <w:t>Upon termination or contract end, all access must be revoked within 1 business day per POL-004 §2.2 and PR-206. This includes: source code repositories; cloud infrastructure accounts; secrets vault access; signing key access (production keys must be rotated if the departing individual was a signer); ClickUp and Google Workspace access; VPN and remote access.</w:t>
      </w:r>
    </w:p>
    <w:p>
      <w:pPr>
        <w:pStyle w:val="Heading3"/>
      </w:pPr>
      <w:r>
        <w:t>7.2 Exit obligations</w:t>
      </w:r>
    </w:p>
    <w:p>
      <w:r>
        <w:t>Departing personnel must: return all Protofire equipment and media; confirm deletion of any Protofire data from personal devices; acknowledge ongoing confidentiality obligations.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Disciplinary Process</w:t>
      </w:r>
    </w:p>
    <w:p>
      <w:r>
        <w:t>Violation of this Policy or any subordinate security policy may result in: mandatory remediation and re-training; formal warning; suspension of system access; termination of employment or contract; legal action for criminal conduct.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Exceptions</w:t>
      </w:r>
    </w:p>
    <w:p>
      <w:r>
        <w:t>Deviations from this Policy are managed under POL-009. No exception may waive the pre-engagement screening requirement for roles with access to production signing keys.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Review</w:t>
      </w:r>
    </w:p>
    <w:p>
      <w:r>
        <w:t>This Policy is reviewed annually by the CISO and upon any material change to employment law, Protofire's workforce model, or security requirements.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**Role**</w:t>
            </w:r>
          </w:p>
        </w:tc>
        <w:tc>
          <w:tcPr>
            <w:tcW w:type="dxa" w:w="2160"/>
          </w:tcPr>
          <w:p>
            <w:r>
              <w:t>**Name**</w:t>
            </w:r>
          </w:p>
        </w:tc>
        <w:tc>
          <w:tcPr>
            <w:tcW w:type="dxa" w:w="2160"/>
          </w:tcPr>
          <w:p>
            <w:r>
              <w:t>**Signature**</w:t>
            </w:r>
          </w:p>
        </w:tc>
        <w:tc>
          <w:tcPr>
            <w:tcW w:type="dxa" w:w="2160"/>
          </w:tcPr>
          <w:p>
            <w:r>
              <w:t>**Date**</w:t>
            </w:r>
          </w:p>
        </w:tc>
      </w:tr>
      <w:tr>
        <w:tc>
          <w:tcPr>
            <w:tcW w:type="dxa" w:w="2160"/>
          </w:tcPr>
          <w:p>
            <w:r>
              <w:t>CISO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Director of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Node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Document end — POL-015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