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Arial" w:cs="Arial" w:eastAsia="Arial" w:hAnsi="Arial"/>
          <w:b w:val="1"/>
          <w:bCs w:val="1"/>
          <w:color w:val="1f3864"/>
          <w:sz w:val="40"/>
          <w:szCs w:val="40"/>
          <w:rtl w:val="0"/>
        </w:rPr>
        <w:t xml:space="preserve">Personal Data Breach Notification Procedure</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color w:val="595959"/>
          <w:sz w:val="20"/>
          <w:szCs w:val="20"/>
          <w:rtl w:val="0"/>
        </w:rPr>
        <w:t xml:space="preserve">PR-208  •  L2 Procedure  •  v1.0  •  2026-04-15  •  GDPR Art.33/34 runbook</w:t>
      </w:r>
      <w:r w:rsidDel="00000000" w:rsidR="00000000" w:rsidRPr="00000000">
        <w:rPr>
          <w:rtl w:val="0"/>
        </w:rPr>
      </w:r>
    </w:p>
    <w:p w:rsidR="00000000" w:rsidDel="00000000" w:rsidP="00000000" w:rsidRDefault="00000000" w:rsidRPr="00000000" w14:paraId="0000000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0. Document Control</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4">
            <w:pPr>
              <w:jc w:val="left"/>
              <w:rPr/>
            </w:pPr>
            <w:r w:rsidDel="00000000" w:rsidR="00000000" w:rsidRPr="00000000">
              <w:rPr>
                <w:rFonts w:ascii="Arial" w:cs="Arial" w:eastAsia="Arial" w:hAnsi="Arial"/>
                <w:b w:val="1"/>
                <w:bCs w:val="1"/>
                <w:sz w:val="18"/>
                <w:szCs w:val="18"/>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5">
            <w:pPr>
              <w:jc w:val="left"/>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0"/>
                <w:bCs w:val="0"/>
                <w:sz w:val="18"/>
                <w:szCs w:val="18"/>
                <w:rtl w:val="0"/>
              </w:rPr>
              <w:t xml:space="preserve">Document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0"/>
                <w:bCs w:val="0"/>
                <w:sz w:val="18"/>
                <w:szCs w:val="18"/>
                <w:rtl w:val="0"/>
              </w:rPr>
              <w:t xml:space="preserve">PR-208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0"/>
                <w:bCs w:val="0"/>
                <w:sz w:val="18"/>
                <w:szCs w:val="18"/>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sz w:val="18"/>
                <w:szCs w:val="18"/>
                <w:rtl w:val="0"/>
              </w:rPr>
              <w:t xml:space="preserve">Personal Data Breach Notification Procedure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0"/>
                <w:bCs w:val="0"/>
                <w:sz w:val="18"/>
                <w:szCs w:val="18"/>
                <w:rtl w:val="0"/>
              </w:rPr>
              <w:t xml:space="preserve">Hierarchy 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sz w:val="18"/>
                <w:szCs w:val="18"/>
                <w:rtl w:val="0"/>
              </w:rPr>
              <w:t xml:space="preserve">L2 — Procedure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0"/>
                <w:bCs w:val="0"/>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0"/>
                <w:bCs w:val="0"/>
                <w:sz w:val="18"/>
                <w:szCs w:val="18"/>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0"/>
                <w:bCs w:val="0"/>
                <w:sz w:val="18"/>
                <w:szCs w:val="18"/>
                <w:rtl w:val="0"/>
              </w:rPr>
              <w:t xml:space="preserve">Approved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0"/>
                <w:bCs w:val="0"/>
                <w:sz w:val="18"/>
                <w:szCs w:val="18"/>
                <w:rtl w:val="0"/>
              </w:rPr>
              <w:t xml:space="preserve">Effective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0"/>
                <w:bCs w:val="0"/>
                <w:sz w:val="18"/>
                <w:szCs w:val="18"/>
                <w:rtl w:val="0"/>
              </w:rPr>
              <w:t xml:space="preserve">Review Cycle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sz w:val="18"/>
                <w:szCs w:val="18"/>
                <w:rtl w:val="0"/>
              </w:rPr>
              <w:t xml:space="preserve">Annual + post-exercise + post-incident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sz w:val="18"/>
                <w:szCs w:val="18"/>
                <w:rtl w:val="0"/>
              </w:rPr>
              <w:t xml:space="preserve">Owner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sz w:val="18"/>
                <w:szCs w:val="18"/>
                <w:rtl w:val="0"/>
              </w:rPr>
              <w:t xml:space="preserve">DPO (CISO)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sz w:val="18"/>
                <w:szCs w:val="18"/>
                <w:rtl w:val="0"/>
              </w:rPr>
              <w:t xml:space="preserve">Approver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sz w:val="18"/>
                <w:szCs w:val="18"/>
                <w:rtl w:val="0"/>
              </w:rPr>
              <w:t xml:space="preserve">Node Owner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sz w:val="18"/>
                <w:szCs w:val="18"/>
                <w:rtl w:val="0"/>
              </w:rPr>
              <w:t xml:space="preserve">Classification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sz w:val="18"/>
                <w:szCs w:val="18"/>
                <w:rtl w:val="0"/>
              </w:rPr>
              <w:t xml:space="preserve">Confidential — Internal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sz w:val="18"/>
                <w:szCs w:val="18"/>
                <w:rtl w:val="0"/>
              </w:rPr>
              <w:t xml:space="preserve">Supersedes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sz w:val="18"/>
                <w:szCs w:val="18"/>
                <w:rtl w:val="0"/>
              </w:rPr>
              <w:t xml:space="preserve">References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sz w:val="18"/>
                <w:szCs w:val="18"/>
                <w:rtl w:val="0"/>
              </w:rPr>
              <w:t xml:space="preserve">POL-011; L2-INC-201; GDPR Art.33, Art.34; PLAN-701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sz w:val="18"/>
                <w:szCs w:val="18"/>
                <w:rtl w:val="0"/>
              </w:rPr>
              <w:t xml:space="preserve">Last Change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sz w:val="18"/>
                <w:szCs w:val="18"/>
                <w:rtl w:val="0"/>
              </w:rPr>
              <w:t xml:space="preserve">Audit Readiness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sz w:val="18"/>
                <w:szCs w:val="18"/>
                <w:rtl w:val="0"/>
              </w:rPr>
              <w:t xml:space="preserve">Audit-ready v1.0 — generated 2026-04-15 for Drive publication</w:t>
            </w:r>
            <w:r w:rsidDel="00000000" w:rsidR="00000000" w:rsidRPr="00000000">
              <w:rPr>
                <w:rtl w:val="0"/>
              </w:rPr>
            </w:r>
          </w:p>
        </w:tc>
      </w:tr>
    </w:tbl>
    <w:p w:rsidR="00000000" w:rsidDel="00000000" w:rsidP="00000000" w:rsidRDefault="00000000" w:rsidRPr="00000000" w14:paraId="00000022">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 Purpose</w:t>
      </w:r>
      <w:r w:rsidDel="00000000" w:rsidR="00000000" w:rsidRPr="00000000">
        <w:rPr>
          <w:rtl w:val="0"/>
        </w:rPr>
      </w:r>
    </w:p>
    <w:p w:rsidR="00000000" w:rsidDel="00000000" w:rsidP="00000000" w:rsidRDefault="00000000" w:rsidRPr="00000000" w14:paraId="00000023">
      <w:pPr>
        <w:spacing w:after="100" w:lineRule="auto"/>
        <w:jc w:val="both"/>
        <w:rPr/>
      </w:pPr>
      <w:r w:rsidDel="00000000" w:rsidR="00000000" w:rsidRPr="00000000">
        <w:rPr>
          <w:rFonts w:ascii="Arial" w:cs="Arial" w:eastAsia="Arial" w:hAnsi="Arial"/>
          <w:sz w:val="20"/>
          <w:szCs w:val="20"/>
          <w:rtl w:val="0"/>
        </w:rPr>
        <w:t xml:space="preserve">To define the specific runbook for personal-data breach notification, ensuring Protofire meets the 72-hour supervisory-authority notification obligation under GDPR Article 33 and the without-undue-delay data-subject notification under Article 34.</w:t>
      </w:r>
      <w:r w:rsidDel="00000000" w:rsidR="00000000" w:rsidRPr="00000000">
        <w:rPr>
          <w:rtl w:val="0"/>
        </w:rPr>
      </w:r>
    </w:p>
    <w:p w:rsidR="00000000" w:rsidDel="00000000" w:rsidP="00000000" w:rsidRDefault="00000000" w:rsidRPr="00000000" w14:paraId="00000024">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2. Scope</w:t>
      </w:r>
      <w:r w:rsidDel="00000000" w:rsidR="00000000" w:rsidRPr="00000000">
        <w:rPr>
          <w:rtl w:val="0"/>
        </w:rPr>
      </w:r>
    </w:p>
    <w:p w:rsidR="00000000" w:rsidDel="00000000" w:rsidP="00000000" w:rsidRDefault="00000000" w:rsidRPr="00000000" w14:paraId="00000025">
      <w:pPr>
        <w:spacing w:after="100" w:lineRule="auto"/>
        <w:jc w:val="both"/>
        <w:rPr/>
      </w:pPr>
      <w:r w:rsidDel="00000000" w:rsidR="00000000" w:rsidRPr="00000000">
        <w:rPr>
          <w:rFonts w:ascii="Arial" w:cs="Arial" w:eastAsia="Arial" w:hAnsi="Arial"/>
          <w:sz w:val="20"/>
          <w:szCs w:val="20"/>
          <w:rtl w:val="0"/>
        </w:rPr>
        <w:t xml:space="preserve">Any confirmed or suspected unauthorised access, disclosure, alteration, destruction or loss of personal data — at rest or in transit — for which Protofire is Controller or Processor. Applies to employees, contractors, clients, engagement personnel and any on-chain pseudonymous data linkable to identified persons.</w:t>
      </w:r>
      <w:r w:rsidDel="00000000" w:rsidR="00000000" w:rsidRPr="00000000">
        <w:rPr>
          <w:rtl w:val="0"/>
        </w:rPr>
      </w:r>
    </w:p>
    <w:p w:rsidR="00000000" w:rsidDel="00000000" w:rsidP="00000000" w:rsidRDefault="00000000" w:rsidRPr="00000000" w14:paraId="00000026">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3. Definitions</w:t>
      </w:r>
      <w:r w:rsidDel="00000000" w:rsidR="00000000" w:rsidRPr="00000000">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sz w:val="18"/>
                <w:szCs w:val="18"/>
                <w:rtl w:val="0"/>
              </w:rPr>
              <w:t xml:space="preserve">Term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sz w:val="18"/>
                <w:szCs w:val="18"/>
                <w:rtl w:val="0"/>
              </w:rPr>
              <w:t xml:space="preserve">Definition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sz w:val="18"/>
                <w:szCs w:val="18"/>
                <w:rtl w:val="0"/>
              </w:rPr>
              <w:t xml:space="preserve">Personal Data Breach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sz w:val="18"/>
                <w:szCs w:val="18"/>
                <w:rtl w:val="0"/>
              </w:rPr>
              <w:t xml:space="preserve">GDPR Art. 4(12) — accidental or unlawful destruction, loss, alteration, unauthorised disclosure of, or access to, personal data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sz w:val="18"/>
                <w:szCs w:val="18"/>
                <w:rtl w:val="0"/>
              </w:rPr>
              <w:t xml:space="preserve">Supervisory Authority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sz w:val="18"/>
                <w:szCs w:val="18"/>
                <w:rtl w:val="0"/>
              </w:rPr>
              <w:t xml:space="preserve">The competent DPA; Protofire primary authority TBD per establishment; fallback: lead authority under one-stop-shop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sz w:val="18"/>
                <w:szCs w:val="18"/>
                <w:rtl w:val="0"/>
              </w:rPr>
              <w:t xml:space="preserve">High Risk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sz w:val="18"/>
                <w:szCs w:val="18"/>
                <w:rtl w:val="0"/>
              </w:rPr>
              <w:t xml:space="preserve">Likely to result in a high risk to rights and freedoms of natural persons — triggers Art. 34 subject notification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sz w:val="18"/>
                <w:szCs w:val="18"/>
                <w:rtl w:val="0"/>
              </w:rPr>
              <w:t xml:space="preserve">Risk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sz w:val="18"/>
                <w:szCs w:val="18"/>
                <w:rtl w:val="0"/>
              </w:rPr>
              <w:t xml:space="preserve">Likely to result in a risk (not high) — triggers Art. 33 authority notification only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sz w:val="18"/>
                <w:szCs w:val="18"/>
                <w:rtl w:val="0"/>
              </w:rPr>
              <w:t xml:space="preserve">No Risk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sz w:val="18"/>
                <w:szCs w:val="18"/>
                <w:rtl w:val="0"/>
              </w:rPr>
              <w:t xml:space="preserve">Unlikely to result in any risk — internal record only</w:t>
            </w:r>
            <w:r w:rsidDel="00000000" w:rsidR="00000000" w:rsidRPr="00000000">
              <w:rPr>
                <w:rtl w:val="0"/>
              </w:rPr>
            </w:r>
          </w:p>
        </w:tc>
      </w:tr>
    </w:tbl>
    <w:p w:rsidR="00000000" w:rsidDel="00000000" w:rsidP="00000000" w:rsidRDefault="00000000" w:rsidRPr="00000000" w14:paraId="0000003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4. Roles</w:t>
      </w:r>
      <w:r w:rsidDel="00000000" w:rsidR="00000000" w:rsidRPr="00000000">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00"/>
        <w:tblGridChange w:id="0">
          <w:tblGrid>
            <w:gridCol w:w="2400"/>
            <w:gridCol w:w="76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sz w:val="18"/>
                <w:szCs w:val="18"/>
                <w:rtl w:val="0"/>
              </w:rPr>
              <w:t xml:space="preserve">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1"/>
                <w:bCs w:val="1"/>
                <w:sz w:val="18"/>
                <w:szCs w:val="18"/>
                <w:rtl w:val="0"/>
              </w:rPr>
              <w:t xml:space="preserve">Responsibility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sz w:val="18"/>
                <w:szCs w:val="18"/>
                <w:rtl w:val="0"/>
              </w:rPr>
              <w:t xml:space="preserve">Discoverer (any 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sz w:val="18"/>
                <w:szCs w:val="18"/>
                <w:rtl w:val="0"/>
              </w:rPr>
              <w:t xml:space="preserve">Immediate internal report to Security Incident Channel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sz w:val="18"/>
                <w:szCs w:val="18"/>
                <w:rtl w:val="0"/>
              </w:rPr>
              <w:t xml:space="preserve">Incident Commander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sz w:val="18"/>
                <w:szCs w:val="18"/>
                <w:rtl w:val="0"/>
              </w:rPr>
              <w:t xml:space="preserve">Activated within 1h per L2-INC-201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sz w:val="18"/>
                <w:szCs w:val="18"/>
                <w:rtl w:val="0"/>
              </w:rPr>
              <w:t xml:space="preserve">DPO (CISO)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sz w:val="18"/>
                <w:szCs w:val="18"/>
                <w:rtl w:val="0"/>
              </w:rPr>
              <w:t xml:space="preserve">Accountable for notification decision and content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sz w:val="18"/>
                <w:szCs w:val="18"/>
                <w:rtl w:val="0"/>
              </w:rPr>
              <w:t xml:space="preserve">Legal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sz w:val="18"/>
                <w:szCs w:val="18"/>
                <w:rtl w:val="0"/>
              </w:rPr>
              <w:t xml:space="preserve">Consulted on regulator wording and subject notification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sz w:val="18"/>
                <w:szCs w:val="18"/>
                <w:rtl w:val="0"/>
              </w:rPr>
              <w:t xml:space="preserve">Communications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sz w:val="18"/>
                <w:szCs w:val="18"/>
                <w:rtl w:val="0"/>
              </w:rPr>
              <w:t xml:space="preserve">Drafts external comms under DPO approval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sz w:val="18"/>
                <w:szCs w:val="18"/>
                <w:rtl w:val="0"/>
              </w:rPr>
              <w:t xml:space="preserve">Node Owner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sz w:val="18"/>
                <w:szCs w:val="18"/>
                <w:rtl w:val="0"/>
              </w:rPr>
              <w:t xml:space="preserve">Informed; co-signs if High risk</w:t>
            </w:r>
            <w:r w:rsidDel="00000000" w:rsidR="00000000" w:rsidRPr="00000000">
              <w:rPr>
                <w:rtl w:val="0"/>
              </w:rPr>
            </w:r>
          </w:p>
        </w:tc>
      </w:tr>
    </w:tbl>
    <w:p w:rsidR="00000000" w:rsidDel="00000000" w:rsidP="00000000" w:rsidRDefault="00000000" w:rsidRPr="00000000" w14:paraId="00000042">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5. Timeline &amp; Gates</w:t>
      </w:r>
      <w:r w:rsidDel="00000000" w:rsidR="00000000" w:rsidRPr="00000000">
        <w:rPr>
          <w:rtl w:val="0"/>
        </w:rPr>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5000"/>
        <w:tblGridChange w:id="0">
          <w:tblGrid>
            <w:gridCol w:w="1800"/>
            <w:gridCol w:w="3200"/>
            <w:gridCol w:w="5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1"/>
                <w:bCs w:val="1"/>
                <w:sz w:val="18"/>
                <w:szCs w:val="18"/>
                <w:rtl w:val="0"/>
              </w:rPr>
              <w:t xml:space="preserve">Clock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1"/>
                <w:bCs w:val="1"/>
                <w:sz w:val="18"/>
                <w:szCs w:val="18"/>
                <w:rtl w:val="0"/>
              </w:rPr>
              <w:t xml:space="preserve">Action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1"/>
                <w:bCs w:val="1"/>
                <w:sz w:val="18"/>
                <w:szCs w:val="18"/>
                <w:rtl w:val="0"/>
              </w:rPr>
              <w:t xml:space="preserve">Gate/Artefact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sz w:val="18"/>
                <w:szCs w:val="18"/>
                <w:rtl w:val="0"/>
              </w:rPr>
              <w:t xml:space="preserve">T+0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sz w:val="18"/>
                <w:szCs w:val="18"/>
                <w:rtl w:val="0"/>
              </w:rPr>
              <w:t xml:space="preserve">Discovery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sz w:val="18"/>
                <w:szCs w:val="18"/>
                <w:rtl w:val="0"/>
              </w:rPr>
              <w:t xml:space="preserve">Ticket opened — L2-INC-201 activation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sz w:val="18"/>
                <w:szCs w:val="18"/>
                <w:rtl w:val="0"/>
              </w:rPr>
              <w:t xml:space="preserve">T+4h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sz w:val="18"/>
                <w:szCs w:val="18"/>
                <w:rtl w:val="0"/>
              </w:rPr>
              <w:t xml:space="preserve">CISO notified (PR208-R01)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sz w:val="18"/>
                <w:szCs w:val="18"/>
                <w:rtl w:val="0"/>
              </w:rPr>
              <w:t xml:space="preserve">Internal report logged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sz w:val="18"/>
                <w:szCs w:val="18"/>
                <w:rtl w:val="0"/>
              </w:rPr>
              <w:t xml:space="preserve">T+12h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sz w:val="18"/>
                <w:szCs w:val="18"/>
                <w:rtl w:val="0"/>
              </w:rPr>
              <w:t xml:space="preserve">Scope assessed — personal data in scope? Risk triage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sz w:val="18"/>
                <w:szCs w:val="18"/>
                <w:rtl w:val="0"/>
              </w:rPr>
              <w:t xml:space="preserve">Risk determination recorded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sz w:val="18"/>
                <w:szCs w:val="18"/>
                <w:rtl w:val="0"/>
              </w:rPr>
              <w:t xml:space="preserve">T+24h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sz w:val="18"/>
                <w:szCs w:val="18"/>
                <w:rtl w:val="0"/>
              </w:rPr>
              <w:t xml:space="preserve">Containment + preservation of evidence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sz w:val="18"/>
                <w:szCs w:val="18"/>
                <w:rtl w:val="0"/>
              </w:rPr>
              <w:t xml:space="preserve">Forensic snapshot / log export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sz w:val="18"/>
                <w:szCs w:val="18"/>
                <w:rtl w:val="0"/>
              </w:rPr>
              <w:t xml:space="preserve">T+48h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sz w:val="18"/>
                <w:szCs w:val="18"/>
                <w:rtl w:val="0"/>
              </w:rPr>
              <w:t xml:space="preserve">Draft notification text ready (if Risk or High Risk)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sz w:val="18"/>
                <w:szCs w:val="18"/>
                <w:rtl w:val="0"/>
              </w:rPr>
              <w:t xml:space="preserve">Legal review</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sz w:val="18"/>
                <w:szCs w:val="18"/>
                <w:rtl w:val="0"/>
              </w:rPr>
              <w:t xml:space="preserve">T+72h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sz w:val="18"/>
                <w:szCs w:val="18"/>
                <w:rtl w:val="0"/>
              </w:rPr>
              <w:t xml:space="preserve">Authority notification sent (PR208-R03)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sz w:val="18"/>
                <w:szCs w:val="18"/>
                <w:rtl w:val="0"/>
              </w:rPr>
              <w:t xml:space="preserve">Notification receipt filed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sz w:val="18"/>
                <w:szCs w:val="18"/>
                <w:rtl w:val="0"/>
              </w:rPr>
              <w:t xml:space="preserve">T+72h+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sz w:val="18"/>
                <w:szCs w:val="18"/>
                <w:rtl w:val="0"/>
              </w:rPr>
              <w:t xml:space="preserve">Subject notification issued if High Risk (PR208-R04)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sz w:val="18"/>
                <w:szCs w:val="18"/>
                <w:rtl w:val="0"/>
              </w:rPr>
              <w:t xml:space="preserve">Comms template executed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sz w:val="18"/>
                <w:szCs w:val="18"/>
                <w:rtl w:val="0"/>
              </w:rPr>
              <w:t xml:space="preserve">T+10 bdays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sz w:val="18"/>
                <w:szCs w:val="18"/>
                <w:rtl w:val="0"/>
              </w:rPr>
              <w:t xml:space="preserve">Root-cause + CAPA recorded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sz w:val="18"/>
                <w:szCs w:val="18"/>
                <w:rtl w:val="0"/>
              </w:rPr>
              <w:t xml:space="preserve">Incident report finalised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sz w:val="18"/>
                <w:szCs w:val="18"/>
                <w:rtl w:val="0"/>
              </w:rPr>
              <w:t xml:space="preserve">T+30 days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sz w:val="18"/>
                <w:szCs w:val="18"/>
                <w:rtl w:val="0"/>
              </w:rPr>
              <w:t xml:space="preserve">Lessons learned + tabletop adjustment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sz w:val="18"/>
                <w:szCs w:val="18"/>
                <w:rtl w:val="0"/>
              </w:rPr>
              <w:t xml:space="preserve">PLAN-701 update</w:t>
            </w:r>
            <w:r w:rsidDel="00000000" w:rsidR="00000000" w:rsidRPr="00000000">
              <w:rPr>
                <w:rtl w:val="0"/>
              </w:rPr>
            </w:r>
          </w:p>
        </w:tc>
      </w:tr>
    </w:tbl>
    <w:p w:rsidR="00000000" w:rsidDel="00000000" w:rsidP="00000000" w:rsidRDefault="00000000" w:rsidRPr="00000000" w14:paraId="00000061">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6. Decision Matrix — Notify?</w:t>
      </w:r>
      <w:r w:rsidDel="00000000" w:rsidR="00000000" w:rsidRPr="00000000">
        <w:rPr>
          <w:rtl w:val="0"/>
        </w:rPr>
      </w:r>
    </w:p>
    <w:tbl>
      <w:tblPr>
        <w:tblStyle w:val="Table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700"/>
        <w:gridCol w:w="3700"/>
        <w:tblGridChange w:id="0">
          <w:tblGrid>
            <w:gridCol w:w="2600"/>
            <w:gridCol w:w="3700"/>
            <w:gridCol w:w="37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1"/>
                <w:bCs w:val="1"/>
                <w:sz w:val="18"/>
                <w:szCs w:val="18"/>
                <w:rtl w:val="0"/>
              </w:rPr>
              <w:t xml:space="preserve">Risk 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1"/>
                <w:bCs w:val="1"/>
                <w:sz w:val="18"/>
                <w:szCs w:val="18"/>
                <w:rtl w:val="0"/>
              </w:rPr>
              <w:t xml:space="preserve">Art.33 Authority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1"/>
                <w:bCs w:val="1"/>
                <w:sz w:val="18"/>
                <w:szCs w:val="18"/>
                <w:rtl w:val="0"/>
              </w:rPr>
              <w:t xml:space="preserve">Art.34 Subjects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sz w:val="18"/>
                <w:szCs w:val="18"/>
                <w:rtl w:val="0"/>
              </w:rPr>
              <w:t xml:space="preserve">No Risk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sz w:val="18"/>
                <w:szCs w:val="18"/>
                <w:rtl w:val="0"/>
              </w:rPr>
              <w:t xml:space="preserve">Not required (record only)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sz w:val="18"/>
                <w:szCs w:val="18"/>
                <w:rtl w:val="0"/>
              </w:rPr>
              <w:t xml:space="preserve">Not required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sz w:val="18"/>
                <w:szCs w:val="18"/>
                <w:rtl w:val="0"/>
              </w:rPr>
              <w:t xml:space="preserve">Risk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sz w:val="18"/>
                <w:szCs w:val="18"/>
                <w:rtl w:val="0"/>
              </w:rPr>
              <w:t xml:space="preserve">Required within 72h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sz w:val="18"/>
                <w:szCs w:val="18"/>
                <w:rtl w:val="0"/>
              </w:rPr>
              <w:t xml:space="preserve">Not required but recommended if trust impact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sz w:val="18"/>
                <w:szCs w:val="18"/>
                <w:rtl w:val="0"/>
              </w:rPr>
              <w:t xml:space="preserve">High Risk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sz w:val="18"/>
                <w:szCs w:val="18"/>
                <w:rtl w:val="0"/>
              </w:rPr>
              <w:t xml:space="preserve">Required within 72h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sz w:val="18"/>
                <w:szCs w:val="18"/>
                <w:rtl w:val="0"/>
              </w:rPr>
              <w:t xml:space="preserve">Required without undue delay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sz w:val="18"/>
                <w:szCs w:val="18"/>
                <w:rtl w:val="0"/>
              </w:rPr>
              <w:t xml:space="preserve">Unable to assess in 72h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sz w:val="18"/>
                <w:szCs w:val="18"/>
                <w:rtl w:val="0"/>
              </w:rPr>
              <w:t xml:space="preserve">Submit initial + supplementary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sz w:val="18"/>
                <w:szCs w:val="18"/>
                <w:rtl w:val="0"/>
              </w:rPr>
              <w:t xml:space="preserve">Notify subjects when determined</w:t>
            </w:r>
            <w:r w:rsidDel="00000000" w:rsidR="00000000" w:rsidRPr="00000000">
              <w:rPr>
                <w:rtl w:val="0"/>
              </w:rPr>
            </w:r>
          </w:p>
        </w:tc>
      </w:tr>
    </w:tbl>
    <w:p w:rsidR="00000000" w:rsidDel="00000000" w:rsidP="00000000" w:rsidRDefault="00000000" w:rsidRPr="00000000" w14:paraId="00000071">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7. Notification Content (Art. 33(3) minimum)</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Nature of the breach, including categories and approximate number of data subjects and records.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Name and contact details of the DPO or contact point.</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Likely consequences of the breach.</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Measures taken or proposed to address the breach, including mitigation.</w:t>
      </w:r>
    </w:p>
    <w:p w:rsidR="00000000" w:rsidDel="00000000" w:rsidP="00000000" w:rsidRDefault="00000000" w:rsidRPr="00000000" w14:paraId="00000076">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8. Subject Communication (Art. 34(2))</w:t>
      </w:r>
      <w:r w:rsidDel="00000000" w:rsidR="00000000" w:rsidRPr="00000000">
        <w:rPr>
          <w:rtl w:val="0"/>
        </w:rPr>
      </w:r>
    </w:p>
    <w:p w:rsidR="00000000" w:rsidDel="00000000" w:rsidP="00000000" w:rsidRDefault="00000000" w:rsidRPr="00000000" w14:paraId="00000077">
      <w:pPr>
        <w:spacing w:after="100" w:lineRule="auto"/>
        <w:jc w:val="both"/>
        <w:rPr/>
      </w:pPr>
      <w:r w:rsidDel="00000000" w:rsidR="00000000" w:rsidRPr="00000000">
        <w:rPr>
          <w:rFonts w:ascii="Arial" w:cs="Arial" w:eastAsia="Arial" w:hAnsi="Arial"/>
          <w:sz w:val="20"/>
          <w:szCs w:val="20"/>
          <w:rtl w:val="0"/>
        </w:rPr>
        <w:t xml:space="preserve">Clear and plain language. Includes: nature of the breach, contact point, likely consequences, measures taken. Exception: public communication is acceptable where individual communication would involve disproportionate effort (Art. 34(3)(c)), but only with DPO + Legal approval.</w:t>
      </w:r>
      <w:r w:rsidDel="00000000" w:rsidR="00000000" w:rsidRPr="00000000">
        <w:rPr>
          <w:rtl w:val="0"/>
        </w:rPr>
      </w:r>
    </w:p>
    <w:p w:rsidR="00000000" w:rsidDel="00000000" w:rsidP="00000000" w:rsidRDefault="00000000" w:rsidRPr="00000000" w14:paraId="00000078">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9. Records (Art. 33(5))</w:t>
      </w:r>
      <w:r w:rsidDel="00000000" w:rsidR="00000000" w:rsidRPr="00000000">
        <w:rPr>
          <w:rtl w:val="0"/>
        </w:rPr>
      </w:r>
    </w:p>
    <w:p w:rsidR="00000000" w:rsidDel="00000000" w:rsidP="00000000" w:rsidRDefault="00000000" w:rsidRPr="00000000" w14:paraId="00000079">
      <w:pPr>
        <w:spacing w:after="100" w:lineRule="auto"/>
        <w:jc w:val="both"/>
        <w:rPr/>
      </w:pPr>
      <w:r w:rsidDel="00000000" w:rsidR="00000000" w:rsidRPr="00000000">
        <w:rPr>
          <w:rFonts w:ascii="Arial" w:cs="Arial" w:eastAsia="Arial" w:hAnsi="Arial"/>
          <w:sz w:val="20"/>
          <w:szCs w:val="20"/>
          <w:rtl w:val="0"/>
        </w:rPr>
        <w:t xml:space="preserve">All breaches — regardless of notification outcome — are recorded with: facts, effects, remedial action. Records are retained for 7 years and made available to the supervisory authority on request.</w:t>
      </w:r>
      <w:r w:rsidDel="00000000" w:rsidR="00000000" w:rsidRPr="00000000">
        <w:rPr>
          <w:rtl w:val="0"/>
        </w:rPr>
      </w:r>
    </w:p>
    <w:p w:rsidR="00000000" w:rsidDel="00000000" w:rsidP="00000000" w:rsidRDefault="00000000" w:rsidRPr="00000000" w14:paraId="0000007A">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10. Control Mapping</w:t>
      </w:r>
      <w:r w:rsidDel="00000000" w:rsidR="00000000" w:rsidRPr="00000000">
        <w:rPr>
          <w:rtl w:val="0"/>
        </w:rPr>
      </w:r>
    </w:p>
    <w:tbl>
      <w:tblPr>
        <w:tblStyle w:val="Table6"/>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4400"/>
        <w:tblGridChange w:id="0">
          <w:tblGrid>
            <w:gridCol w:w="2400"/>
            <w:gridCol w:w="3200"/>
            <w:gridCol w:w="44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1"/>
                <w:bCs w:val="1"/>
                <w:sz w:val="18"/>
                <w:szCs w:val="18"/>
                <w:rtl w:val="0"/>
              </w:rPr>
              <w:t xml:space="preserve">Framework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1"/>
                <w:bCs w:val="1"/>
                <w:sz w:val="18"/>
                <w:szCs w:val="18"/>
                <w:rtl w:val="0"/>
              </w:rPr>
              <w:t xml:space="preserve">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1"/>
                <w:bCs w:val="1"/>
                <w:sz w:val="18"/>
                <w:szCs w:val="18"/>
                <w:rtl w:val="0"/>
              </w:rPr>
              <w:t xml:space="preserve">How PR-208 satisfies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sz w:val="18"/>
                <w:szCs w:val="18"/>
                <w:rtl w:val="0"/>
              </w:rPr>
              <w:t xml:space="preserve">GDPR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0"/>
                <w:bCs w:val="0"/>
                <w:sz w:val="18"/>
                <w:szCs w:val="18"/>
                <w:rtl w:val="0"/>
              </w:rPr>
              <w:t xml:space="preserve">Art. 33 + Art. 34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0"/>
                <w:bCs w:val="0"/>
                <w:sz w:val="18"/>
                <w:szCs w:val="18"/>
                <w:rtl w:val="0"/>
              </w:rPr>
              <w:t xml:space="preserve">Direct statutory runbook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0"/>
                <w:bCs w:val="0"/>
                <w:sz w:val="18"/>
                <w:szCs w:val="18"/>
                <w:rtl w:val="0"/>
              </w:rPr>
              <w:t xml:space="preserve">ISO/IEC 27001:2022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0"/>
                <w:bCs w:val="0"/>
                <w:sz w:val="18"/>
                <w:szCs w:val="18"/>
                <w:rtl w:val="0"/>
              </w:rPr>
              <w:t xml:space="preserve">A.5.24, A.5.25, A.5.26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0"/>
                <w:bCs w:val="0"/>
                <w:sz w:val="18"/>
                <w:szCs w:val="18"/>
                <w:rtl w:val="0"/>
              </w:rPr>
              <w:t xml:space="preserve">Incident management and response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sz w:val="18"/>
                <w:szCs w:val="18"/>
                <w:rtl w:val="0"/>
              </w:rPr>
              <w:t xml:space="preserve">NIST CSF 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sz w:val="18"/>
                <w:szCs w:val="18"/>
                <w:rtl w:val="0"/>
              </w:rPr>
              <w:t xml:space="preserve">RS.CO-02, RS.CO-03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sz w:val="18"/>
                <w:szCs w:val="18"/>
                <w:rtl w:val="0"/>
              </w:rPr>
              <w:t xml:space="preserve">Coordinate with stakeholders during response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sz w:val="18"/>
                <w:szCs w:val="18"/>
                <w:rtl w:val="0"/>
              </w:rPr>
              <w:t xml:space="preserve">Annex 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sz w:val="18"/>
                <w:szCs w:val="18"/>
                <w:rtl w:val="0"/>
              </w:rPr>
              <w:t xml:space="preserve">C10 Incident response, C12 Privacy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sz w:val="18"/>
                <w:szCs w:val="18"/>
                <w:rtl w:val="0"/>
              </w:rPr>
              <w:t xml:space="preserve">Primary privacy-incident runbook</w:t>
            </w:r>
            <w:r w:rsidDel="00000000" w:rsidR="00000000" w:rsidRPr="00000000">
              <w:rPr>
                <w:rtl w:val="0"/>
              </w:rPr>
            </w:r>
          </w:p>
        </w:tc>
      </w:tr>
    </w:tbl>
    <w:p w:rsidR="00000000" w:rsidDel="00000000" w:rsidP="00000000" w:rsidRDefault="00000000" w:rsidRPr="00000000" w14:paraId="0000008A">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9. Exceptions &amp; Deviations</w:t>
      </w:r>
      <w:r w:rsidDel="00000000" w:rsidR="00000000" w:rsidRPr="00000000">
        <w:rPr>
          <w:rtl w:val="0"/>
        </w:rPr>
      </w:r>
    </w:p>
    <w:p w:rsidR="00000000" w:rsidDel="00000000" w:rsidP="00000000" w:rsidRDefault="00000000" w:rsidRPr="00000000" w14:paraId="0000008B">
      <w:pPr>
        <w:spacing w:after="100" w:lineRule="auto"/>
        <w:jc w:val="both"/>
        <w:rPr/>
      </w:pPr>
      <w:r w:rsidDel="00000000" w:rsidR="00000000" w:rsidRPr="00000000">
        <w:rPr>
          <w:rFonts w:ascii="Arial" w:cs="Arial" w:eastAsia="Arial" w:hAnsi="Arial"/>
          <w:sz w:val="20"/>
          <w:szCs w:val="20"/>
          <w:rtl w:val="0"/>
        </w:rPr>
        <w:t xml:space="preserve">Any deviation from the requirements in this document must be raised as a formal exception under POL-009 Exception &amp; Deviation Policy. Exceptions are classified E1 (Node-Owner approval, max 90 days), E2 (Node-Owner + CISO, max 180 days), E3 (Node-Owner + CFO + CISO, max 365 days) or E4 (CEO escalation). All active exceptions are tracked in REG-506 Exception &amp; Waiver Register.</w:t>
      </w:r>
      <w:r w:rsidDel="00000000" w:rsidR="00000000" w:rsidRPr="00000000">
        <w:rPr>
          <w:rtl w:val="0"/>
        </w:rPr>
      </w:r>
    </w:p>
    <w:p w:rsidR="00000000" w:rsidDel="00000000" w:rsidP="00000000" w:rsidRDefault="00000000" w:rsidRPr="00000000" w14:paraId="0000008C">
      <w:pPr>
        <w:spacing w:after="100" w:lineRule="auto"/>
        <w:jc w:val="both"/>
        <w:rPr/>
      </w:pPr>
      <w:r w:rsidDel="00000000" w:rsidR="00000000" w:rsidRPr="00000000">
        <w:rPr>
          <w:rFonts w:ascii="Arial" w:cs="Arial" w:eastAsia="Arial" w:hAnsi="Arial"/>
          <w:sz w:val="20"/>
          <w:szCs w:val="20"/>
          <w:rtl w:val="0"/>
        </w:rPr>
        <w:t xml:space="preserve">Undocumented deviation is treated as a control failure and triggers the Internal Audit Programme (IAP-001) non-conformance workflow.</w:t>
      </w:r>
      <w:r w:rsidDel="00000000" w:rsidR="00000000" w:rsidRPr="00000000">
        <w:rPr>
          <w:rtl w:val="0"/>
        </w:rPr>
      </w:r>
    </w:p>
    <w:p w:rsidR="00000000" w:rsidDel="00000000" w:rsidP="00000000" w:rsidRDefault="00000000" w:rsidRPr="00000000" w14:paraId="0000008D">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10. Metrics &amp; KRIs</w:t>
      </w:r>
      <w:r w:rsidDel="00000000" w:rsidR="00000000" w:rsidRPr="00000000">
        <w:rPr>
          <w:rtl w:val="0"/>
        </w:rPr>
      </w:r>
    </w:p>
    <w:p w:rsidR="00000000" w:rsidDel="00000000" w:rsidP="00000000" w:rsidRDefault="00000000" w:rsidRPr="00000000" w14:paraId="0000008E">
      <w:pPr>
        <w:spacing w:after="100" w:lineRule="auto"/>
        <w:jc w:val="both"/>
        <w:rPr/>
      </w:pPr>
      <w:r w:rsidDel="00000000" w:rsidR="00000000" w:rsidRPr="00000000">
        <w:rPr>
          <w:rFonts w:ascii="Arial" w:cs="Arial" w:eastAsia="Arial" w:hAnsi="Arial"/>
          <w:sz w:val="20"/>
          <w:szCs w:val="20"/>
          <w:rtl w:val="0"/>
        </w:rPr>
        <w:t xml:space="preserve">Operational effectiveness is monitored via the KRI dashboard specified in STD-110 KRI Dashboard Specification. Where this document introduces a new measurable control, the relevant KRI is added to STD-110 during the next quarterly review. Amber and Red thresholds drive the escalation and exception workflows in POL-009 and L2-INC-201.</w:t>
      </w:r>
      <w:r w:rsidDel="00000000" w:rsidR="00000000" w:rsidRPr="00000000">
        <w:rPr>
          <w:rtl w:val="0"/>
        </w:rPr>
      </w:r>
    </w:p>
    <w:p w:rsidR="00000000" w:rsidDel="00000000" w:rsidP="00000000" w:rsidRDefault="00000000" w:rsidRPr="00000000" w14:paraId="0000008F">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11. Review &amp; Maintenance</w:t>
      </w:r>
      <w:r w:rsidDel="00000000" w:rsidR="00000000" w:rsidRPr="00000000">
        <w:rPr>
          <w:rtl w:val="0"/>
        </w:rPr>
      </w:r>
    </w:p>
    <w:p w:rsidR="00000000" w:rsidDel="00000000" w:rsidP="00000000" w:rsidRDefault="00000000" w:rsidRPr="00000000" w14:paraId="00000090">
      <w:pPr>
        <w:spacing w:after="100" w:lineRule="auto"/>
        <w:jc w:val="both"/>
        <w:rPr/>
      </w:pPr>
      <w:r w:rsidDel="00000000" w:rsidR="00000000" w:rsidRPr="00000000">
        <w:rPr>
          <w:rFonts w:ascii="Arial" w:cs="Arial" w:eastAsia="Arial" w:hAnsi="Arial"/>
          <w:sz w:val="20"/>
          <w:szCs w:val="20"/>
          <w:rtl w:val="0"/>
        </w:rPr>
        <w:t xml:space="preserve">This document is reviewed on a annual + post-incident cadence by the named Owner, and additionally upon: (a) material change to the control environment, (b) regulatory change affecting scope, (c) incident or audit finding requiring remediation, (d) change in Node Owner or CISO, or (e) supersession of any referenced document. Review actions (confirm / amend / supersede) are recorded in REG-511 Document Registry and approved by the named Approver.</w:t>
      </w:r>
      <w:r w:rsidDel="00000000" w:rsidR="00000000" w:rsidRPr="00000000">
        <w:rPr>
          <w:rtl w:val="0"/>
        </w:rPr>
      </w:r>
    </w:p>
    <w:p w:rsidR="00000000" w:rsidDel="00000000" w:rsidP="00000000" w:rsidRDefault="00000000" w:rsidRPr="00000000" w14:paraId="00000091">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12. Version History</w:t>
      </w:r>
      <w:r w:rsidDel="00000000" w:rsidR="00000000" w:rsidRPr="00000000">
        <w:rPr>
          <w:rtl w:val="0"/>
        </w:rPr>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600"/>
        <w:gridCol w:w="4000"/>
        <w:tblGridChange w:id="0">
          <w:tblGrid>
            <w:gridCol w:w="1200"/>
            <w:gridCol w:w="1600"/>
            <w:gridCol w:w="2600"/>
            <w:gridCol w:w="4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1"/>
                <w:bCs w:val="1"/>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1"/>
                <w:bCs w:val="1"/>
                <w:sz w:val="18"/>
                <w:szCs w:val="18"/>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1"/>
                <w:bCs w:val="1"/>
                <w:sz w:val="18"/>
                <w:szCs w:val="18"/>
                <w:rtl w:val="0"/>
              </w:rPr>
              <w:t xml:space="preserve">Author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1"/>
                <w:bCs w:val="1"/>
                <w:sz w:val="18"/>
                <w:szCs w:val="18"/>
                <w:rtl w:val="0"/>
              </w:rPr>
              <w:t xml:space="preserve">Change Summary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sz w:val="18"/>
                <w:szCs w:val="18"/>
                <w:rtl w:val="0"/>
              </w:rPr>
              <w:t xml:space="preserve">v0.9 (superseded)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sz w:val="18"/>
                <w:szCs w:val="18"/>
                <w:rtl w:val="0"/>
              </w:rPr>
              <w:t xml:space="preserve">Prior draft in GitHub main_learning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0"/>
                <w:bCs w:val="0"/>
                <w:sz w:val="18"/>
                <w:szCs w:val="18"/>
                <w:rtl w:val="0"/>
              </w:rPr>
              <w:t xml:space="preserve">v1.0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0"/>
                <w:bCs w:val="0"/>
                <w:sz w:val="18"/>
                <w:szCs w:val="18"/>
                <w:rtl w:val="0"/>
              </w:rPr>
              <w:t xml:space="preserve">CISO / DPO (as applicable)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sz w:val="18"/>
                <w:szCs w:val="18"/>
                <w:rtl w:val="0"/>
              </w:rPr>
              <w:t xml:space="preserve">Full audit-ready publication for Drive; expanded purpose/scope/roles; added control mapping; evidence cadence; exception routing; KRI pointers.</w:t>
            </w:r>
            <w:r w:rsidDel="00000000" w:rsidR="00000000" w:rsidRPr="00000000">
              <w:rPr>
                <w:rtl w:val="0"/>
              </w:rPr>
            </w:r>
          </w:p>
        </w:tc>
      </w:tr>
    </w:tbl>
    <w:p w:rsidR="00000000" w:rsidDel="00000000" w:rsidP="00000000" w:rsidRDefault="00000000" w:rsidRPr="00000000" w14:paraId="0000009E">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13. Appendix — Cross-References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POL-003 Risk Management Policy</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POL-009 Exception &amp; Deviation Policy</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POL-010 Monitoring &amp; Assurance Policy</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POL-011 Data Protection &amp; Privacy Policy</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L1-EVID-004 Evidence &amp; Recordkeeping Standard</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RACI-001 Enterprise RACI</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REG-506 Exception Register / REG-510 DPIA Register / REG-511 Document Registry / REG-512 Evidence Calendar</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STD-110 KRI Dashboard Specification</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IAP-001 Internal Audit Programme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CL-PHASE-001 Lifecycle Checklist</w:t>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jc w:val="center"/>
      <w:rPr/>
    </w:pPr>
    <w:r w:rsidDel="00000000" w:rsidR="00000000" w:rsidRPr="00000000">
      <w:rPr>
        <w:rFonts w:ascii="Arial" w:cs="Arial" w:eastAsia="Arial" w:hAnsi="Arial"/>
        <w:color w:val="808080"/>
        <w:sz w:val="16"/>
        <w:szCs w:val="16"/>
        <w:rtl w:val="0"/>
      </w:rPr>
      <w:t xml:space="preserve">Protofire GRC — Page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08080"/>
        <w:sz w:val="16"/>
        <w:szCs w:val="16"/>
        <w:rtl w:val="0"/>
      </w:rPr>
      <w:t xml:space="preserve"> of </w:t>
    </w:r>
    <w:r w:rsidDel="00000000" w:rsidR="00000000" w:rsidRPr="00000000">
      <w:rPr>
        <w:rFonts w:ascii="Arial" w:cs="Arial" w:eastAsia="Arial" w:hAnsi="Arial"/>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jc w:val="right"/>
      <w:rPr/>
    </w:pPr>
    <w:r w:rsidDel="00000000" w:rsidR="00000000" w:rsidRPr="00000000">
      <w:rPr>
        <w:rFonts w:ascii="Arial" w:cs="Arial" w:eastAsia="Arial" w:hAnsi="Arial"/>
        <w:color w:val="808080"/>
        <w:sz w:val="16"/>
        <w:szCs w:val="16"/>
        <w:rtl w:val="0"/>
      </w:rPr>
      <w:t xml:space="preserve">Confidential — Internal    |    PR-208    |    v1.0    |    Effective 2026-04-15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