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Arial" w:cs="Arial" w:eastAsia="Arial" w:hAnsi="Arial"/>
          <w:b w:val="1"/>
          <w:bCs w:val="1"/>
          <w:color w:val="1f3864"/>
          <w:sz w:val="40"/>
          <w:szCs w:val="40"/>
          <w:rtl w:val="0"/>
        </w:rPr>
        <w:t xml:space="preserve">Data Subject Request Handling Procedure</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color w:val="595959"/>
          <w:sz w:val="20"/>
          <w:szCs w:val="20"/>
          <w:rtl w:val="0"/>
        </w:rPr>
        <w:t xml:space="preserve">PR-209  •  L2 Procedure  •  v1.0  •  2026-04-15</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0. Document Control</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4">
            <w:pPr>
              <w:jc w:val="left"/>
              <w:rPr/>
            </w:pPr>
            <w:r w:rsidDel="00000000" w:rsidR="00000000" w:rsidRPr="00000000">
              <w:rPr>
                <w:rFonts w:ascii="Arial" w:cs="Arial" w:eastAsia="Arial" w:hAnsi="Arial"/>
                <w:b w:val="1"/>
                <w:bCs w:val="1"/>
                <w:sz w:val="18"/>
                <w:szCs w:val="18"/>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5">
            <w:pPr>
              <w:jc w:val="left"/>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0"/>
                <w:bCs w:val="0"/>
                <w:sz w:val="18"/>
                <w:szCs w:val="18"/>
                <w:rtl w:val="0"/>
              </w:rPr>
              <w:t xml:space="preserve">Document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sz w:val="18"/>
                <w:szCs w:val="18"/>
                <w:rtl w:val="0"/>
              </w:rPr>
              <w:t xml:space="preserve">PR-209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0"/>
                <w:bCs w:val="0"/>
                <w:sz w:val="18"/>
                <w:szCs w:val="18"/>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sz w:val="18"/>
                <w:szCs w:val="18"/>
                <w:rtl w:val="0"/>
              </w:rPr>
              <w:t xml:space="preserve">Data Subject Request Handling Procedure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0"/>
                <w:bCs w:val="0"/>
                <w:sz w:val="18"/>
                <w:szCs w:val="18"/>
                <w:rtl w:val="0"/>
              </w:rPr>
              <w:t xml:space="preserve">Hierarchy 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sz w:val="18"/>
                <w:szCs w:val="18"/>
                <w:rtl w:val="0"/>
              </w:rPr>
              <w:t xml:space="preserve">L2 — Procedure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0"/>
                <w:bCs w:val="0"/>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0"/>
                <w:bCs w:val="0"/>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0"/>
                <w:bCs w:val="0"/>
                <w:sz w:val="18"/>
                <w:szCs w:val="18"/>
                <w:rtl w:val="0"/>
              </w:rPr>
              <w:t xml:space="preserve">Approved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0"/>
                <w:bCs w:val="0"/>
                <w:sz w:val="18"/>
                <w:szCs w:val="18"/>
                <w:rtl w:val="0"/>
              </w:rPr>
              <w:t xml:space="preserve">Effective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sz w:val="18"/>
                <w:szCs w:val="18"/>
                <w:rtl w:val="0"/>
              </w:rPr>
              <w:t xml:space="preserve">Review Cycle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sz w:val="18"/>
                <w:szCs w:val="18"/>
                <w:rtl w:val="0"/>
              </w:rPr>
              <w:t xml:space="preserve">Annual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sz w:val="18"/>
                <w:szCs w:val="18"/>
                <w:rtl w:val="0"/>
              </w:rPr>
              <w:t xml:space="preserve">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sz w:val="18"/>
                <w:szCs w:val="18"/>
                <w:rtl w:val="0"/>
              </w:rPr>
              <w:t xml:space="preserve">DPO (CISO)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sz w:val="18"/>
                <w:szCs w:val="18"/>
                <w:rtl w:val="0"/>
              </w:rPr>
              <w:t xml:space="preserve">Approver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sz w:val="18"/>
                <w:szCs w:val="18"/>
                <w:rtl w:val="0"/>
              </w:rPr>
              <w:t xml:space="preserve">Node Owner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sz w:val="18"/>
                <w:szCs w:val="18"/>
                <w:rtl w:val="0"/>
              </w:rPr>
              <w:t xml:space="preserve">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sz w:val="18"/>
                <w:szCs w:val="18"/>
                <w:rtl w:val="0"/>
              </w:rPr>
              <w:t xml:space="preserve">Confidential — Internal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sz w:val="18"/>
                <w:szCs w:val="18"/>
                <w:rtl w:val="0"/>
              </w:rPr>
              <w:t xml:space="preserve">Supersedes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sz w:val="18"/>
                <w:szCs w:val="18"/>
                <w:rtl w:val="0"/>
              </w:rPr>
              <w:t xml:space="preserve">References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sz w:val="18"/>
                <w:szCs w:val="18"/>
                <w:rtl w:val="0"/>
              </w:rPr>
              <w:t xml:space="preserve">POL-011; GDPR Art.12–22; REG-510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18"/>
                <w:szCs w:val="18"/>
                <w:rtl w:val="0"/>
              </w:rPr>
              <w:t xml:space="preserve">Last Change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sz w:val="18"/>
                <w:szCs w:val="18"/>
                <w:rtl w:val="0"/>
              </w:rPr>
              <w:t xml:space="preserve">Audit Readiness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sz w:val="18"/>
                <w:szCs w:val="18"/>
                <w:rtl w:val="0"/>
              </w:rPr>
              <w:t xml:space="preserve">Audit-ready v1.0 — generated 2026-04-15 for Drive publication</w:t>
            </w:r>
            <w:r w:rsidDel="00000000" w:rsidR="00000000" w:rsidRPr="00000000">
              <w:rPr>
                <w:rtl w:val="0"/>
              </w:rPr>
            </w:r>
          </w:p>
        </w:tc>
      </w:tr>
    </w:tbl>
    <w:p w:rsidR="00000000" w:rsidDel="00000000" w:rsidP="00000000" w:rsidRDefault="00000000" w:rsidRPr="00000000" w14:paraId="00000022">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 Purpose</w:t>
      </w:r>
      <w:r w:rsidDel="00000000" w:rsidR="00000000" w:rsidRPr="00000000">
        <w:rPr>
          <w:rtl w:val="0"/>
        </w:rPr>
      </w:r>
    </w:p>
    <w:p w:rsidR="00000000" w:rsidDel="00000000" w:rsidP="00000000" w:rsidRDefault="00000000" w:rsidRPr="00000000" w14:paraId="00000023">
      <w:pPr>
        <w:spacing w:after="100" w:lineRule="auto"/>
        <w:jc w:val="both"/>
        <w:rPr/>
      </w:pPr>
      <w:r w:rsidDel="00000000" w:rsidR="00000000" w:rsidRPr="00000000">
        <w:rPr>
          <w:rFonts w:ascii="Arial" w:cs="Arial" w:eastAsia="Arial" w:hAnsi="Arial"/>
          <w:sz w:val="20"/>
          <w:szCs w:val="20"/>
          <w:rtl w:val="0"/>
        </w:rPr>
        <w:t xml:space="preserve">Defines how Protofire handles Data Subject Requests (DSRs) across all GDPR Chapter III rights, to ensure completeness, timeliness and evidentiary traceability.</w:t>
      </w:r>
      <w:r w:rsidDel="00000000" w:rsidR="00000000" w:rsidRPr="00000000">
        <w:rPr>
          <w:rtl w:val="0"/>
        </w:rPr>
      </w:r>
    </w:p>
    <w:p w:rsidR="00000000" w:rsidDel="00000000" w:rsidP="00000000" w:rsidRDefault="00000000" w:rsidRPr="00000000" w14:paraId="00000024">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2. Scope</w:t>
      </w:r>
      <w:r w:rsidDel="00000000" w:rsidR="00000000" w:rsidRPr="00000000">
        <w:rPr>
          <w:rtl w:val="0"/>
        </w:rPr>
      </w:r>
    </w:p>
    <w:p w:rsidR="00000000" w:rsidDel="00000000" w:rsidP="00000000" w:rsidRDefault="00000000" w:rsidRPr="00000000" w14:paraId="00000025">
      <w:pPr>
        <w:spacing w:after="100" w:lineRule="auto"/>
        <w:jc w:val="both"/>
        <w:rPr/>
      </w:pPr>
      <w:r w:rsidDel="00000000" w:rsidR="00000000" w:rsidRPr="00000000">
        <w:rPr>
          <w:rFonts w:ascii="Arial" w:cs="Arial" w:eastAsia="Arial" w:hAnsi="Arial"/>
          <w:sz w:val="20"/>
          <w:szCs w:val="20"/>
          <w:rtl w:val="0"/>
        </w:rPr>
        <w:t xml:space="preserve">Applies to requests from: employees, candidates, clients, client personnel, website visitors, and any other identifiable natural person whose data Protofire processes as Controller. For Processor-role processing, DSRs are redirected to the Controller without delay and the fact of redirection is logged.</w:t>
      </w:r>
      <w:r w:rsidDel="00000000" w:rsidR="00000000" w:rsidRPr="00000000">
        <w:rPr>
          <w:rtl w:val="0"/>
        </w:rPr>
      </w:r>
    </w:p>
    <w:p w:rsidR="00000000" w:rsidDel="00000000" w:rsidP="00000000" w:rsidRDefault="00000000" w:rsidRPr="00000000" w14:paraId="0000002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3. Supported Rights</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00"/>
        <w:tblGridChange w:id="0">
          <w:tblGrid>
            <w:gridCol w:w="2400"/>
            <w:gridCol w:w="76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sz w:val="18"/>
                <w:szCs w:val="18"/>
                <w:rtl w:val="0"/>
              </w:rPr>
              <w:t xml:space="preserve">Right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sz w:val="18"/>
                <w:szCs w:val="18"/>
                <w:rtl w:val="0"/>
              </w:rPr>
              <w:t xml:space="preserve">GDPR Article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sz w:val="18"/>
                <w:szCs w:val="18"/>
                <w:rtl w:val="0"/>
              </w:rPr>
              <w:t xml:space="preserve">Access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sz w:val="18"/>
                <w:szCs w:val="18"/>
                <w:rtl w:val="0"/>
              </w:rPr>
              <w:t xml:space="preserve">Art. 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sz w:val="18"/>
                <w:szCs w:val="18"/>
                <w:rtl w:val="0"/>
              </w:rPr>
              <w:t xml:space="preserve">Rectification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sz w:val="18"/>
                <w:szCs w:val="18"/>
                <w:rtl w:val="0"/>
              </w:rPr>
              <w:t xml:space="preserve">Art. 16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sz w:val="18"/>
                <w:szCs w:val="18"/>
                <w:rtl w:val="0"/>
              </w:rPr>
              <w:t xml:space="preserve">Erasure ("right to be forgotten")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sz w:val="18"/>
                <w:szCs w:val="18"/>
                <w:rtl w:val="0"/>
              </w:rPr>
              <w:t xml:space="preserve">Art. 17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sz w:val="18"/>
                <w:szCs w:val="18"/>
                <w:rtl w:val="0"/>
              </w:rPr>
              <w:t xml:space="preserve">Restriction of processing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sz w:val="18"/>
                <w:szCs w:val="18"/>
                <w:rtl w:val="0"/>
              </w:rPr>
              <w:t xml:space="preserve">Art. 18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sz w:val="18"/>
                <w:szCs w:val="18"/>
                <w:rtl w:val="0"/>
              </w:rPr>
              <w:t xml:space="preserve">Data portability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sz w:val="18"/>
                <w:szCs w:val="18"/>
                <w:rtl w:val="0"/>
              </w:rPr>
              <w:t xml:space="preserve">Art. 20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sz w:val="18"/>
                <w:szCs w:val="18"/>
                <w:rtl w:val="0"/>
              </w:rPr>
              <w:t xml:space="preserve">Objection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sz w:val="18"/>
                <w:szCs w:val="18"/>
                <w:rtl w:val="0"/>
              </w:rPr>
              <w:t xml:space="preserve">Art. 21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sz w:val="18"/>
                <w:szCs w:val="18"/>
                <w:rtl w:val="0"/>
              </w:rPr>
              <w:t xml:space="preserve">Not to be subject to automated decision-making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sz w:val="18"/>
                <w:szCs w:val="18"/>
                <w:rtl w:val="0"/>
              </w:rPr>
              <w:t xml:space="preserve">Art. 22 — handled case-by-case by DPO</w:t>
            </w:r>
            <w:r w:rsidDel="00000000" w:rsidR="00000000" w:rsidRPr="00000000">
              <w:rPr>
                <w:rtl w:val="0"/>
              </w:rPr>
            </w:r>
          </w:p>
        </w:tc>
      </w:tr>
    </w:tbl>
    <w:p w:rsidR="00000000" w:rsidDel="00000000" w:rsidP="00000000" w:rsidRDefault="00000000" w:rsidRPr="00000000" w14:paraId="00000037">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4. Timeline</w:t>
      </w:r>
      <w:r w:rsidDel="00000000" w:rsidR="00000000" w:rsidRPr="00000000">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4500"/>
        <w:tblGridChange w:id="0">
          <w:tblGrid>
            <w:gridCol w:w="2000"/>
            <w:gridCol w:w="3500"/>
            <w:gridCol w:w="45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1"/>
                <w:bCs w:val="1"/>
                <w:sz w:val="18"/>
                <w:szCs w:val="18"/>
                <w:rtl w:val="0"/>
              </w:rPr>
              <w:t xml:space="preserve">Clock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1"/>
                <w:bCs w:val="1"/>
                <w:sz w:val="18"/>
                <w:szCs w:val="18"/>
                <w:rtl w:val="0"/>
              </w:rPr>
              <w:t xml:space="preserve">Action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1"/>
                <w:bCs w:val="1"/>
                <w:sz w:val="18"/>
                <w:szCs w:val="18"/>
                <w:rtl w:val="0"/>
              </w:rPr>
              <w:t xml:space="preserve">Requirement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18"/>
                <w:szCs w:val="18"/>
                <w:rtl w:val="0"/>
              </w:rPr>
              <w:t xml:space="preserve">T+0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18"/>
                <w:szCs w:val="18"/>
                <w:rtl w:val="0"/>
              </w:rPr>
              <w:t xml:space="preserve">DSR received via privacy@protofire or portal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sz w:val="18"/>
                <w:szCs w:val="18"/>
                <w:rtl w:val="0"/>
              </w:rPr>
              <w:t xml:space="preserve">Intake record created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sz w:val="18"/>
                <w:szCs w:val="18"/>
                <w:rtl w:val="0"/>
              </w:rPr>
              <w:t xml:space="preserve">T+3 bdays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sz w:val="18"/>
                <w:szCs w:val="18"/>
                <w:rtl w:val="0"/>
              </w:rPr>
              <w:t xml:space="preserve">Acknowledgement to data subject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sz w:val="18"/>
                <w:szCs w:val="18"/>
                <w:rtl w:val="0"/>
              </w:rPr>
              <w:t xml:space="preserve">PR209-R01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sz w:val="18"/>
                <w:szCs w:val="18"/>
                <w:rtl w:val="0"/>
              </w:rPr>
              <w:t xml:space="preserve">T+5 bdays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sz w:val="18"/>
                <w:szCs w:val="18"/>
                <w:rtl w:val="0"/>
              </w:rPr>
              <w:t xml:space="preserve">Identity verification complete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sz w:val="18"/>
                <w:szCs w:val="18"/>
                <w:rtl w:val="0"/>
              </w:rPr>
              <w:t xml:space="preserve">PR209-R02 — risk-proportionate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sz w:val="18"/>
                <w:szCs w:val="18"/>
                <w:rtl w:val="0"/>
              </w:rPr>
              <w:t xml:space="preserve">T+30 cdays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sz w:val="18"/>
                <w:szCs w:val="18"/>
                <w:rtl w:val="0"/>
              </w:rPr>
              <w:t xml:space="preserve">Fulfilment completed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sz w:val="18"/>
                <w:szCs w:val="18"/>
                <w:rtl w:val="0"/>
              </w:rPr>
              <w:t xml:space="preserve">PR209-R03 — standard deadline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sz w:val="18"/>
                <w:szCs w:val="18"/>
                <w:rtl w:val="0"/>
              </w:rPr>
              <w:t xml:space="preserve">T+30 + 60 cdays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sz w:val="18"/>
                <w:szCs w:val="18"/>
                <w:rtl w:val="0"/>
              </w:rPr>
              <w:t xml:space="preserve">Extension available for complex/high-volume requests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sz w:val="18"/>
                <w:szCs w:val="18"/>
                <w:rtl w:val="0"/>
              </w:rPr>
              <w:t xml:space="preserve">Written notification of extension required</w:t>
            </w:r>
            <w:r w:rsidDel="00000000" w:rsidR="00000000" w:rsidRPr="00000000">
              <w:rPr>
                <w:rtl w:val="0"/>
              </w:rPr>
            </w:r>
          </w:p>
        </w:tc>
      </w:tr>
    </w:tbl>
    <w:p w:rsidR="00000000" w:rsidDel="00000000" w:rsidP="00000000" w:rsidRDefault="00000000" w:rsidRPr="00000000" w14:paraId="0000004A">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5. Identity Verification</w:t>
      </w:r>
      <w:r w:rsidDel="00000000" w:rsidR="00000000" w:rsidRPr="00000000">
        <w:rPr>
          <w:rtl w:val="0"/>
        </w:rPr>
      </w:r>
    </w:p>
    <w:p w:rsidR="00000000" w:rsidDel="00000000" w:rsidP="00000000" w:rsidRDefault="00000000" w:rsidRPr="00000000" w14:paraId="0000004B">
      <w:pPr>
        <w:spacing w:after="100" w:lineRule="auto"/>
        <w:jc w:val="both"/>
        <w:rPr/>
      </w:pPr>
      <w:r w:rsidDel="00000000" w:rsidR="00000000" w:rsidRPr="00000000">
        <w:rPr>
          <w:rFonts w:ascii="Arial" w:cs="Arial" w:eastAsia="Arial" w:hAnsi="Arial"/>
          <w:sz w:val="20"/>
          <w:szCs w:val="20"/>
          <w:rtl w:val="0"/>
        </w:rPr>
        <w:t xml:space="preserve">Verification is risk-proportionate: where Protofire holds limited personal data (e.g., marketing contact only) a simple email-challenge suffices. Where Protofire holds DC-3/DC-4 data under S-109, additional verification is required (e.g., signed request, prior authenticator-bound email). Excessive or manifestly unfounded requests may be refused or charged under Art. 12(5).</w:t>
      </w:r>
      <w:r w:rsidDel="00000000" w:rsidR="00000000" w:rsidRPr="00000000">
        <w:rPr>
          <w:rtl w:val="0"/>
        </w:rPr>
      </w:r>
    </w:p>
    <w:p w:rsidR="00000000" w:rsidDel="00000000" w:rsidP="00000000" w:rsidRDefault="00000000" w:rsidRPr="00000000" w14:paraId="0000004C">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6. Workflow</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Intake — DPO triages within 1 business day; classifies right(s) requested.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 Identity verification; request clarification if needed; clock runs from verified request.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 — Cross-search all processing systems; include backups only where reasonably accessible.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 DPO reviews for third-party data (redact), legal privilege (withhold), completeness.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Respond — Structured response + machine-readable export (for Access/Portability); deletion certificate for Erasure.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 — Entry in DSR log (linked to REG-510 for completeness) with outcome + timings.</w:t>
      </w:r>
    </w:p>
    <w:p w:rsidR="00000000" w:rsidDel="00000000" w:rsidP="00000000" w:rsidRDefault="00000000" w:rsidRPr="00000000" w14:paraId="0000005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7. Edge Cases</w:t>
      </w:r>
      <w:r w:rsidDel="00000000" w:rsidR="00000000" w:rsidRPr="00000000">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1"/>
                <w:bCs w:val="1"/>
                <w:sz w:val="18"/>
                <w:szCs w:val="18"/>
                <w:rtl w:val="0"/>
              </w:rPr>
              <w:t xml:space="preserve">Scenario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1"/>
                <w:bCs w:val="1"/>
                <w:sz w:val="18"/>
                <w:szCs w:val="18"/>
                <w:rtl w:val="0"/>
              </w:rPr>
              <w:t xml:space="preserve">Handling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sz w:val="18"/>
                <w:szCs w:val="18"/>
                <w:rtl w:val="0"/>
              </w:rPr>
              <w:t xml:space="preserve">Subject cannot be identified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sz w:val="18"/>
                <w:szCs w:val="18"/>
                <w:rtl w:val="0"/>
              </w:rPr>
              <w:t xml:space="preserve">Request more information under Art. 12(6); if still insufficient, respond declining without compliance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sz w:val="18"/>
                <w:szCs w:val="18"/>
                <w:rtl w:val="0"/>
              </w:rPr>
              <w:t xml:space="preserve">Erasure conflicts with legal retention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sz w:val="18"/>
                <w:szCs w:val="18"/>
                <w:rtl w:val="0"/>
              </w:rPr>
              <w:t xml:space="preserve">Fulfil partial erasure; retain legally required items with erasure-after-retention scheduling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sz w:val="18"/>
                <w:szCs w:val="18"/>
                <w:rtl w:val="0"/>
              </w:rPr>
              <w:t xml:space="preserve">DSR targets on-chain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sz w:val="18"/>
                <w:szCs w:val="18"/>
                <w:rtl w:val="0"/>
              </w:rPr>
              <w:t xml:space="preserve">Erasure impossible on immutable ledger — apply cryptographic unlinking or key destruction; document limitation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sz w:val="18"/>
                <w:szCs w:val="18"/>
                <w:rtl w:val="0"/>
              </w:rPr>
              <w:t xml:space="preserve">DSR targets client-controlled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sz w:val="18"/>
                <w:szCs w:val="18"/>
                <w:rtl w:val="0"/>
              </w:rPr>
              <w:t xml:space="preserve">Redirect to client Controller; inform subject; log redirection</w:t>
            </w:r>
            <w:r w:rsidDel="00000000" w:rsidR="00000000" w:rsidRPr="00000000">
              <w:rPr>
                <w:rtl w:val="0"/>
              </w:rPr>
            </w:r>
          </w:p>
        </w:tc>
      </w:tr>
    </w:tbl>
    <w:p w:rsidR="00000000" w:rsidDel="00000000" w:rsidP="00000000" w:rsidRDefault="00000000" w:rsidRPr="00000000" w14:paraId="0000005E">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8. Control Mapping</w:t>
      </w:r>
      <w:r w:rsidDel="00000000" w:rsidR="00000000" w:rsidRPr="00000000">
        <w:rPr>
          <w:rtl w:val="0"/>
        </w:rPr>
      </w:r>
    </w:p>
    <w:tbl>
      <w:tblPr>
        <w:tblStyle w:val="Table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4400"/>
        <w:tblGridChange w:id="0">
          <w:tblGrid>
            <w:gridCol w:w="2400"/>
            <w:gridCol w:w="3200"/>
            <w:gridCol w:w="4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1"/>
                <w:bCs w:val="1"/>
                <w:sz w:val="18"/>
                <w:szCs w:val="18"/>
                <w:rtl w:val="0"/>
              </w:rPr>
              <w:t xml:space="preserve">Framework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1"/>
                <w:bCs w:val="1"/>
                <w:sz w:val="18"/>
                <w:szCs w:val="18"/>
                <w:rtl w:val="0"/>
              </w:rPr>
              <w:t xml:space="preserve">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1"/>
                <w:bCs w:val="1"/>
                <w:sz w:val="18"/>
                <w:szCs w:val="18"/>
                <w:rtl w:val="0"/>
              </w:rPr>
              <w:t xml:space="preserve">How PR-209 satisfies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sz w:val="18"/>
                <w:szCs w:val="18"/>
                <w:rtl w:val="0"/>
              </w:rPr>
              <w:t xml:space="preserve">GDPR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sz w:val="18"/>
                <w:szCs w:val="18"/>
                <w:rtl w:val="0"/>
              </w:rPr>
              <w:t xml:space="preserve">Art. 12 and Chapter III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sz w:val="18"/>
                <w:szCs w:val="18"/>
                <w:rtl w:val="0"/>
              </w:rPr>
              <w:t xml:space="preserve">Direct statutory runbook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sz w:val="18"/>
                <w:szCs w:val="18"/>
                <w:rtl w:val="0"/>
              </w:rPr>
              <w:t xml:space="preserve">ISO/IEC 27701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sz w:val="18"/>
                <w:szCs w:val="18"/>
                <w:rtl w:val="0"/>
              </w:rPr>
              <w:t xml:space="preserve">A.7.3, B.8.3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sz w:val="18"/>
                <w:szCs w:val="18"/>
                <w:rtl w:val="0"/>
              </w:rPr>
              <w:t xml:space="preserve">Data subject rights implementation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sz w:val="18"/>
                <w:szCs w:val="18"/>
                <w:rtl w:val="0"/>
              </w:rPr>
              <w:t xml:space="preserve">ISO/IEC 27001:2022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sz w:val="18"/>
                <w:szCs w:val="18"/>
                <w:rtl w:val="0"/>
              </w:rPr>
              <w:t xml:space="preserve">A.5.34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sz w:val="18"/>
                <w:szCs w:val="18"/>
                <w:rtl w:val="0"/>
              </w:rPr>
              <w:t xml:space="preserve">Privacy and protection of PII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sz w:val="18"/>
                <w:szCs w:val="18"/>
                <w:rtl w:val="0"/>
              </w:rPr>
              <w:t xml:space="preserve">Annex 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sz w:val="18"/>
                <w:szCs w:val="18"/>
                <w:rtl w:val="0"/>
              </w:rPr>
              <w:t xml:space="preserve">C12 Privacy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sz w:val="18"/>
                <w:szCs w:val="18"/>
                <w:rtl w:val="0"/>
              </w:rPr>
              <w:t xml:space="preserve">Direct evidence</w:t>
            </w:r>
            <w:r w:rsidDel="00000000" w:rsidR="00000000" w:rsidRPr="00000000">
              <w:rPr>
                <w:rtl w:val="0"/>
              </w:rPr>
            </w:r>
          </w:p>
        </w:tc>
      </w:tr>
    </w:tbl>
    <w:p w:rsidR="00000000" w:rsidDel="00000000" w:rsidP="00000000" w:rsidRDefault="00000000" w:rsidRPr="00000000" w14:paraId="0000006E">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9. Exceptions &amp; Deviations</w:t>
      </w:r>
      <w:r w:rsidDel="00000000" w:rsidR="00000000" w:rsidRPr="00000000">
        <w:rPr>
          <w:rtl w:val="0"/>
        </w:rPr>
      </w:r>
    </w:p>
    <w:p w:rsidR="00000000" w:rsidDel="00000000" w:rsidP="00000000" w:rsidRDefault="00000000" w:rsidRPr="00000000" w14:paraId="0000006F">
      <w:pPr>
        <w:spacing w:after="100" w:lineRule="auto"/>
        <w:jc w:val="both"/>
        <w:rPr/>
      </w:pPr>
      <w:r w:rsidDel="00000000" w:rsidR="00000000" w:rsidRPr="00000000">
        <w:rPr>
          <w:rFonts w:ascii="Arial" w:cs="Arial" w:eastAsia="Arial" w:hAnsi="Arial"/>
          <w:sz w:val="20"/>
          <w:szCs w:val="20"/>
          <w:rtl w:val="0"/>
        </w:rPr>
        <w:t xml:space="preserve">Any deviation from the requirements in this document must be raised as a formal exception under POL-009 Exception &amp; Deviation Policy. Exceptions are classified E1 (Node-Owner approval, max 90 days), E2 (Node-Owner + CISO, max 180 days), E3 (Node-Owner + CFO + CISO, max 365 days) or E4 (CEO escalation). All active exceptions are tracked in REG-506 Exception &amp; Waiver Register.</w:t>
      </w:r>
      <w:r w:rsidDel="00000000" w:rsidR="00000000" w:rsidRPr="00000000">
        <w:rPr>
          <w:rtl w:val="0"/>
        </w:rPr>
      </w:r>
    </w:p>
    <w:p w:rsidR="00000000" w:rsidDel="00000000" w:rsidP="00000000" w:rsidRDefault="00000000" w:rsidRPr="00000000" w14:paraId="00000070">
      <w:pPr>
        <w:spacing w:after="100" w:lineRule="auto"/>
        <w:jc w:val="both"/>
        <w:rPr/>
      </w:pPr>
      <w:r w:rsidDel="00000000" w:rsidR="00000000" w:rsidRPr="00000000">
        <w:rPr>
          <w:rFonts w:ascii="Arial" w:cs="Arial" w:eastAsia="Arial" w:hAnsi="Arial"/>
          <w:sz w:val="20"/>
          <w:szCs w:val="20"/>
          <w:rtl w:val="0"/>
        </w:rPr>
        <w:t xml:space="preserve">Undocumented deviation is treated as a control failure and triggers the Internal Audit Programme (IAP-001) non-conformance workflow.</w:t>
      </w:r>
      <w:r w:rsidDel="00000000" w:rsidR="00000000" w:rsidRPr="00000000">
        <w:rPr>
          <w:rtl w:val="0"/>
        </w:rPr>
      </w:r>
    </w:p>
    <w:p w:rsidR="00000000" w:rsidDel="00000000" w:rsidP="00000000" w:rsidRDefault="00000000" w:rsidRPr="00000000" w14:paraId="00000071">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10. Metrics &amp; KRIs</w:t>
      </w:r>
      <w:r w:rsidDel="00000000" w:rsidR="00000000" w:rsidRPr="00000000">
        <w:rPr>
          <w:rtl w:val="0"/>
        </w:rPr>
      </w:r>
    </w:p>
    <w:p w:rsidR="00000000" w:rsidDel="00000000" w:rsidP="00000000" w:rsidRDefault="00000000" w:rsidRPr="00000000" w14:paraId="00000072">
      <w:pPr>
        <w:spacing w:after="100" w:lineRule="auto"/>
        <w:jc w:val="both"/>
        <w:rPr/>
      </w:pPr>
      <w:r w:rsidDel="00000000" w:rsidR="00000000" w:rsidRPr="00000000">
        <w:rPr>
          <w:rFonts w:ascii="Arial" w:cs="Arial" w:eastAsia="Arial" w:hAnsi="Arial"/>
          <w:sz w:val="20"/>
          <w:szCs w:val="20"/>
          <w:rtl w:val="0"/>
        </w:rPr>
        <w:t xml:space="preserve">Operational effectiveness is monitored via the KRI dashboard specified in STD-110 KRI Dashboard Specification. Where this document introduces a new measurable control, the relevant KRI is added to STD-110 during the next quarterly review. Amber and Red thresholds drive the escalation and exception workflows in POL-009 and L2-INC-201.</w:t>
      </w:r>
      <w:r w:rsidDel="00000000" w:rsidR="00000000" w:rsidRPr="00000000">
        <w:rPr>
          <w:rtl w:val="0"/>
        </w:rPr>
      </w:r>
    </w:p>
    <w:p w:rsidR="00000000" w:rsidDel="00000000" w:rsidP="00000000" w:rsidRDefault="00000000" w:rsidRPr="00000000" w14:paraId="0000007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11. Review &amp; Maintenance</w:t>
      </w:r>
      <w:r w:rsidDel="00000000" w:rsidR="00000000" w:rsidRPr="00000000">
        <w:rPr>
          <w:rtl w:val="0"/>
        </w:rPr>
      </w:r>
    </w:p>
    <w:p w:rsidR="00000000" w:rsidDel="00000000" w:rsidP="00000000" w:rsidRDefault="00000000" w:rsidRPr="00000000" w14:paraId="00000074">
      <w:pPr>
        <w:spacing w:after="100" w:lineRule="auto"/>
        <w:jc w:val="both"/>
        <w:rPr/>
      </w:pPr>
      <w:r w:rsidDel="00000000" w:rsidR="00000000" w:rsidRPr="00000000">
        <w:rPr>
          <w:rFonts w:ascii="Arial" w:cs="Arial" w:eastAsia="Arial" w:hAnsi="Arial"/>
          <w:sz w:val="20"/>
          <w:szCs w:val="20"/>
          <w:rtl w:val="0"/>
        </w:rPr>
        <w:t xml:space="preserve">This document is reviewed on a annual cadence by the named Owner, and additionally upon: (a) material change to the control environment, (b) regulatory change affecting scope, (c) incident or audit finding requiring remediation, (d) change in Node Owner or CISO, or (e) supersession of any referenced document. Review actions (confirm / amend / supersede) are recorded in REG-511 Document Registry and approved by the named Approver.</w:t>
      </w:r>
      <w:r w:rsidDel="00000000" w:rsidR="00000000" w:rsidRPr="00000000">
        <w:rPr>
          <w:rtl w:val="0"/>
        </w:rPr>
      </w:r>
    </w:p>
    <w:p w:rsidR="00000000" w:rsidDel="00000000" w:rsidP="00000000" w:rsidRDefault="00000000" w:rsidRPr="00000000" w14:paraId="00000075">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12. Version History</w:t>
      </w:r>
      <w:r w:rsidDel="00000000" w:rsidR="00000000" w:rsidRPr="00000000">
        <w:rPr>
          <w:rtl w:val="0"/>
        </w:rPr>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600"/>
        <w:gridCol w:w="4000"/>
        <w:tblGridChange w:id="0">
          <w:tblGrid>
            <w:gridCol w:w="1200"/>
            <w:gridCol w:w="1600"/>
            <w:gridCol w:w="2600"/>
            <w:gridCol w:w="4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1"/>
                <w:bCs w:val="1"/>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1"/>
                <w:bCs w:val="1"/>
                <w:sz w:val="18"/>
                <w:szCs w:val="18"/>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1"/>
                <w:bCs w:val="1"/>
                <w:sz w:val="18"/>
                <w:szCs w:val="18"/>
                <w:rtl w:val="0"/>
              </w:rPr>
              <w:t xml:space="preserve">Author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1"/>
                <w:bCs w:val="1"/>
                <w:sz w:val="18"/>
                <w:szCs w:val="18"/>
                <w:rtl w:val="0"/>
              </w:rPr>
              <w:t xml:space="preserve">Change Summary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sz w:val="18"/>
                <w:szCs w:val="18"/>
                <w:rtl w:val="0"/>
              </w:rPr>
              <w:t xml:space="preserve">v0.9 (superseded)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sz w:val="18"/>
                <w:szCs w:val="18"/>
                <w:rtl w:val="0"/>
              </w:rPr>
              <w:t xml:space="preserve">Prior draft in GitHub main_learning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sz w:val="18"/>
                <w:szCs w:val="18"/>
                <w:rtl w:val="0"/>
              </w:rPr>
              <w:t xml:space="preserve">v1.0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0"/>
                <w:bCs w:val="0"/>
                <w:sz w:val="18"/>
                <w:szCs w:val="18"/>
                <w:rtl w:val="0"/>
              </w:rPr>
              <w:t xml:space="preserve">CISO / DPO (as applicable)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sz w:val="18"/>
                <w:szCs w:val="18"/>
                <w:rtl w:val="0"/>
              </w:rPr>
              <w:t xml:space="preserve">Full audit-ready publication for Drive; expanded purpose/scope/roles; added control mapping; evidence cadence; exception routing; KRI pointers.</w:t>
            </w:r>
            <w:r w:rsidDel="00000000" w:rsidR="00000000" w:rsidRPr="00000000">
              <w:rPr>
                <w:rtl w:val="0"/>
              </w:rPr>
            </w:r>
          </w:p>
        </w:tc>
      </w:tr>
    </w:tbl>
    <w:p w:rsidR="00000000" w:rsidDel="00000000" w:rsidP="00000000" w:rsidRDefault="00000000" w:rsidRPr="00000000" w14:paraId="00000082">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13. Appendix — Cross-References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POL-003 Risk Management Policy</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POL-009 Exception &amp; Deviation Policy</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POL-010 Monitoring &amp; Assurance Policy</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POL-011 Data Protection &amp; Privacy Policy</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L1-EVID-004 Evidence &amp; Recordkeeping Standard</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RACI-001 Enterprise RACI</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REG-506 Exception Register / REG-510 DPIA Register / REG-511 Document Registry / REG-512 Evidence Calendar</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STD-110 KRI Dashboard Specification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IAP-001 Internal Audit Programme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CL-PHASE-001 Lifecycle Checklist</w:t>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jc w:val="center"/>
      <w:rPr/>
    </w:pPr>
    <w:r w:rsidDel="00000000" w:rsidR="00000000" w:rsidRPr="00000000">
      <w:rPr>
        <w:rFonts w:ascii="Arial" w:cs="Arial" w:eastAsia="Arial" w:hAnsi="Arial"/>
        <w:color w:val="808080"/>
        <w:sz w:val="16"/>
        <w:szCs w:val="16"/>
        <w:rtl w:val="0"/>
      </w:rPr>
      <w:t xml:space="preserve">Protofire GRC — Page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08080"/>
        <w:sz w:val="16"/>
        <w:szCs w:val="16"/>
        <w:rtl w:val="0"/>
      </w:rPr>
      <w:t xml:space="preserve"> of </w:t>
    </w:r>
    <w:r w:rsidDel="00000000" w:rsidR="00000000" w:rsidRPr="00000000">
      <w:rPr>
        <w:rFonts w:ascii="Arial" w:cs="Arial" w:eastAsia="Arial" w:hAnsi="Arial"/>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jc w:val="right"/>
      <w:rPr/>
    </w:pPr>
    <w:r w:rsidDel="00000000" w:rsidR="00000000" w:rsidRPr="00000000">
      <w:rPr>
        <w:rFonts w:ascii="Arial" w:cs="Arial" w:eastAsia="Arial" w:hAnsi="Arial"/>
        <w:color w:val="808080"/>
        <w:sz w:val="16"/>
        <w:szCs w:val="16"/>
        <w:rtl w:val="0"/>
      </w:rPr>
      <w:t xml:space="preserve">Confidential — Internal    |    PR-209    |    v1.0    |    Effective 2026-04-15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