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RACI-001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Enterprise RACI (Roles, Accountability, Consult, Inform)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RACI-001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1.0-draft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CISO + 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Draft — awaiting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RACI-001 is the enterprise-level RACI that assigns named accountability across every phase, gate, and standing activity of the Protofire GRC lifecycle. It complements project-level RACI instances (e.g. the DApp/DeFi RACI spreadsheet) by establishing the upstream defaults. Where a project RACI is silent, this document governs.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Legend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— Responsible: performs the work.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— Accountable: single point of sign-off; cannot be delegated; co-sign indicated explicitly (e.g. Gate G4-A and G7-IRR require both vCISO and NO).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— Consulted: two-way communication; provides input before sign-off.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— Informed: one-way notification after the fact.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(2PR) — Two-person rule applies: TL and DevOps Deployer cannot be the same individual.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Roles (abbreviations)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 / CEO — approves risk appetite and T3/T4 decisions.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vCISO / CISO / DPO — security strategy, G4-A and G7-IRR mandatory co-signer, GDPR DPO.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 Owner (NO) — engagement-level sign-off, Hard Stop escalation.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CFO — financial feasibility, T2+ MSA co-sign, cold-wallet reconciliation.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PM — delivery and RACI population on the engagement.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 — technical architecture, threat modelling, internal audit.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— infrastructure, CI/CD, deployments, monitoring.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— independent test execution, internal code-quality audit.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 — pre-sales, client risk scoring, project brief.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 — billing, arrears monitoring (HS-05).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Legal — MSA review, DPA, regulatory notifications.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RACI matrix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00"/>
        <w:gridCol w:w="800"/>
        <w:gridCol w:w="700"/>
        <w:gridCol w:w="700"/>
        <w:gridCol w:w="700"/>
        <w:gridCol w:w="700"/>
        <w:gridCol w:w="900"/>
        <w:gridCol w:w="700"/>
        <w:gridCol w:w="700"/>
        <w:gridCol w:w="700"/>
        <w:gridCol w:w="800"/>
        <w:tblGridChange w:id="0">
          <w:tblGrid>
            <w:gridCol w:w="1800"/>
            <w:gridCol w:w="800"/>
            <w:gridCol w:w="800"/>
            <w:gridCol w:w="700"/>
            <w:gridCol w:w="700"/>
            <w:gridCol w:w="700"/>
            <w:gridCol w:w="700"/>
            <w:gridCol w:w="900"/>
            <w:gridCol w:w="700"/>
            <w:gridCol w:w="700"/>
            <w:gridCol w:w="7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/ Gate /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/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vCISO / CISO /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P1 Intake &amp; C/B/P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G1-A Gate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P2 Proposal (security sections)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P3 MSA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G2-A Gate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 (T2+)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P3-FIN Billing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P4 Kickoff + PSF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G3-A Gate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P5 Threat modelling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G4-A Gate (MANDATORY vCISO)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(vCISO)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P6–P7 Build, QA,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G5-A Code review +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P8 Testnet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G6-A Pre-prod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P9 Mainnet deploy (Irrev.)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(vCISO)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 (T2+)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(2PR)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(2PR)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G7-IRR Irreversibility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(vCISO)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P10–P11 Ops &amp;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G8-A Ops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P12 Close-out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Incident SEV-1 (declare + pause)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Incident SEV-1 regulator notify (GDPR 72h)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(DPO)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 appetite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Hard Stop escalation (HS-01–07)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Policy approval (L0/L1)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Internal audit finding &gt;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t xml:space="preserve">5. Separation-of-Duty constraints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single individual may not hold Accountable for both G4-A (security review) and G7-IRR (irreversibility) on the same engagement — vCISO co-signs both, NO may co-sign both only if a different deputy handles the technical sign-off.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Deployer ≠ TL Reviewer at deployment (two-person rule, per the 20 mandatory controls, two-person rule row).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auditor ≠ code author (independence per L3-TEST-204).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CISO auditing own controls is prohibited — use vCISO or external assessor.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 Owner cannot approve their own Hard Stop override; escalation goes to CEO.</w:t>
      </w:r>
    </w:p>
    <w:p w:rsidR="00000000" w:rsidDel="00000000" w:rsidP="00000000" w:rsidRDefault="00000000" w:rsidRPr="00000000" w14:paraId="0000016C">
      <w:pPr>
        <w:pStyle w:val="Heading1"/>
        <w:rPr/>
      </w:pPr>
      <w:r w:rsidDel="00000000" w:rsidR="00000000" w:rsidRPr="00000000">
        <w:rPr>
          <w:rtl w:val="0"/>
        </w:rPr>
        <w:t xml:space="preserve">6. Maintenance</w:t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tl w:val="0"/>
        </w:rPr>
        <w:t xml:space="preserve">This RACI is reviewed annually by the GRC Committee and whenever a material role change occurs (leadership hire, SoD violation, role split). Changes are recorded in REG-511 with the ID of the approving Gate decision (typically GRC Committee minute).</w:t>
      </w:r>
    </w:p>
    <w:p w:rsidR="00000000" w:rsidDel="00000000" w:rsidP="00000000" w:rsidRDefault="00000000" w:rsidRPr="00000000" w14:paraId="0000016E">
      <w:pPr>
        <w:pStyle w:val="Heading1"/>
        <w:rPr/>
      </w:pPr>
      <w:r w:rsidDel="00000000" w:rsidR="00000000" w:rsidRPr="00000000">
        <w:rPr>
          <w:rtl w:val="0"/>
        </w:rPr>
        <w:t xml:space="preserve">7. Related documents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L0-2 GRC Programme Governance Charter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POL-001 Project Governance Policy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POL-004 Access Control and Segregation of Duties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Catalogue — sod-matrix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definitions/roles.md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REG-513 Node Configuration Register (NEW)</w:t>
      </w:r>
    </w:p>
    <w:sectPr>
      <w:headerReference r:id="rId6" w:type="default"/>
      <w:footerReference r:id="rId7" w:type="default"/>
      <w:pgSz w:h="12240" w:w="15840" w:orient="landscape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Protofire GRC  •  v1.0-draft  •  2026-04-15Page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tabs>
        <w:tab w:val="right" w:leader="none" w:pos="1404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RACI-001  •  Enterprise RACI (Roles, Accountability, Consult, Inform)Confidential — Internal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