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Enterprise Risk Register</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REG-501  •  L6 Register  •  v1.0  •  2026-04-15  •  Confidential — Internal</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REG-501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Enterprise Risk Register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L6 — Register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 (pending NOC sign-off)</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Quarterly (Tier-1 risks weekly)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Node Owner (NO) / NOC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L1-ERM-001; POL-003; OPS-001; STD-110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REG-501 is the authoritative enterprise register of all identified risks. It is the single source of truth for risk scoring, tier classification, treatment decisions, acceptance authority, compensating controls, KRI linkage, and gate evidence under the Protofire 8-gate lifecycle. The register is the primary artefact presented to internal audit (IAP-001), external auditors, insurance underwriters, and acquiring-counterparty due-diligence teams.</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In scope: all operational, technical, regulatory, financial and business risks impacting Protofire entities, Protofire-delivered engagements, client assets under advisory, and on-chain infrastructure operated by Protofire. Out of scope: purely personal / HR-grievance risks (handled under L1-HR-010), and risks owned exclusively by third parties where Protofire has no exposure and no advisory duty.</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Definitions</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18"/>
                <w:szCs w:val="18"/>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8"/>
                <w:szCs w:val="18"/>
                <w:rtl w:val="0"/>
              </w:rPr>
              <w:t xml:space="preserve">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sz w:val="18"/>
                <w:szCs w:val="18"/>
                <w:rtl w:val="0"/>
              </w:rPr>
              <w:t xml:space="preserve">C/B/P Scoring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sz w:val="18"/>
                <w:szCs w:val="18"/>
                <w:rtl w:val="0"/>
              </w:rPr>
              <w:t xml:space="preserve">Client / Business / Project dimensions (C1–C3, B1–B3, P1–P3) scored 1 (lowest risk) to 4 (highest)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18"/>
                <w:szCs w:val="18"/>
                <w:rtl w:val="0"/>
              </w:rPr>
              <w:t xml:space="preserve">Composite Score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18"/>
                <w:szCs w:val="18"/>
                <w:rtl w:val="0"/>
              </w:rPr>
              <w:t xml:space="preserve">Weighted average across the nine C/B/P factors — weights defined in OPS-001 §4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8"/>
                <w:szCs w:val="18"/>
                <w:rtl w:val="0"/>
              </w:rPr>
              <w:t xml:space="preserve">Tier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Unicode MS" w:cs="Arial Unicode MS" w:eastAsia="Arial Unicode MS" w:hAnsi="Arial Unicode MS"/>
                <w:b w:val="0"/>
                <w:bCs w:val="0"/>
                <w:sz w:val="18"/>
                <w:szCs w:val="18"/>
                <w:rtl w:val="0"/>
              </w:rPr>
              <w:t xml:space="preserve">T1 ≤ 1.75; T2 1.76–2.50; T3 2.51–3.25; T4 &gt; 3.25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Hard Stop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HS-01..HS-07 — unconditional blocking conditions (OFAC, no MSA, TVL, concentration, arrears, irreversibility, custody)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Residual 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Composite score recalculated after compensating controls applied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8"/>
                <w:szCs w:val="18"/>
                <w:rtl w:val="0"/>
              </w:rPr>
              <w:t xml:space="preserve">Acceptance Authority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Authority required to accept residual risk — per tier: T1/NO, T2/NO+CFO, T3/NOC, T4/Board</w:t>
            </w:r>
            <w:r w:rsidDel="00000000" w:rsidR="00000000" w:rsidRPr="00000000">
              <w:rPr>
                <w:rtl w:val="0"/>
              </w:rPr>
            </w:r>
          </w:p>
        </w:tc>
      </w:tr>
    </w:tbl>
    <w:p w:rsidR="00000000" w:rsidDel="00000000" w:rsidP="00000000" w:rsidRDefault="00000000" w:rsidRPr="00000000" w14:paraId="0000003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Roles &amp; Responsibilities</w:t>
      </w:r>
      <w:r w:rsidDel="00000000" w:rsidR="00000000" w:rsidRPr="00000000">
        <w:rPr>
          <w:rtl w:val="0"/>
        </w:rPr>
      </w:r>
    </w:p>
    <w:p w:rsidR="00000000" w:rsidDel="00000000" w:rsidP="00000000" w:rsidRDefault="00000000" w:rsidRPr="00000000" w14:paraId="00000036">
      <w:pPr>
        <w:spacing w:after="100" w:lineRule="auto"/>
        <w:jc w:val="both"/>
        <w:rPr/>
      </w:pPr>
      <w:r w:rsidDel="00000000" w:rsidR="00000000" w:rsidRPr="00000000">
        <w:rPr>
          <w:rFonts w:ascii="Arial" w:cs="Arial" w:eastAsia="Arial" w:hAnsi="Arial"/>
          <w:sz w:val="20"/>
          <w:szCs w:val="20"/>
          <w:rtl w:val="0"/>
        </w:rPr>
        <w:t xml:space="preserve">See RACI-001 §R-RISK for the full matrix. Summary: CISO is Accountable for register integrity; GRC Manager is Responsible for maintenance and cadence; Node Owner is Accountable for acceptance decisions per tier; Finance is Consulted for business-dimension scoring; Legal/Compliance is Consulted for jurisdictional risks; TL is Responsible for technical-dimension scoring on engagements.</w:t>
      </w:r>
      <w:r w:rsidDel="00000000" w:rsidR="00000000" w:rsidRPr="00000000">
        <w:rPr>
          <w:rtl w:val="0"/>
        </w:rPr>
      </w:r>
    </w:p>
    <w:p w:rsidR="00000000" w:rsidDel="00000000" w:rsidP="00000000" w:rsidRDefault="00000000" w:rsidRPr="00000000" w14:paraId="00000037">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Register Schema</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00"/>
        <w:tblGridChange w:id="0">
          <w:tblGrid>
            <w:gridCol w:w="2400"/>
            <w:gridCol w:w="7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1"/>
                <w:bCs w:val="1"/>
                <w:sz w:val="18"/>
                <w:szCs w:val="18"/>
                <w:rtl w:val="0"/>
              </w:rPr>
              <w:t xml:space="preserve">Description / Domain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Risk_ID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Format RR-{category}-{NNN}; immutable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OPS / WEB2-INFRA / WEB3 / LEGAL-REG / BUSINESS / STRATEGIC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Unicode MS" w:cs="Arial Unicode MS" w:eastAsia="Arial Unicode MS" w:hAnsi="Arial Unicode MS"/>
                <w:b w:val="0"/>
                <w:bCs w:val="0"/>
                <w:sz w:val="18"/>
                <w:szCs w:val="18"/>
                <w:rtl w:val="0"/>
              </w:rPr>
              <w:t xml:space="preserve">Plain-language risk statement (cause → event → effect)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Date_Identified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ISO date the risk was first raised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Source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8"/>
                <w:szCs w:val="18"/>
                <w:rtl w:val="0"/>
              </w:rPr>
              <w:t xml:space="preserve">Gate assessment / incident / audit finding / threat model / external intel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C1 Jurisdiction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8"/>
                <w:szCs w:val="18"/>
                <w:rtl w:val="0"/>
              </w:rPr>
              <w:t xml:space="preserve">1–4 — per OPS-001 §5.1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C2 Concentration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1–4 — single-client revenue share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C3 Credibility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1–4 — client counterparty track record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18"/>
                <w:szCs w:val="18"/>
                <w:rtl w:val="0"/>
              </w:rPr>
              <w:t xml:space="preserve">B1 Payment Terms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8"/>
                <w:szCs w:val="18"/>
                <w:rtl w:val="0"/>
              </w:rPr>
              <w:t xml:space="preserve">1–4 — milestone structure, retainer, arrears exposure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8"/>
                <w:szCs w:val="18"/>
                <w:rtl w:val="0"/>
              </w:rPr>
              <w:t xml:space="preserve">B2 Payment Discipline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8"/>
                <w:szCs w:val="18"/>
                <w:rtl w:val="0"/>
              </w:rPr>
              <w:t xml:space="preserve">1–4 — actual-vs-scheduled payment history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8"/>
                <w:szCs w:val="18"/>
                <w:rtl w:val="0"/>
              </w:rPr>
              <w:t xml:space="preserve">B3 Diversification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18"/>
                <w:szCs w:val="18"/>
                <w:rtl w:val="0"/>
              </w:rPr>
              <w:t xml:space="preserve">1–4 — project-portfolio concentration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18"/>
                <w:szCs w:val="18"/>
                <w:rtl w:val="0"/>
              </w:rPr>
              <w:t xml:space="preserve">P1 Tech Complexity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18"/>
                <w:szCs w:val="18"/>
                <w:rtl w:val="0"/>
              </w:rPr>
              <w:t xml:space="preserve">1–4 — novel protocols, composability depth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8"/>
                <w:szCs w:val="18"/>
                <w:rtl w:val="0"/>
              </w:rPr>
              <w:t xml:space="preserve">P2 TVL / Custody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8"/>
                <w:szCs w:val="18"/>
                <w:rtl w:val="0"/>
              </w:rPr>
              <w:t xml:space="preserve">1–4 — value-at-risk bracket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8"/>
                <w:szCs w:val="18"/>
                <w:rtl w:val="0"/>
              </w:rPr>
              <w:t xml:space="preserve">P3 Audit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sz w:val="18"/>
                <w:szCs w:val="18"/>
                <w:rtl w:val="0"/>
              </w:rPr>
              <w:t xml:space="preserve">1–4 — number of independent audits completed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sz w:val="18"/>
                <w:szCs w:val="18"/>
                <w:rtl w:val="0"/>
              </w:rPr>
              <w:t xml:space="preserve">Composite_Score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18"/>
                <w:szCs w:val="18"/>
                <w:rtl w:val="0"/>
              </w:rPr>
              <w:t xml:space="preserve">Weighted mean per OPS-001 weighting vector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18"/>
                <w:szCs w:val="18"/>
                <w:rtl w:val="0"/>
              </w:rPr>
              <w:t xml:space="preserve">Tier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8"/>
                <w:szCs w:val="18"/>
                <w:rtl w:val="0"/>
              </w:rPr>
              <w:t xml:space="preserve">T1 / T2 / T3 / T4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18"/>
                <w:szCs w:val="18"/>
                <w:rtl w:val="0"/>
              </w:rPr>
              <w:t xml:space="preserve">Hard_Stop_Flag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8"/>
                <w:szCs w:val="18"/>
                <w:rtl w:val="0"/>
              </w:rPr>
              <w:t xml:space="preserve">HS-01 … HS-07 or 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8"/>
                <w:szCs w:val="18"/>
                <w:rtl w:val="0"/>
              </w:rPr>
              <w:t xml:space="preserve">Gate_Trigger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G1-A / G1-B / G2 / G3 / G4 / G5 / G6 / G7-IRR / G8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Gate_Accept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Gate at which acceptance must be recorded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Named individual with email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Acceptance_Authority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NO / NO+CFO / NOC / Board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8"/>
                <w:szCs w:val="18"/>
                <w:rtl w:val="0"/>
              </w:rPr>
              <w:t xml:space="preserve">Treatment_Type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8"/>
                <w:szCs w:val="18"/>
                <w:rtl w:val="0"/>
              </w:rPr>
              <w:t xml:space="preserve">Mitigate / Accept / Transfer / Avoid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sz w:val="18"/>
                <w:szCs w:val="18"/>
                <w:rtl w:val="0"/>
              </w:rPr>
              <w:t xml:space="preserve">Compensating_Controls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18"/>
                <w:szCs w:val="18"/>
                <w:rtl w:val="0"/>
              </w:rPr>
              <w:t xml:space="preserve">Comma-separated control IDs from controls/control-catalogue.md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18"/>
                <w:szCs w:val="18"/>
                <w:rtl w:val="0"/>
              </w:rPr>
              <w:t xml:space="preserve">Residual_Risk_Score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sz w:val="18"/>
                <w:szCs w:val="18"/>
                <w:rtl w:val="0"/>
              </w:rPr>
              <w:t xml:space="preserve">Composite after controls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sz w:val="18"/>
                <w:szCs w:val="18"/>
                <w:rtl w:val="0"/>
              </w:rPr>
              <w:t xml:space="preserve">KRI_Reference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sz w:val="18"/>
                <w:szCs w:val="18"/>
                <w:rtl w:val="0"/>
              </w:rPr>
              <w:t xml:space="preserve">KRI-01..KRI-15 from STD-110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sz w:val="18"/>
                <w:szCs w:val="18"/>
                <w:rtl w:val="0"/>
              </w:rPr>
              <w:t xml:space="preserve">Last_Review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sz w:val="18"/>
                <w:szCs w:val="18"/>
                <w:rtl w:val="0"/>
              </w:rPr>
              <w:t xml:space="preserve">ISO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sz w:val="18"/>
                <w:szCs w:val="18"/>
                <w:rtl w:val="0"/>
              </w:rPr>
              <w:t xml:space="preserve">Next_Review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18"/>
                <w:szCs w:val="18"/>
                <w:rtl w:val="0"/>
              </w:rPr>
              <w:t xml:space="preserve">ISO date — per tier cadence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sz w:val="18"/>
                <w:szCs w:val="18"/>
                <w:rtl w:val="0"/>
              </w:rPr>
              <w:t xml:space="preserve">Review_Cadence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18"/>
                <w:szCs w:val="18"/>
                <w:rtl w:val="0"/>
              </w:rPr>
              <w:t xml:space="preserve">Weekly (T4) / Monthly (T3) / Quarterly (T2) / Semi-Annual (T1)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18"/>
                <w:szCs w:val="18"/>
                <w:rtl w:val="0"/>
              </w:rPr>
              <w:t xml:space="preserve">Evidence_Links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18"/>
                <w:szCs w:val="18"/>
                <w:rtl w:val="0"/>
              </w:rPr>
              <w:t xml:space="preserve">URIs to gate records, audit reports, incident tickets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8"/>
                <w:szCs w:val="18"/>
                <w:rtl w:val="0"/>
              </w:rPr>
              <w:t xml:space="preserve">Exception_Ref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REG-506 EXC-ID if risk is subject to active waiver</w:t>
            </w:r>
            <w:r w:rsidDel="00000000" w:rsidR="00000000" w:rsidRPr="00000000">
              <w:rPr>
                <w:rtl w:val="0"/>
              </w:rPr>
            </w:r>
          </w:p>
        </w:tc>
      </w:tr>
    </w:tbl>
    <w:p w:rsidR="00000000" w:rsidDel="00000000" w:rsidP="00000000" w:rsidRDefault="00000000" w:rsidRPr="00000000" w14:paraId="0000007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Workflow — Risk Lifecycle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 Any role may raise a risk via the risk-intake form; CISO triages within 48h (T3+ within 24h).</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Score — GRC Manager applies OPS-001 scoring with evidence; TL validates technical dimensions.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Classify — Composite score → Tier; Hard-Stop conditions evaluated against HS-01..HS-07.</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Treat — Treatment decision and compensating controls documented; acceptance authority signs.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 KRI linkage activated in STD-110; review cadence scheduled.</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 Cadenced review; residual recalculated if controls change; closure requires Owner attestation.</w:t>
      </w:r>
    </w:p>
    <w:p w:rsidR="00000000" w:rsidDel="00000000" w:rsidP="00000000" w:rsidRDefault="00000000" w:rsidRPr="00000000" w14:paraId="0000007D">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7. Control Mapping</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1"/>
                <w:bCs w:val="1"/>
                <w:sz w:val="18"/>
                <w:szCs w:val="18"/>
                <w:rtl w:val="0"/>
              </w:rPr>
              <w:t xml:space="preserve">How REG-501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sz w:val="18"/>
                <w:szCs w:val="18"/>
                <w:rtl w:val="0"/>
              </w:rPr>
              <w:t xml:space="preserve">A.5.1, A.5.35 (risk mgmt), A.5.7 (threat intelligence)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0"/>
                <w:bCs w:val="0"/>
                <w:sz w:val="18"/>
                <w:szCs w:val="18"/>
                <w:rtl w:val="0"/>
              </w:rPr>
              <w:t xml:space="preserve">Register is the Annex-A evidence for risk-management processes and risk-informed control selection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sz w:val="18"/>
                <w:szCs w:val="18"/>
                <w:rtl w:val="0"/>
              </w:rPr>
              <w:t xml:space="preserve">ISO/IEC 27005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sz w:val="18"/>
                <w:szCs w:val="18"/>
                <w:rtl w:val="0"/>
              </w:rPr>
              <w:t xml:space="preserve">Clauses 7–10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18"/>
                <w:szCs w:val="18"/>
                <w:rtl w:val="0"/>
              </w:rPr>
              <w:t xml:space="preserve">Provides structured risk identification, analysis, evaluation and treatment artefact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18"/>
                <w:szCs w:val="18"/>
                <w:rtl w:val="0"/>
              </w:rPr>
              <w:t xml:space="preserve">NIST CSF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18"/>
                <w:szCs w:val="18"/>
                <w:rtl w:val="0"/>
              </w:rPr>
              <w:t xml:space="preserve">GV.RM, ID.RA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8"/>
                <w:szCs w:val="18"/>
                <w:rtl w:val="0"/>
              </w:rPr>
              <w:t xml:space="preserve">GV.RM-01..06 governance evidence; ID.RA-01..10 risk assessment evidence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18"/>
                <w:szCs w:val="18"/>
                <w:rtl w:val="0"/>
              </w:rPr>
              <w:t xml:space="preserve">Annex A C01–C20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sz w:val="18"/>
                <w:szCs w:val="18"/>
                <w:rtl w:val="0"/>
              </w:rPr>
              <w:t xml:space="preserve">C02 Risk Governance, C05 Acceptance Authority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sz w:val="18"/>
                <w:szCs w:val="18"/>
                <w:rtl w:val="0"/>
              </w:rPr>
              <w:t xml:space="preserve">Direct evidence artefact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18"/>
                <w:szCs w:val="18"/>
                <w:rtl w:val="0"/>
              </w:rPr>
              <w:t xml:space="preserve">SOC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sz w:val="18"/>
                <w:szCs w:val="18"/>
                <w:rtl w:val="0"/>
              </w:rPr>
              <w:t xml:space="preserve">CC3.1–CC3.4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sz w:val="18"/>
                <w:szCs w:val="18"/>
                <w:rtl w:val="0"/>
              </w:rPr>
              <w:t xml:space="preserve">Risk identification and assessment criteria</w:t>
            </w:r>
            <w:r w:rsidDel="00000000" w:rsidR="00000000" w:rsidRPr="00000000">
              <w:rPr>
                <w:rtl w:val="0"/>
              </w:rPr>
            </w:r>
          </w:p>
        </w:tc>
      </w:tr>
    </w:tbl>
    <w:p w:rsidR="00000000" w:rsidDel="00000000" w:rsidP="00000000" w:rsidRDefault="00000000" w:rsidRPr="00000000" w14:paraId="00000090">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8. Evidence Cadence &amp; Retention</w:t>
      </w:r>
      <w:r w:rsidDel="00000000" w:rsidR="00000000" w:rsidRPr="00000000">
        <w:rPr>
          <w:rtl w:val="0"/>
        </w:rPr>
      </w:r>
    </w:p>
    <w:tbl>
      <w:tblPr>
        <w:tblStyle w:val="Table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2200"/>
        <w:gridCol w:w="2000"/>
        <w:tblGridChange w:id="0">
          <w:tblGrid>
            <w:gridCol w:w="2600"/>
            <w:gridCol w:w="3200"/>
            <w:gridCol w:w="22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1"/>
                <w:bCs w:val="1"/>
                <w:sz w:val="18"/>
                <w:szCs w:val="18"/>
                <w:rtl w:val="0"/>
              </w:rPr>
              <w:t xml:space="preserve">Artefact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1"/>
                <w:bCs w:val="1"/>
                <w:sz w:val="18"/>
                <w:szCs w:val="18"/>
                <w:rtl w:val="0"/>
              </w:rPr>
              <w:t xml:space="preserve">Trigger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1"/>
                <w:bCs w:val="1"/>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1"/>
                <w:bCs w:val="1"/>
                <w:sz w:val="18"/>
                <w:szCs w:val="18"/>
                <w:rtl w:val="0"/>
              </w:rPr>
              <w:t xml:space="preserve">Retention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sz w:val="18"/>
                <w:szCs w:val="18"/>
                <w:rtl w:val="0"/>
              </w:rPr>
              <w:t xml:space="preserve">Weekly T4 extract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sz w:val="18"/>
                <w:szCs w:val="18"/>
                <w:rtl w:val="0"/>
              </w:rPr>
              <w:t xml:space="preserve">Every Monday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0"/>
                <w:bCs w:val="0"/>
                <w:sz w:val="18"/>
                <w:szCs w:val="18"/>
                <w:rtl w:val="0"/>
              </w:rPr>
              <w:t xml:space="preserve">GRC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sz w:val="18"/>
                <w:szCs w:val="18"/>
                <w:rtl w:val="0"/>
              </w:rPr>
              <w:t xml:space="preserve">3 years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sz w:val="18"/>
                <w:szCs w:val="18"/>
                <w:rtl w:val="0"/>
              </w:rPr>
              <w:t xml:space="preserve">Quarterly enterprise report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sz w:val="18"/>
                <w:szCs w:val="18"/>
                <w:rtl w:val="0"/>
              </w:rPr>
              <w:t xml:space="preserve">Quarter close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sz w:val="18"/>
                <w:szCs w:val="18"/>
                <w:rtl w:val="0"/>
              </w:rPr>
              <w:t xml:space="preserve">7 years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sz w:val="18"/>
                <w:szCs w:val="18"/>
                <w:rtl w:val="0"/>
              </w:rPr>
              <w:t xml:space="preserve">Annual NOC certification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sz w:val="18"/>
                <w:szCs w:val="18"/>
                <w:rtl w:val="0"/>
              </w:rPr>
              <w:t xml:space="preserve">FY close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sz w:val="18"/>
                <w:szCs w:val="18"/>
                <w:rtl w:val="0"/>
              </w:rPr>
              <w:t xml:space="preserve">Node 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sz w:val="18"/>
                <w:szCs w:val="18"/>
                <w:rtl w:val="0"/>
              </w:rPr>
              <w:t xml:space="preserve">7 years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sz w:val="18"/>
                <w:szCs w:val="18"/>
                <w:rtl w:val="0"/>
              </w:rPr>
              <w:t xml:space="preserve">Audit export (read-only)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sz w:val="18"/>
                <w:szCs w:val="18"/>
                <w:rtl w:val="0"/>
              </w:rPr>
              <w:t xml:space="preserve">Audit request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0"/>
                <w:bCs w:val="0"/>
                <w:sz w:val="18"/>
                <w:szCs w:val="18"/>
                <w:rtl w:val="0"/>
              </w:rPr>
              <w:t xml:space="preserve">GRC Manager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sz w:val="18"/>
                <w:szCs w:val="18"/>
                <w:rtl w:val="0"/>
              </w:rPr>
              <w:t xml:space="preserve">Until audit close</w:t>
            </w:r>
            <w:r w:rsidDel="00000000" w:rsidR="00000000" w:rsidRPr="00000000">
              <w:rPr>
                <w:rtl w:val="0"/>
              </w:rPr>
            </w:r>
          </w:p>
        </w:tc>
      </w:tr>
    </w:tbl>
    <w:p w:rsidR="00000000" w:rsidDel="00000000" w:rsidP="00000000" w:rsidRDefault="00000000" w:rsidRPr="00000000" w14:paraId="000000A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 &amp; Deviations</w:t>
      </w:r>
      <w:r w:rsidDel="00000000" w:rsidR="00000000" w:rsidRPr="00000000">
        <w:rPr>
          <w:rtl w:val="0"/>
        </w:rPr>
      </w:r>
    </w:p>
    <w:p w:rsidR="00000000" w:rsidDel="00000000" w:rsidP="00000000" w:rsidRDefault="00000000" w:rsidRPr="00000000" w14:paraId="000000A6">
      <w:pPr>
        <w:spacing w:after="100" w:lineRule="auto"/>
        <w:jc w:val="both"/>
        <w:rPr/>
      </w:pPr>
      <w:r w:rsidDel="00000000" w:rsidR="00000000" w:rsidRPr="00000000">
        <w:rPr>
          <w:rFonts w:ascii="Arial" w:cs="Arial" w:eastAsia="Arial" w:hAnsi="Arial"/>
          <w:sz w:val="20"/>
          <w:szCs w:val="20"/>
          <w:rtl w:val="0"/>
        </w:rPr>
        <w:t xml:space="preserve">Any deviation from the requirements in this document must be raised as a formal exception under POL-009 Exception &amp; Deviation Policy. Exceptions are classified E1 (Node-Owner approval, max 90 days), E2 (Node-Owner + CISO, max 180 days), E3 (Node-Owner + CFO + CISO, max 365 days) or E4 (CEO escalation). All active exceptions are tracked in REG-506 Exception &amp; Waiver Register.</w:t>
      </w:r>
      <w:r w:rsidDel="00000000" w:rsidR="00000000" w:rsidRPr="00000000">
        <w:rPr>
          <w:rtl w:val="0"/>
        </w:rPr>
      </w:r>
    </w:p>
    <w:p w:rsidR="00000000" w:rsidDel="00000000" w:rsidP="00000000" w:rsidRDefault="00000000" w:rsidRPr="00000000" w14:paraId="000000A7">
      <w:pPr>
        <w:spacing w:after="100" w:lineRule="auto"/>
        <w:jc w:val="both"/>
        <w:rPr/>
      </w:pPr>
      <w:r w:rsidDel="00000000" w:rsidR="00000000" w:rsidRPr="00000000">
        <w:rPr>
          <w:rFonts w:ascii="Arial" w:cs="Arial" w:eastAsia="Arial" w:hAnsi="Arial"/>
          <w:sz w:val="20"/>
          <w:szCs w:val="20"/>
          <w:rtl w:val="0"/>
        </w:rPr>
        <w:t xml:space="preserve">Undocumented deviation is treated as a control failure and triggers the Internal Audit Programme (IAP-001) non-conformance workflow.</w:t>
      </w:r>
      <w:r w:rsidDel="00000000" w:rsidR="00000000" w:rsidRPr="00000000">
        <w:rPr>
          <w:rtl w:val="0"/>
        </w:rPr>
      </w:r>
    </w:p>
    <w:p w:rsidR="00000000" w:rsidDel="00000000" w:rsidP="00000000" w:rsidRDefault="00000000" w:rsidRPr="00000000" w14:paraId="000000A8">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A9">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Dashboard Specification. Where this document introduces a new measurable control, the relevant KRI is added to STD-110 during the next quarterly review. Amber and Red thresholds drive the escalation and exception workflows in POL-009 and L2-INC-201.</w:t>
      </w:r>
      <w:r w:rsidDel="00000000" w:rsidR="00000000" w:rsidRPr="00000000">
        <w:rPr>
          <w:rtl w:val="0"/>
        </w:rPr>
      </w:r>
    </w:p>
    <w:p w:rsidR="00000000" w:rsidDel="00000000" w:rsidP="00000000" w:rsidRDefault="00000000" w:rsidRPr="00000000" w14:paraId="000000A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AB">
      <w:pPr>
        <w:spacing w:after="100" w:lineRule="auto"/>
        <w:jc w:val="both"/>
        <w:rPr/>
      </w:pPr>
      <w:r w:rsidDel="00000000" w:rsidR="00000000" w:rsidRPr="00000000">
        <w:rPr>
          <w:rFonts w:ascii="Arial" w:cs="Arial" w:eastAsia="Arial" w:hAnsi="Arial"/>
          <w:sz w:val="20"/>
          <w:szCs w:val="20"/>
          <w:rtl w:val="0"/>
        </w:rPr>
        <w:t xml:space="preserve">This document is reviewed on a quarterly (T4 weekly) cadence by the named Owner, and additionally upon: (a) material change to the control environment, (b) regulatory change affecting scope, (c) incident or audit finding requiring remediation, (d) change in Node Owner or CISO, or (e) supersession of any referenced document. Review actions (confirm / amend / supersede) are recorded in REG-511 Document Registry and approved by the named Approver.</w:t>
      </w:r>
      <w:r w:rsidDel="00000000" w:rsidR="00000000" w:rsidRPr="00000000">
        <w:rPr>
          <w:rtl w:val="0"/>
        </w:rPr>
      </w:r>
    </w:p>
    <w:p w:rsidR="00000000" w:rsidDel="00000000" w:rsidP="00000000" w:rsidRDefault="00000000" w:rsidRPr="00000000" w14:paraId="000000AC">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6"/>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0"/>
                <w:bCs w:val="0"/>
                <w:sz w:val="18"/>
                <w:szCs w:val="18"/>
                <w:rtl w:val="0"/>
              </w:rPr>
              <w:t xml:space="preserve">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 added control mapping; evidence cadence; exception routing; KRI pointers.</w:t>
            </w:r>
            <w:r w:rsidDel="00000000" w:rsidR="00000000" w:rsidRPr="00000000">
              <w:rPr>
                <w:rtl w:val="0"/>
              </w:rPr>
            </w:r>
          </w:p>
        </w:tc>
      </w:tr>
    </w:tbl>
    <w:p w:rsidR="00000000" w:rsidDel="00000000" w:rsidP="00000000" w:rsidRDefault="00000000" w:rsidRPr="00000000" w14:paraId="000000B9">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POL-003 Risk Management Policy</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&amp; Assurance Policy</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POL-011 Data Protection &amp; Privacy Policy</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REG-510 DPIA Register / REG-511 Document Registry / REG-512 Evidence Calendar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pPr>
    <w:r w:rsidDel="00000000" w:rsidR="00000000" w:rsidRPr="00000000">
      <w:rPr>
        <w:rFonts w:ascii="Arial" w:cs="Arial" w:eastAsia="Arial" w:hAnsi="Arial"/>
        <w:color w:val="808080"/>
        <w:sz w:val="16"/>
        <w:szCs w:val="16"/>
        <w:rtl w:val="0"/>
      </w:rPr>
      <w:t xml:space="preserve">Confidential — Internal    |    REG-501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