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Asset Register (CMDB)</w:t>
      </w:r>
    </w:p>
    <w:p>
      <w:pPr>
        <w:spacing w:after="240"/>
        <w:jc w:val="center"/>
      </w:pPr>
      <w:r>
        <w:rPr>
          <w:rFonts w:ascii="Arial" w:cs="Arial" w:eastAsia="Arial" w:hAnsi="Arial"/>
          <w:color w:val="595959"/>
          <w:sz w:val="20"/>
          <w:szCs w:val="20"/>
        </w:rPr>
        <w:t xml:space="preserve">REG-503  •  L6 — Register  •  v1.0  •  2026-04-15  •  Confidential — Internal</w:t>
      </w:r>
    </w:p>
    <w:p>
      <w:pPr>
        <w:pStyle w:val="Heading1"/>
        <w:spacing w:after="120" w:before="240"/>
      </w:pPr>
      <w:r>
        <w:rPr>
          <w:rFonts w:ascii="Arial" w:cs="Arial" w:eastAsia="Arial" w:hAnsi="Arial"/>
          <w:b/>
          <w:bCs/>
          <w:color w:val="1F3864"/>
          <w:sz w:val="30"/>
          <w:szCs w:val="30"/>
        </w:rPr>
        <w:t xml:space="preserve">0. Document Control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Attribute</w:t>
            </w:r>
          </w:p>
        </w:tc>
        <w:tc>
          <w:tcPr>
            <w:tcW w:type="dxa" w:w="70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Value</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Document ID</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REG-503</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Title</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Asset Register (CMDB)</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Hierarchy Level</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L6 — Register</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Version</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1.0</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Status</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Approved (pending NOC sign-off)</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Effective Date</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2026-04-15</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Review Cycle</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Quarterly</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Owner</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CISO / IT Operations</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Approver</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Node Owner (NO) / CISO</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Classification</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Confidential — Internal</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Supersedes</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None</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References</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ISO 27001:2022 A.5.9 Inventory of information &amp; other associated assets; A.5.10 Acceptable use; A.8.10 Information deletion; NIST CSF 2.0 ID.AM</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Last Change</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2026-04-15</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Audit Readiness</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Audit-ready v1.0 — generated 2026-04-15; gap-fill batch per Drive Housekeeping Plan §2D/2E.</w:t>
            </w:r>
          </w:p>
        </w:tc>
      </w:tr>
    </w:tbl>
    <w:p>
      <w:pPr>
        <w:pStyle w:val="Heading1"/>
        <w:spacing w:after="120" w:before="240"/>
      </w:pPr>
      <w:r>
        <w:rPr>
          <w:rFonts w:ascii="Arial" w:cs="Arial" w:eastAsia="Arial" w:hAnsi="Arial"/>
          <w:b/>
          <w:bCs/>
          <w:color w:val="1F3864"/>
          <w:sz w:val="30"/>
          <w:szCs w:val="30"/>
        </w:rPr>
        <w:t xml:space="preserve">1. Purpose</w:t>
      </w:r>
    </w:p>
    <w:p>
      <w:pPr>
        <w:spacing w:after="100"/>
        <w:jc w:val="both"/>
      </w:pPr>
      <w:r>
        <w:rPr>
          <w:rFonts w:ascii="Arial" w:cs="Arial" w:eastAsia="Arial" w:hAnsi="Arial"/>
          <w:sz w:val="20"/>
          <w:szCs w:val="20"/>
        </w:rPr>
        <w:t xml:space="preserve">REG-503 is the authoritative inventory of information assets, physical assets, software assets, SaaS tenancies, code repositories, key material and data stores owned or used by Protofire. It is the foundation for access control (POL-004), vulnerability management, change management (POL-005), incident response (L2-INC-201) and data-classification (S-109) decisions.</w:t>
      </w:r>
    </w:p>
    <w:p>
      <w:pPr>
        <w:pStyle w:val="Heading1"/>
        <w:spacing w:after="120" w:before="240"/>
      </w:pPr>
      <w:r>
        <w:rPr>
          <w:rFonts w:ascii="Arial" w:cs="Arial" w:eastAsia="Arial" w:hAnsi="Arial"/>
          <w:b/>
          <w:bCs/>
          <w:color w:val="1F3864"/>
          <w:sz w:val="30"/>
          <w:szCs w:val="30"/>
        </w:rPr>
        <w:t xml:space="preserve">2. Scope</w:t>
      </w:r>
    </w:p>
    <w:p>
      <w:pPr>
        <w:spacing w:after="100"/>
        <w:jc w:val="both"/>
      </w:pPr>
      <w:r>
        <w:rPr>
          <w:rFonts w:ascii="Arial" w:cs="Arial" w:eastAsia="Arial" w:hAnsi="Arial"/>
          <w:sz w:val="20"/>
          <w:szCs w:val="20"/>
        </w:rPr>
        <w:t xml:space="preserve">In scope: all assets holding or processing Protofire or client data (production and non-production); all identity and credential stores; all code repositories; all SaaS tenancies; all secrets vaults and HSMs; all endpoints used for privileged access. Out of scope: personal devices under a BYOD policy that never access Protofire data (subject to L1-HR-010 controls).</w:t>
      </w:r>
    </w:p>
    <w:p>
      <w:pPr>
        <w:pStyle w:val="Heading1"/>
        <w:spacing w:after="120" w:before="240"/>
      </w:pPr>
      <w:r>
        <w:rPr>
          <w:rFonts w:ascii="Arial" w:cs="Arial" w:eastAsia="Arial" w:hAnsi="Arial"/>
          <w:b/>
          <w:bCs/>
          <w:color w:val="1F3864"/>
          <w:sz w:val="30"/>
          <w:szCs w:val="30"/>
        </w:rPr>
        <w:t xml:space="preserve">3. Register Schema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Field</w:t>
            </w:r>
          </w:p>
        </w:tc>
        <w:tc>
          <w:tcPr>
            <w:tcW w:type="dxa" w:w="76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Description / Domain</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Asset_ID</w:t>
            </w:r>
          </w:p>
        </w:tc>
        <w:tc>
          <w:tcPr>
            <w:tcW w:type="dxa" w:w="7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Format A-{TYPE}-{NNN}; immutable</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Type</w:t>
            </w:r>
          </w:p>
        </w:tc>
        <w:tc>
          <w:tcPr>
            <w:tcW w:type="dxa" w:w="7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Info-Asset | SaaS | Server | Endpoint | Network | Repo | Key | HSM | Container | Database | Queue | BucketNode</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Name</w:t>
            </w:r>
          </w:p>
        </w:tc>
        <w:tc>
          <w:tcPr>
            <w:tcW w:type="dxa" w:w="7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Human-readable identifier</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Owner / Custodian</w:t>
            </w:r>
          </w:p>
        </w:tc>
        <w:tc>
          <w:tcPr>
            <w:tcW w:type="dxa" w:w="7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Named individual (role on contract)</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Classification</w:t>
            </w:r>
          </w:p>
        </w:tc>
        <w:tc>
          <w:tcPr>
            <w:tcW w:type="dxa" w:w="7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Public | Internal | Confidential | Restricted — per S-109</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Location / Region</w:t>
            </w:r>
          </w:p>
        </w:tc>
        <w:tc>
          <w:tcPr>
            <w:tcW w:type="dxa" w:w="7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Region, provider tenant, rack/zone where applicable</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Criticality</w:t>
            </w:r>
          </w:p>
        </w:tc>
        <w:tc>
          <w:tcPr>
            <w:tcW w:type="dxa" w:w="7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Tier-1 | Tier-2 | Tier-3 — per BIA in L1-BC-008 / L1-BCM-012</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Data_Categories</w:t>
            </w:r>
          </w:p>
        </w:tc>
        <w:tc>
          <w:tcPr>
            <w:tcW w:type="dxa" w:w="7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Personal | Special-category | Financial | Code | Secrets | Operational | None</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Environment</w:t>
            </w:r>
          </w:p>
        </w:tc>
        <w:tc>
          <w:tcPr>
            <w:tcW w:type="dxa" w:w="7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Prod | Staging | Dev | Test | Archive</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Dependencies</w:t>
            </w:r>
          </w:p>
        </w:tc>
        <w:tc>
          <w:tcPr>
            <w:tcW w:type="dxa" w:w="7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Upstream / downstream asset IDs</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Created / Decommissioned</w:t>
            </w:r>
          </w:p>
        </w:tc>
        <w:tc>
          <w:tcPr>
            <w:tcW w:type="dxa" w:w="7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ISO dates</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Review_Cycle</w:t>
            </w:r>
          </w:p>
        </w:tc>
        <w:tc>
          <w:tcPr>
            <w:tcW w:type="dxa" w:w="7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Quarterly (Tier-1), Semi-annual (Tier-2), Annual (Tier-3)</w:t>
            </w:r>
          </w:p>
        </w:tc>
      </w:tr>
    </w:tbl>
    <w:p>
      <w:pPr>
        <w:pStyle w:val="Heading1"/>
        <w:spacing w:after="120" w:before="240"/>
      </w:pPr>
      <w:r>
        <w:rPr>
          <w:rFonts w:ascii="Arial" w:cs="Arial" w:eastAsia="Arial" w:hAnsi="Arial"/>
          <w:b/>
          <w:bCs/>
          <w:color w:val="1F3864"/>
          <w:sz w:val="30"/>
          <w:szCs w:val="30"/>
        </w:rPr>
        <w:t xml:space="preserve">4. Roles &amp; Responsibilities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Role</w:t>
            </w:r>
          </w:p>
        </w:tc>
        <w:tc>
          <w:tcPr>
            <w:tcW w:type="dxa" w:w="74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Responsibility</w:t>
            </w:r>
          </w:p>
        </w:tc>
      </w:tr>
      <w:tr>
        <w:tc>
          <w:tcPr>
            <w:tcW w:type="dxa" w:w="2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CISO</w:t>
            </w:r>
          </w:p>
        </w:tc>
        <w:tc>
          <w:tcPr>
            <w:tcW w:type="dxa" w:w="7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Accountable for register completeness.</w:t>
            </w:r>
          </w:p>
        </w:tc>
      </w:tr>
      <w:tr>
        <w:tc>
          <w:tcPr>
            <w:tcW w:type="dxa" w:w="2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IT Operations</w:t>
            </w:r>
          </w:p>
        </w:tc>
        <w:tc>
          <w:tcPr>
            <w:tcW w:type="dxa" w:w="7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Responsible for day-to-day maintenance and automated discovery feeds.</w:t>
            </w:r>
          </w:p>
        </w:tc>
      </w:tr>
      <w:tr>
        <w:tc>
          <w:tcPr>
            <w:tcW w:type="dxa" w:w="2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Asset Owner</w:t>
            </w:r>
          </w:p>
        </w:tc>
        <w:tc>
          <w:tcPr>
            <w:tcW w:type="dxa" w:w="7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Named individual for each Tier-1/Tier-2 asset; responsible for classification accuracy.</w:t>
            </w:r>
          </w:p>
        </w:tc>
      </w:tr>
      <w:tr>
        <w:tc>
          <w:tcPr>
            <w:tcW w:type="dxa" w:w="2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Security Operations</w:t>
            </w:r>
          </w:p>
        </w:tc>
        <w:tc>
          <w:tcPr>
            <w:tcW w:type="dxa" w:w="7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Consulted on criticality and dependency entries.</w:t>
            </w:r>
          </w:p>
        </w:tc>
      </w:tr>
      <w:tr>
        <w:tc>
          <w:tcPr>
            <w:tcW w:type="dxa" w:w="2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Internal Audit</w:t>
            </w:r>
          </w:p>
        </w:tc>
        <w:tc>
          <w:tcPr>
            <w:tcW w:type="dxa" w:w="7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Reconciles register against procurement, cloud billing and identity-provider inventories at least annually.</w:t>
            </w:r>
          </w:p>
        </w:tc>
      </w:tr>
    </w:tbl>
    <w:p>
      <w:pPr>
        <w:pStyle w:val="Heading1"/>
        <w:spacing w:after="120" w:before="240"/>
      </w:pPr>
      <w:r>
        <w:rPr>
          <w:rFonts w:ascii="Arial" w:cs="Arial" w:eastAsia="Arial" w:hAnsi="Arial"/>
          <w:b/>
          <w:bCs/>
          <w:color w:val="1F3864"/>
          <w:sz w:val="30"/>
          <w:szCs w:val="30"/>
        </w:rPr>
        <w:t xml:space="preserve">5. Control Mapping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Framework</w:t>
            </w:r>
          </w:p>
        </w:tc>
        <w:tc>
          <w:tcPr>
            <w:tcW w:type="dxa" w:w="76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Clause / Control</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ISO/IEC 27001:2022</w:t>
            </w:r>
          </w:p>
        </w:tc>
        <w:tc>
          <w:tcPr>
            <w:tcW w:type="dxa" w:w="7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A.5.9 Inventory; A.5.10 Acceptable use; A.5.12 Classification; A.5.13 Labelling; A.8.10 Information deletion</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NIST CSF 2.0</w:t>
            </w:r>
          </w:p>
        </w:tc>
        <w:tc>
          <w:tcPr>
            <w:tcW w:type="dxa" w:w="7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ID.AM-01..08 Asset Management; PR.DS-03 Data-at-rest protection</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SOC 2</w:t>
            </w:r>
          </w:p>
        </w:tc>
        <w:tc>
          <w:tcPr>
            <w:tcW w:type="dxa" w:w="7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CC6.1 Logical &amp; physical access; CC3.2 Risk identification</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CIS Controls v8</w:t>
            </w:r>
          </w:p>
        </w:tc>
        <w:tc>
          <w:tcPr>
            <w:tcW w:type="dxa" w:w="7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CIS-1 Inventory &amp; control of enterprise assets; CIS-2 Inventory of software assets</w:t>
            </w:r>
          </w:p>
        </w:tc>
      </w:tr>
    </w:tbl>
    <w:p>
      <w:pPr>
        <w:pStyle w:val="Heading1"/>
        <w:spacing w:after="120" w:before="240"/>
      </w:pPr>
      <w:r>
        <w:rPr>
          <w:rFonts w:ascii="Arial" w:cs="Arial" w:eastAsia="Arial" w:hAnsi="Arial"/>
          <w:b/>
          <w:bCs/>
          <w:color w:val="1F3864"/>
          <w:sz w:val="30"/>
          <w:szCs w:val="30"/>
        </w:rPr>
        <w:t xml:space="preserve">6. KRIs &amp; Thresholds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3200"/>
      </w:tblGrid>
      <w:tr>
        <w:trPr>
          <w:tblHeader/>
        </w:trPr>
        <w:tc>
          <w:tcPr>
            <w:tcW w:type="dxa" w:w="44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KRI</w:t>
            </w:r>
          </w:p>
        </w:tc>
        <w:tc>
          <w:tcPr>
            <w:tcW w:type="dxa" w:w="24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Target</w:t>
            </w:r>
          </w:p>
        </w:tc>
        <w:tc>
          <w:tcPr>
            <w:tcW w:type="dxa" w:w="32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Amber / Red</w:t>
            </w:r>
          </w:p>
        </w:tc>
      </w:tr>
      <w:tr>
        <w:tc>
          <w:tcPr>
            <w:tcW w:type="dxa" w:w="4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Tier-1 assets with complete metadata</w:t>
            </w:r>
          </w:p>
        </w:tc>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100%</w:t>
            </w:r>
          </w:p>
        </w:tc>
        <w:tc>
          <w:tcPr>
            <w:tcW w:type="dxa" w:w="32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95% Amber / 90% Red</w:t>
            </w:r>
          </w:p>
        </w:tc>
      </w:tr>
      <w:tr>
        <w:tc>
          <w:tcPr>
            <w:tcW w:type="dxa" w:w="4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Register reconciliation gap vs. cloud billing (count diff)</w:t>
            </w:r>
          </w:p>
        </w:tc>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0</w:t>
            </w:r>
          </w:p>
        </w:tc>
        <w:tc>
          <w:tcPr>
            <w:tcW w:type="dxa" w:w="32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1–3 Amber / &gt;3 Red</w:t>
            </w:r>
          </w:p>
        </w:tc>
      </w:tr>
      <w:tr>
        <w:tc>
          <w:tcPr>
            <w:tcW w:type="dxa" w:w="4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Assets without named Owner</w:t>
            </w:r>
          </w:p>
        </w:tc>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0</w:t>
            </w:r>
          </w:p>
        </w:tc>
        <w:tc>
          <w:tcPr>
            <w:tcW w:type="dxa" w:w="32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1 Amber / 5 Red</w:t>
            </w:r>
          </w:p>
        </w:tc>
      </w:tr>
      <w:tr>
        <w:tc>
          <w:tcPr>
            <w:tcW w:type="dxa" w:w="4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Tier-1 review within 90 days</w:t>
            </w:r>
          </w:p>
        </w:tc>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100%</w:t>
            </w:r>
          </w:p>
        </w:tc>
        <w:tc>
          <w:tcPr>
            <w:tcW w:type="dxa" w:w="32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95% Amber / 90% Red</w:t>
            </w:r>
          </w:p>
        </w:tc>
      </w:tr>
    </w:tbl>
    <w:p>
      <w:pPr>
        <w:pStyle w:val="Heading1"/>
        <w:spacing w:after="120" w:before="240"/>
      </w:pPr>
      <w:r>
        <w:rPr>
          <w:rFonts w:ascii="Arial" w:cs="Arial" w:eastAsia="Arial" w:hAnsi="Arial"/>
          <w:b/>
          <w:bCs/>
          <w:color w:val="1F3864"/>
          <w:sz w:val="30"/>
          <w:szCs w:val="30"/>
        </w:rPr>
        <w:t xml:space="preserve">7. Evidence &amp; Recordkeeping</w:t>
      </w:r>
    </w:p>
    <w:p>
      <w:pPr>
        <w:pStyle w:val="ListParagraph"/>
        <w:numPr>
          <w:ilvl w:val="0"/>
          <w:numId w:val="1"/>
        </w:numPr>
        <w:spacing w:after="60"/>
      </w:pPr>
      <w:r>
        <w:rPr>
          <w:rFonts w:ascii="Arial" w:cs="Arial" w:eastAsia="Arial" w:hAnsi="Arial"/>
          <w:sz w:val="20"/>
          <w:szCs w:val="20"/>
        </w:rPr>
        <w:t xml:space="preserve">Automated discovery feed logs (cloud provider inventory APIs, IdP exports)</w:t>
      </w:r>
    </w:p>
    <w:p>
      <w:pPr>
        <w:pStyle w:val="ListParagraph"/>
        <w:numPr>
          <w:ilvl w:val="0"/>
          <w:numId w:val="1"/>
        </w:numPr>
        <w:spacing w:after="60"/>
      </w:pPr>
      <w:r>
        <w:rPr>
          <w:rFonts w:ascii="Arial" w:cs="Arial" w:eastAsia="Arial" w:hAnsi="Arial"/>
          <w:sz w:val="20"/>
          <w:szCs w:val="20"/>
        </w:rPr>
        <w:t xml:space="preserve">Quarterly reconciliation minutes</w:t>
      </w:r>
    </w:p>
    <w:p>
      <w:pPr>
        <w:pStyle w:val="ListParagraph"/>
        <w:numPr>
          <w:ilvl w:val="0"/>
          <w:numId w:val="1"/>
        </w:numPr>
        <w:spacing w:after="60"/>
      </w:pPr>
      <w:r>
        <w:rPr>
          <w:rFonts w:ascii="Arial" w:cs="Arial" w:eastAsia="Arial" w:hAnsi="Arial"/>
          <w:sz w:val="20"/>
          <w:szCs w:val="20"/>
        </w:rPr>
        <w:t xml:space="preserve">Decommissioning records with data-deletion attestation per asset</w:t>
      </w:r>
    </w:p>
    <w:p>
      <w:pPr>
        <w:pStyle w:val="ListParagraph"/>
        <w:numPr>
          <w:ilvl w:val="0"/>
          <w:numId w:val="1"/>
        </w:numPr>
        <w:spacing w:after="60"/>
      </w:pPr>
      <w:r>
        <w:rPr>
          <w:rFonts w:ascii="Arial" w:cs="Arial" w:eastAsia="Arial" w:hAnsi="Arial"/>
          <w:sz w:val="20"/>
          <w:szCs w:val="20"/>
        </w:rPr>
        <w:t xml:space="preserve">Asset-owner attestations at annual review</w:t>
      </w:r>
    </w:p>
    <w:p>
      <w:pPr>
        <w:pStyle w:val="Heading1"/>
        <w:spacing w:after="120" w:before="240"/>
      </w:pPr>
      <w:r>
        <w:rPr>
          <w:rFonts w:ascii="Arial" w:cs="Arial" w:eastAsia="Arial" w:hAnsi="Arial"/>
          <w:b/>
          <w:bCs/>
          <w:color w:val="1F3864"/>
          <w:sz w:val="30"/>
          <w:szCs w:val="30"/>
        </w:rPr>
        <w:t xml:space="preserve">8. Exceptions</w:t>
      </w:r>
    </w:p>
    <w:p>
      <w:pPr>
        <w:spacing w:after="100"/>
        <w:jc w:val="both"/>
      </w:pPr>
      <w:r>
        <w:rPr>
          <w:rFonts w:ascii="Arial" w:cs="Arial" w:eastAsia="Arial" w:hAnsi="Arial"/>
          <w:sz w:val="20"/>
          <w:szCs w:val="20"/>
        </w:rPr>
        <w:t xml:space="preserve">Any exception to the mandatory fields or review cadence of this register requires POL-009 classification E2+ with CISO co-sign. HS-01/HS-02 hard stops are non-exceptable.</w:t>
      </w:r>
    </w:p>
    <w:p>
      <w:pPr>
        <w:pStyle w:val="Heading1"/>
        <w:spacing w:after="120" w:before="240"/>
      </w:pPr>
      <w:r>
        <w:rPr>
          <w:rFonts w:ascii="Arial" w:cs="Arial" w:eastAsia="Arial" w:hAnsi="Arial"/>
          <w:b/>
          <w:bCs/>
          <w:color w:val="1F3864"/>
          <w:sz w:val="30"/>
          <w:szCs w:val="30"/>
        </w:rPr>
        <w:t xml:space="preserve">Review &amp; Maintenance</w:t>
      </w:r>
    </w:p>
    <w:p>
      <w:pPr>
        <w:spacing w:after="100"/>
        <w:jc w:val="both"/>
      </w:pPr>
      <w:r>
        <w:rPr>
          <w:rFonts w:ascii="Arial" w:cs="Arial" w:eastAsia="Arial" w:hAnsi="Arial"/>
          <w:sz w:val="20"/>
          <w:szCs w:val="20"/>
        </w:rPr>
        <w:t xml:space="preserve">Reviewed on a Quarterly cadence by the named Owner, and upon material change, regulatory change, audit finding, or supersession of any referenced document. Review actions are recorded in REG-511 and approved by the named Approver.</w:t>
      </w:r>
    </w:p>
    <w:p>
      <w:pPr>
        <w:pStyle w:val="Heading1"/>
        <w:spacing w:after="120" w:before="240"/>
      </w:pPr>
      <w:r>
        <w:rPr>
          <w:rFonts w:ascii="Arial" w:cs="Arial" w:eastAsia="Arial" w:hAnsi="Arial"/>
          <w:b/>
          <w:bCs/>
          <w:color w:val="1F3864"/>
          <w:sz w:val="30"/>
          <w:szCs w:val="30"/>
        </w:rPr>
        <w:t xml:space="preserve">Version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40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Version</w:t>
            </w:r>
          </w:p>
        </w:tc>
        <w:tc>
          <w:tcPr>
            <w:tcW w:type="dxa" w:w="16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Date</w:t>
            </w:r>
          </w:p>
        </w:tc>
        <w:tc>
          <w:tcPr>
            <w:tcW w:type="dxa" w:w="26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Author</w:t>
            </w:r>
          </w:p>
        </w:tc>
        <w:tc>
          <w:tcPr>
            <w:tcW w:type="dxa" w:w="40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Change Summary</w:t>
            </w:r>
          </w:p>
        </w:tc>
      </w:tr>
      <w:tr>
        <w:tc>
          <w:tcPr>
            <w:tcW w:type="dxa" w:w="12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v1.0</w:t>
            </w:r>
          </w:p>
        </w:tc>
        <w:tc>
          <w:tcPr>
            <w:tcW w:type="dxa" w:w="1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2026-04-15</w:t>
            </w:r>
          </w:p>
        </w:tc>
        <w:tc>
          <w:tcPr>
            <w:tcW w:type="dxa" w:w="2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Owner (per Document Control)</w:t>
            </w:r>
          </w:p>
        </w:tc>
        <w:tc>
          <w:tcPr>
            <w:tcW w:type="dxa" w:w="4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Initial audit-ready publication — gap-fill per Drive Housekeeping Plan.</w:t>
            </w:r>
          </w:p>
        </w:tc>
      </w:tr>
    </w:tbl>
    <w:p>
      <w:pPr>
        <w:pStyle w:val="Heading1"/>
        <w:spacing w:after="120" w:before="240"/>
      </w:pPr>
      <w:r>
        <w:rPr>
          <w:rFonts w:ascii="Arial" w:cs="Arial" w:eastAsia="Arial" w:hAnsi="Arial"/>
          <w:b/>
          <w:bCs/>
          <w:color w:val="1F3864"/>
          <w:sz w:val="30"/>
          <w:szCs w:val="30"/>
        </w:rPr>
        <w:t xml:space="preserve">Appendix — Cross-References</w:t>
      </w:r>
    </w:p>
    <w:p>
      <w:pPr>
        <w:pStyle w:val="ListParagraph"/>
        <w:numPr>
          <w:ilvl w:val="0"/>
          <w:numId w:val="1"/>
        </w:numPr>
        <w:spacing w:after="60"/>
      </w:pPr>
      <w:r>
        <w:rPr>
          <w:rFonts w:ascii="Arial" w:cs="Arial" w:eastAsia="Arial" w:hAnsi="Arial"/>
          <w:sz w:val="20"/>
          <w:szCs w:val="20"/>
        </w:rPr>
        <w:t xml:space="preserve">POL-004 Access Control &amp; SoD Policy</w:t>
      </w:r>
    </w:p>
    <w:p>
      <w:pPr>
        <w:pStyle w:val="ListParagraph"/>
        <w:numPr>
          <w:ilvl w:val="0"/>
          <w:numId w:val="1"/>
        </w:numPr>
        <w:spacing w:after="60"/>
      </w:pPr>
      <w:r>
        <w:rPr>
          <w:rFonts w:ascii="Arial" w:cs="Arial" w:eastAsia="Arial" w:hAnsi="Arial"/>
          <w:sz w:val="20"/>
          <w:szCs w:val="20"/>
        </w:rPr>
        <w:t xml:space="preserve">POL-005 Change Management Policy</w:t>
      </w:r>
    </w:p>
    <w:p>
      <w:pPr>
        <w:pStyle w:val="ListParagraph"/>
        <w:numPr>
          <w:ilvl w:val="0"/>
          <w:numId w:val="1"/>
        </w:numPr>
        <w:spacing w:after="60"/>
      </w:pPr>
      <w:r>
        <w:rPr>
          <w:rFonts w:ascii="Arial" w:cs="Arial" w:eastAsia="Arial" w:hAnsi="Arial"/>
          <w:sz w:val="20"/>
          <w:szCs w:val="20"/>
        </w:rPr>
        <w:t xml:space="preserve">S-109 Data Classification Standard</w:t>
      </w:r>
    </w:p>
    <w:p>
      <w:pPr>
        <w:pStyle w:val="ListParagraph"/>
        <w:numPr>
          <w:ilvl w:val="0"/>
          <w:numId w:val="1"/>
        </w:numPr>
        <w:spacing w:after="60"/>
      </w:pPr>
      <w:r>
        <w:rPr>
          <w:rFonts w:ascii="Arial" w:cs="Arial" w:eastAsia="Arial" w:hAnsi="Arial"/>
          <w:sz w:val="20"/>
          <w:szCs w:val="20"/>
        </w:rPr>
        <w:t xml:space="preserve">L1-BC-008 Business Continuity Standard (BIA source)</w:t>
      </w:r>
    </w:p>
    <w:p>
      <w:pPr>
        <w:pStyle w:val="ListParagraph"/>
        <w:numPr>
          <w:ilvl w:val="0"/>
          <w:numId w:val="1"/>
        </w:numPr>
        <w:spacing w:after="60"/>
      </w:pPr>
      <w:r>
        <w:rPr>
          <w:rFonts w:ascii="Arial" w:cs="Arial" w:eastAsia="Arial" w:hAnsi="Arial"/>
          <w:sz w:val="20"/>
          <w:szCs w:val="20"/>
        </w:rPr>
        <w:t xml:space="preserve">REG-513 Node Configuration Register (subset for Web3 nodes)</w:t>
      </w:r>
    </w:p>
    <w:sectPr>
      <w:headerReference w:type="default" r:id="rId7"/>
      <w:footerReference w:type="default" r:id="rId8"/>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Protofire GRC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Confidential — Internal    |    REG-503    |    v1.0    |    Effective 2026-04-15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(CMDB)</dc:title>
  <dc:creator>Protofire GRC</dc:creator>
  <dc:description>REG-503</dc:description>
  <cp:lastModifiedBy>Un-named</cp:lastModifiedBy>
  <cp:revision>1</cp:revision>
  <dcterms:created xsi:type="dcterms:W3CDTF">2026-04-15T23:19:22.997Z</dcterms:created>
  <dcterms:modified xsi:type="dcterms:W3CDTF">2026-04-15T23:19:22.997Z</dcterms:modified>
</cp:coreProperties>
</file>

<file path=docProps/custom.xml><?xml version="1.0" encoding="utf-8"?>
<Properties xmlns="http://schemas.openxmlformats.org/officeDocument/2006/custom-properties" xmlns:vt="http://schemas.openxmlformats.org/officeDocument/2006/docPropsVTypes"/>
</file>