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Arial" w:cs="Arial" w:eastAsia="Arial" w:hAnsi="Arial"/>
          <w:b w:val="1"/>
          <w:bCs w:val="1"/>
          <w:color w:val="1f3864"/>
          <w:sz w:val="40"/>
          <w:szCs w:val="40"/>
          <w:rtl w:val="0"/>
        </w:rPr>
        <w:t xml:space="preserve">Record of Processing Activities (ROPA)</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Arial" w:cs="Arial" w:eastAsia="Arial" w:hAnsi="Arial"/>
          <w:color w:val="595959"/>
          <w:sz w:val="20"/>
          <w:szCs w:val="20"/>
          <w:rtl w:val="0"/>
        </w:rPr>
        <w:t xml:space="preserve">REG-505  •  L6 Register  •  v1.0  •  2026-04-15  •  GDPR Art.30 mandatory record</w:t>
      </w:r>
      <w:r w:rsidDel="00000000" w:rsidR="00000000" w:rsidRPr="00000000">
        <w:rPr>
          <w:rtl w:val="0"/>
        </w:rPr>
      </w:r>
    </w:p>
    <w:p w:rsidR="00000000" w:rsidDel="00000000" w:rsidP="00000000" w:rsidRDefault="00000000" w:rsidRPr="00000000" w14:paraId="00000003">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0. Document Control</w:t>
      </w:r>
      <w:r w:rsidDel="00000000" w:rsidR="00000000" w:rsidRPr="00000000">
        <w:rPr>
          <w:rtl w:val="0"/>
        </w:rPr>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000"/>
        <w:tblGridChange w:id="0">
          <w:tblGrid>
            <w:gridCol w:w="3000"/>
            <w:gridCol w:w="7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04">
            <w:pPr>
              <w:jc w:val="left"/>
              <w:rPr/>
            </w:pPr>
            <w:r w:rsidDel="00000000" w:rsidR="00000000" w:rsidRPr="00000000">
              <w:rPr>
                <w:rFonts w:ascii="Arial" w:cs="Arial" w:eastAsia="Arial" w:hAnsi="Arial"/>
                <w:b w:val="1"/>
                <w:bCs w:val="1"/>
                <w:sz w:val="18"/>
                <w:szCs w:val="18"/>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05">
            <w:pPr>
              <w:jc w:val="left"/>
              <w:rPr/>
            </w:pPr>
            <w:r w:rsidDel="00000000" w:rsidR="00000000" w:rsidRPr="00000000">
              <w:rPr>
                <w:rFonts w:ascii="Arial" w:cs="Arial" w:eastAsia="Arial" w:hAnsi="Arial"/>
                <w:b w:val="1"/>
                <w:bCs w:val="1"/>
                <w:sz w:val="18"/>
                <w:szCs w:val="18"/>
                <w:rtl w:val="0"/>
              </w:rPr>
              <w:t xml:space="preserve">Value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6">
            <w:pPr>
              <w:jc w:val="left"/>
              <w:rPr/>
            </w:pPr>
            <w:r w:rsidDel="00000000" w:rsidR="00000000" w:rsidRPr="00000000">
              <w:rPr>
                <w:rFonts w:ascii="Arial" w:cs="Arial" w:eastAsia="Arial" w:hAnsi="Arial"/>
                <w:b w:val="0"/>
                <w:bCs w:val="0"/>
                <w:sz w:val="18"/>
                <w:szCs w:val="18"/>
                <w:rtl w:val="0"/>
              </w:rPr>
              <w:t xml:space="preserve">Document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7">
            <w:pPr>
              <w:jc w:val="left"/>
              <w:rPr/>
            </w:pPr>
            <w:r w:rsidDel="00000000" w:rsidR="00000000" w:rsidRPr="00000000">
              <w:rPr>
                <w:rFonts w:ascii="Arial" w:cs="Arial" w:eastAsia="Arial" w:hAnsi="Arial"/>
                <w:b w:val="0"/>
                <w:bCs w:val="0"/>
                <w:sz w:val="18"/>
                <w:szCs w:val="18"/>
                <w:rtl w:val="0"/>
              </w:rPr>
              <w:t xml:space="preserve">REG-505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8">
            <w:pPr>
              <w:jc w:val="left"/>
              <w:rPr/>
            </w:pPr>
            <w:r w:rsidDel="00000000" w:rsidR="00000000" w:rsidRPr="00000000">
              <w:rPr>
                <w:rFonts w:ascii="Arial" w:cs="Arial" w:eastAsia="Arial" w:hAnsi="Arial"/>
                <w:b w:val="0"/>
                <w:bCs w:val="0"/>
                <w:sz w:val="18"/>
                <w:szCs w:val="18"/>
                <w:rtl w:val="0"/>
              </w:rPr>
              <w:t xml:space="preserve">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9">
            <w:pPr>
              <w:jc w:val="left"/>
              <w:rPr/>
            </w:pPr>
            <w:r w:rsidDel="00000000" w:rsidR="00000000" w:rsidRPr="00000000">
              <w:rPr>
                <w:rFonts w:ascii="Arial" w:cs="Arial" w:eastAsia="Arial" w:hAnsi="Arial"/>
                <w:b w:val="0"/>
                <w:bCs w:val="0"/>
                <w:sz w:val="18"/>
                <w:szCs w:val="18"/>
                <w:rtl w:val="0"/>
              </w:rPr>
              <w:t xml:space="preserve">Record of Processing Activities (ROPA)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A">
            <w:pPr>
              <w:jc w:val="left"/>
              <w:rPr/>
            </w:pPr>
            <w:r w:rsidDel="00000000" w:rsidR="00000000" w:rsidRPr="00000000">
              <w:rPr>
                <w:rFonts w:ascii="Arial" w:cs="Arial" w:eastAsia="Arial" w:hAnsi="Arial"/>
                <w:b w:val="0"/>
                <w:bCs w:val="0"/>
                <w:sz w:val="18"/>
                <w:szCs w:val="18"/>
                <w:rtl w:val="0"/>
              </w:rPr>
              <w:t xml:space="preserve">Hierarchy Level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B">
            <w:pPr>
              <w:jc w:val="left"/>
              <w:rPr/>
            </w:pPr>
            <w:r w:rsidDel="00000000" w:rsidR="00000000" w:rsidRPr="00000000">
              <w:rPr>
                <w:rFonts w:ascii="Arial" w:cs="Arial" w:eastAsia="Arial" w:hAnsi="Arial"/>
                <w:b w:val="0"/>
                <w:bCs w:val="0"/>
                <w:sz w:val="18"/>
                <w:szCs w:val="18"/>
                <w:rtl w:val="0"/>
              </w:rPr>
              <w:t xml:space="preserve">L6 — Register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C">
            <w:pPr>
              <w:jc w:val="left"/>
              <w:rPr/>
            </w:pPr>
            <w:r w:rsidDel="00000000" w:rsidR="00000000" w:rsidRPr="00000000">
              <w:rPr>
                <w:rFonts w:ascii="Arial" w:cs="Arial" w:eastAsia="Arial" w:hAnsi="Arial"/>
                <w:b w:val="0"/>
                <w:bCs w:val="0"/>
                <w:sz w:val="18"/>
                <w:szCs w:val="18"/>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D">
            <w:pPr>
              <w:jc w:val="left"/>
              <w:rPr/>
            </w:pPr>
            <w:r w:rsidDel="00000000" w:rsidR="00000000" w:rsidRPr="00000000">
              <w:rPr>
                <w:rFonts w:ascii="Arial" w:cs="Arial" w:eastAsia="Arial" w:hAnsi="Arial"/>
                <w:b w:val="0"/>
                <w:bCs w:val="0"/>
                <w:sz w:val="18"/>
                <w:szCs w:val="18"/>
                <w:rtl w:val="0"/>
              </w:rPr>
              <w:t xml:space="preserve">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E">
            <w:pPr>
              <w:jc w:val="left"/>
              <w:rPr/>
            </w:pPr>
            <w:r w:rsidDel="00000000" w:rsidR="00000000" w:rsidRPr="00000000">
              <w:rPr>
                <w:rFonts w:ascii="Arial" w:cs="Arial" w:eastAsia="Arial" w:hAnsi="Arial"/>
                <w:b w:val="0"/>
                <w:bCs w:val="0"/>
                <w:sz w:val="18"/>
                <w:szCs w:val="18"/>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F">
            <w:pPr>
              <w:jc w:val="left"/>
              <w:rPr/>
            </w:pPr>
            <w:r w:rsidDel="00000000" w:rsidR="00000000" w:rsidRPr="00000000">
              <w:rPr>
                <w:rFonts w:ascii="Arial" w:cs="Arial" w:eastAsia="Arial" w:hAnsi="Arial"/>
                <w:b w:val="0"/>
                <w:bCs w:val="0"/>
                <w:sz w:val="18"/>
                <w:szCs w:val="18"/>
                <w:rtl w:val="0"/>
              </w:rPr>
              <w:t xml:space="preserve">Approved (pending DPO + NOC sign-off)</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0">
            <w:pPr>
              <w:jc w:val="left"/>
              <w:rPr/>
            </w:pPr>
            <w:r w:rsidDel="00000000" w:rsidR="00000000" w:rsidRPr="00000000">
              <w:rPr>
                <w:rFonts w:ascii="Arial" w:cs="Arial" w:eastAsia="Arial" w:hAnsi="Arial"/>
                <w:b w:val="0"/>
                <w:bCs w:val="0"/>
                <w:sz w:val="18"/>
                <w:szCs w:val="18"/>
                <w:rtl w:val="0"/>
              </w:rPr>
              <w:t xml:space="preserve">Effective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0"/>
                <w:bCs w:val="0"/>
                <w:sz w:val="18"/>
                <w:szCs w:val="18"/>
                <w:rtl w:val="0"/>
              </w:rPr>
              <w:t xml:space="preserve">Review Cycle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sz w:val="18"/>
                <w:szCs w:val="18"/>
                <w:rtl w:val="0"/>
              </w:rPr>
              <w:t xml:space="preserve">Quarterly + on any new processing activity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0"/>
                <w:bCs w:val="0"/>
                <w:sz w:val="18"/>
                <w:szCs w:val="18"/>
                <w:rtl w:val="0"/>
              </w:rPr>
              <w:t xml:space="preserve">Owner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sz w:val="18"/>
                <w:szCs w:val="18"/>
                <w:rtl w:val="0"/>
              </w:rPr>
              <w:t xml:space="preserve">DPO (CISO)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0"/>
                <w:bCs w:val="0"/>
                <w:sz w:val="18"/>
                <w:szCs w:val="18"/>
                <w:rtl w:val="0"/>
              </w:rPr>
              <w:t xml:space="preserve">Approver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sz w:val="18"/>
                <w:szCs w:val="18"/>
                <w:rtl w:val="0"/>
              </w:rPr>
              <w:t xml:space="preserve">Node Owner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0"/>
                <w:bCs w:val="0"/>
                <w:sz w:val="18"/>
                <w:szCs w:val="18"/>
                <w:rtl w:val="0"/>
              </w:rPr>
              <w:t xml:space="preserve">Classification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0"/>
                <w:bCs w:val="0"/>
                <w:sz w:val="18"/>
                <w:szCs w:val="18"/>
                <w:rtl w:val="0"/>
              </w:rPr>
              <w:t xml:space="preserve">Confidential — Internal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0"/>
                <w:bCs w:val="0"/>
                <w:sz w:val="18"/>
                <w:szCs w:val="18"/>
                <w:rtl w:val="0"/>
              </w:rPr>
              <w:t xml:space="preserve">Supersedes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0"/>
                <w:bCs w:val="0"/>
                <w:sz w:val="18"/>
                <w:szCs w:val="18"/>
                <w:rtl w:val="0"/>
              </w:rPr>
              <w:t xml:space="preserve">References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sz w:val="18"/>
                <w:szCs w:val="18"/>
                <w:rtl w:val="0"/>
              </w:rPr>
              <w:t xml:space="preserve">POL-011; GDPR Art.30; L2-PR-209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0"/>
                <w:bCs w:val="0"/>
                <w:sz w:val="18"/>
                <w:szCs w:val="18"/>
                <w:rtl w:val="0"/>
              </w:rPr>
              <w:t xml:space="preserve">Last Change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0"/>
                <w:bCs w:val="0"/>
                <w:sz w:val="18"/>
                <w:szCs w:val="18"/>
                <w:rtl w:val="0"/>
              </w:rPr>
              <w:t xml:space="preserve">Audit Readiness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sz w:val="18"/>
                <w:szCs w:val="18"/>
                <w:rtl w:val="0"/>
              </w:rPr>
              <w:t xml:space="preserve">Audit-ready v1.0 — generated 2026-04-15 for Drive publication</w:t>
            </w:r>
            <w:r w:rsidDel="00000000" w:rsidR="00000000" w:rsidRPr="00000000">
              <w:rPr>
                <w:rtl w:val="0"/>
              </w:rPr>
            </w:r>
          </w:p>
        </w:tc>
      </w:tr>
    </w:tbl>
    <w:p w:rsidR="00000000" w:rsidDel="00000000" w:rsidP="00000000" w:rsidRDefault="00000000" w:rsidRPr="00000000" w14:paraId="00000022">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 Purpose</w:t>
      </w:r>
      <w:r w:rsidDel="00000000" w:rsidR="00000000" w:rsidRPr="00000000">
        <w:rPr>
          <w:rtl w:val="0"/>
        </w:rPr>
      </w:r>
    </w:p>
    <w:p w:rsidR="00000000" w:rsidDel="00000000" w:rsidP="00000000" w:rsidRDefault="00000000" w:rsidRPr="00000000" w14:paraId="00000023">
      <w:pPr>
        <w:spacing w:after="100" w:lineRule="auto"/>
        <w:jc w:val="both"/>
        <w:rPr/>
      </w:pPr>
      <w:r w:rsidDel="00000000" w:rsidR="00000000" w:rsidRPr="00000000">
        <w:rPr>
          <w:rFonts w:ascii="Arial Unicode MS" w:cs="Arial Unicode MS" w:eastAsia="Arial Unicode MS" w:hAnsi="Arial Unicode MS"/>
          <w:sz w:val="20"/>
          <w:szCs w:val="20"/>
          <w:rtl w:val="0"/>
        </w:rPr>
        <w:t xml:space="preserve">REG-505 implements Article 30 of the EU General Data Protection Regulation (Regulation (EU) 2016/679). It is the mandatory Record of Processing Activities and must be producible to a supervisory authority within a reasonable period (interpreted as ≤ 5 business days). It is also the foundational dataset for DPIA screening (CL-409 / REG-510), breach-notification scoping (PR-208), and Data-Subject-Request fulfilment (PR-209).</w:t>
      </w:r>
      <w:r w:rsidDel="00000000" w:rsidR="00000000" w:rsidRPr="00000000">
        <w:rPr>
          <w:rtl w:val="0"/>
        </w:rPr>
      </w:r>
    </w:p>
    <w:p w:rsidR="00000000" w:rsidDel="00000000" w:rsidP="00000000" w:rsidRDefault="00000000" w:rsidRPr="00000000" w14:paraId="00000024">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2. Scope</w:t>
      </w:r>
      <w:r w:rsidDel="00000000" w:rsidR="00000000" w:rsidRPr="00000000">
        <w:rPr>
          <w:rtl w:val="0"/>
        </w:rPr>
      </w:r>
    </w:p>
    <w:p w:rsidR="00000000" w:rsidDel="00000000" w:rsidP="00000000" w:rsidRDefault="00000000" w:rsidRPr="00000000" w14:paraId="00000025">
      <w:pPr>
        <w:spacing w:after="100" w:lineRule="auto"/>
        <w:jc w:val="both"/>
        <w:rPr/>
      </w:pPr>
      <w:r w:rsidDel="00000000" w:rsidR="00000000" w:rsidRPr="00000000">
        <w:rPr>
          <w:rFonts w:ascii="Arial" w:cs="Arial" w:eastAsia="Arial" w:hAnsi="Arial"/>
          <w:sz w:val="20"/>
          <w:szCs w:val="20"/>
          <w:rtl w:val="0"/>
        </w:rPr>
        <w:t xml:space="preserve">All processing of personal data by Protofire in any role — Controller, Processor, or Joint Controller — across all entities, regardless of data-subject residence, is within scope. The register covers: employee HR data, candidate-recruitment data, client personnel contact data, engagement personnel data, on-chain pseudonymous identifiers where linked to identifiable persons, and website / marketing data. Out of scope: fully anonymised data (per Recital 26).</w:t>
      </w:r>
      <w:r w:rsidDel="00000000" w:rsidR="00000000" w:rsidRPr="00000000">
        <w:rPr>
          <w:rtl w:val="0"/>
        </w:rPr>
      </w:r>
    </w:p>
    <w:p w:rsidR="00000000" w:rsidDel="00000000" w:rsidP="00000000" w:rsidRDefault="00000000" w:rsidRPr="00000000" w14:paraId="00000026">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3. Legal Basis Taxonomy (GDPR Art. 6/9)</w:t>
      </w:r>
      <w:r w:rsidDel="00000000" w:rsidR="00000000" w:rsidRPr="00000000">
        <w:rPr>
          <w:rtl w:val="0"/>
        </w:rPr>
      </w:r>
    </w:p>
    <w:tbl>
      <w:tblPr>
        <w:tblStyle w:val="Table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00"/>
        <w:tblGridChange w:id="0">
          <w:tblGrid>
            <w:gridCol w:w="2400"/>
            <w:gridCol w:w="76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1"/>
                <w:bCs w:val="1"/>
                <w:sz w:val="18"/>
                <w:szCs w:val="18"/>
                <w:rtl w:val="0"/>
              </w:rPr>
              <w:t xml:space="preserve">Basis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1"/>
                <w:bCs w:val="1"/>
                <w:sz w:val="18"/>
                <w:szCs w:val="18"/>
                <w:rtl w:val="0"/>
              </w:rPr>
              <w:t xml:space="preserve">Where used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0"/>
                <w:bCs w:val="0"/>
                <w:sz w:val="18"/>
                <w:szCs w:val="18"/>
                <w:rtl w:val="0"/>
              </w:rPr>
              <w:t xml:space="preserve">Art. 6(1)(a) Consent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0"/>
                <w:bCs w:val="0"/>
                <w:sz w:val="18"/>
                <w:szCs w:val="18"/>
                <w:rtl w:val="0"/>
              </w:rPr>
              <w:t xml:space="preserve">Marketing analytics, optional client testimonials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0"/>
                <w:bCs w:val="0"/>
                <w:sz w:val="18"/>
                <w:szCs w:val="18"/>
                <w:rtl w:val="0"/>
              </w:rPr>
              <w:t xml:space="preserve">Art. 6(1)(b) Contract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0"/>
                <w:bCs w:val="0"/>
                <w:sz w:val="18"/>
                <w:szCs w:val="18"/>
                <w:rtl w:val="0"/>
              </w:rPr>
              <w:t xml:space="preserve">Engagement delivery, client contact data, payroll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0"/>
                <w:bCs w:val="0"/>
                <w:sz w:val="18"/>
                <w:szCs w:val="18"/>
                <w:rtl w:val="0"/>
              </w:rPr>
              <w:t xml:space="preserve">Art. 6(1)(c) Legal obligation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0"/>
                <w:bCs w:val="0"/>
                <w:sz w:val="18"/>
                <w:szCs w:val="18"/>
                <w:rtl w:val="0"/>
              </w:rPr>
              <w:t xml:space="preserve">Tax records, AML/KYC, OFAC screening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0"/>
                <w:bCs w:val="0"/>
                <w:sz w:val="18"/>
                <w:szCs w:val="18"/>
                <w:rtl w:val="0"/>
              </w:rPr>
              <w:t xml:space="preserve">Art. 6(1)(f) Legitimate interests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0"/>
                <w:bCs w:val="0"/>
                <w:sz w:val="18"/>
                <w:szCs w:val="18"/>
                <w:rtl w:val="0"/>
              </w:rPr>
              <w:t xml:space="preserve">Security monitoring, fraud prevention, business development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sz w:val="18"/>
                <w:szCs w:val="18"/>
                <w:rtl w:val="0"/>
              </w:rPr>
              <w:t xml:space="preserve">Art. 9(2) special category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0"/>
                <w:bCs w:val="0"/>
                <w:sz w:val="18"/>
                <w:szCs w:val="18"/>
                <w:rtl w:val="0"/>
              </w:rPr>
              <w:t xml:space="preserve">Not routinely processed; if required, DPIA mandatory</w:t>
            </w:r>
            <w:r w:rsidDel="00000000" w:rsidR="00000000" w:rsidRPr="00000000">
              <w:rPr>
                <w:rtl w:val="0"/>
              </w:rPr>
            </w:r>
          </w:p>
        </w:tc>
      </w:tr>
    </w:tbl>
    <w:p w:rsidR="00000000" w:rsidDel="00000000" w:rsidP="00000000" w:rsidRDefault="00000000" w:rsidRPr="00000000" w14:paraId="00000033">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4. Register Schema</w:t>
      </w:r>
      <w:r w:rsidDel="00000000" w:rsidR="00000000" w:rsidRPr="00000000">
        <w:rPr>
          <w:rtl w:val="0"/>
        </w:rPr>
      </w:r>
    </w:p>
    <w:tbl>
      <w:tblPr>
        <w:tblStyle w:val="Table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00"/>
        <w:tblGridChange w:id="0">
          <w:tblGrid>
            <w:gridCol w:w="2600"/>
            <w:gridCol w:w="74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1"/>
                <w:bCs w:val="1"/>
                <w:sz w:val="18"/>
                <w:szCs w:val="18"/>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sz w:val="18"/>
                <w:szCs w:val="18"/>
                <w:rtl w:val="0"/>
              </w:rPr>
              <w:t xml:space="preserve">Processing_ID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sz w:val="18"/>
                <w:szCs w:val="18"/>
                <w:rtl w:val="0"/>
              </w:rPr>
              <w:t xml:space="preserve">Format PROC-{domain}-{NNN}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sz w:val="18"/>
                <w:szCs w:val="18"/>
                <w:rtl w:val="0"/>
              </w:rPr>
              <w:t xml:space="preserve">Processing_Purpose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sz w:val="18"/>
                <w:szCs w:val="18"/>
                <w:rtl w:val="0"/>
              </w:rPr>
              <w:t xml:space="preserve">Stated purpose and lawful basis citation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0"/>
                <w:bCs w:val="0"/>
                <w:sz w:val="18"/>
                <w:szCs w:val="18"/>
                <w:rtl w:val="0"/>
              </w:rPr>
              <w:t xml:space="preserve">Legal_Basis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0"/>
                <w:bCs w:val="0"/>
                <w:sz w:val="18"/>
                <w:szCs w:val="18"/>
                <w:rtl w:val="0"/>
              </w:rPr>
              <w:t xml:space="preserve">Art. 6 / 9 basis (above taxonomy)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sz w:val="18"/>
                <w:szCs w:val="18"/>
                <w:rtl w:val="0"/>
              </w:rPr>
              <w:t xml:space="preserve">Data_Categories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0"/>
                <w:bCs w:val="0"/>
                <w:sz w:val="18"/>
                <w:szCs w:val="18"/>
                <w:rtl w:val="0"/>
              </w:rPr>
              <w:t xml:space="preserve">Identity, contact, financial, technical, on-chain, biometric (if any)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sz w:val="18"/>
                <w:szCs w:val="18"/>
                <w:rtl w:val="0"/>
              </w:rPr>
              <w:t xml:space="preserve">Data_Subjects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0"/>
                <w:bCs w:val="0"/>
                <w:sz w:val="18"/>
                <w:szCs w:val="18"/>
                <w:rtl w:val="0"/>
              </w:rPr>
              <w:t xml:space="preserve">Employees / candidates / clients / client-end-users / counterparties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sz w:val="18"/>
                <w:szCs w:val="18"/>
                <w:rtl w:val="0"/>
              </w:rPr>
              <w:t xml:space="preserve">Recipients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0"/>
                <w:bCs w:val="0"/>
                <w:sz w:val="18"/>
                <w:szCs w:val="18"/>
                <w:rtl w:val="0"/>
              </w:rPr>
              <w:t xml:space="preserve">Named internal teams and third parties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0"/>
                <w:bCs w:val="0"/>
                <w:sz w:val="18"/>
                <w:szCs w:val="18"/>
                <w:rtl w:val="0"/>
              </w:rPr>
              <w:t xml:space="preserve">International_Transfer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0"/>
                <w:bCs w:val="0"/>
                <w:sz w:val="18"/>
                <w:szCs w:val="18"/>
                <w:rtl w:val="0"/>
              </w:rPr>
              <w:t xml:space="preserve">Yes/No; if Yes, destination(s) + safeguard(s)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0"/>
                <w:bCs w:val="0"/>
                <w:sz w:val="18"/>
                <w:szCs w:val="18"/>
                <w:rtl w:val="0"/>
              </w:rPr>
              <w:t xml:space="preserve">Transfer_Safeguard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0"/>
                <w:bCs w:val="0"/>
                <w:sz w:val="18"/>
                <w:szCs w:val="18"/>
                <w:rtl w:val="0"/>
              </w:rPr>
              <w:t xml:space="preserve">SCC / Adequacy / BCR / Derogation Art. 49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sz w:val="18"/>
                <w:szCs w:val="18"/>
                <w:rtl w:val="0"/>
              </w:rPr>
              <w:t xml:space="preserve">Retention_Period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0"/>
                <w:bCs w:val="0"/>
                <w:sz w:val="18"/>
                <w:szCs w:val="18"/>
                <w:rtl w:val="0"/>
              </w:rPr>
              <w:t xml:space="preserve">Per S-109 classification matrix</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0"/>
                <w:bCs w:val="0"/>
                <w:sz w:val="18"/>
                <w:szCs w:val="18"/>
                <w:rtl w:val="0"/>
              </w:rPr>
              <w:t xml:space="preserve">Technical_Measures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sz w:val="18"/>
                <w:szCs w:val="18"/>
                <w:rtl w:val="0"/>
              </w:rPr>
              <w:t xml:space="preserve">Encryption, pseudonymisation, access controls, logging, backup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sz w:val="18"/>
                <w:szCs w:val="18"/>
                <w:rtl w:val="0"/>
              </w:rPr>
              <w:t xml:space="preserve">Organizational_Measures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0"/>
                <w:bCs w:val="0"/>
                <w:sz w:val="18"/>
                <w:szCs w:val="18"/>
                <w:rtl w:val="0"/>
              </w:rPr>
              <w:t xml:space="preserve">Policy, training, DPA, supplier audits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0"/>
                <w:bCs w:val="0"/>
                <w:sz w:val="18"/>
                <w:szCs w:val="18"/>
                <w:rtl w:val="0"/>
              </w:rPr>
              <w:t xml:space="preserve">Controller_Processor_Role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0"/>
                <w:bCs w:val="0"/>
                <w:sz w:val="18"/>
                <w:szCs w:val="18"/>
                <w:rtl w:val="0"/>
              </w:rPr>
              <w:t xml:space="preserve">Controller / Processor / Joint Controller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0"/>
                <w:bCs w:val="0"/>
                <w:sz w:val="18"/>
                <w:szCs w:val="18"/>
                <w:rtl w:val="0"/>
              </w:rPr>
              <w:t xml:space="preserve">Sub_Processors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0"/>
                <w:bCs w:val="0"/>
                <w:sz w:val="18"/>
                <w:szCs w:val="18"/>
                <w:rtl w:val="0"/>
              </w:rPr>
              <w:t xml:space="preserve">Named sub-processors with DPA 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0"/>
                <w:bCs w:val="0"/>
                <w:sz w:val="18"/>
                <w:szCs w:val="18"/>
                <w:rtl w:val="0"/>
              </w:rPr>
              <w:t xml:space="preserve">DPIA_Required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0"/>
                <w:bCs w:val="0"/>
                <w:sz w:val="18"/>
                <w:szCs w:val="18"/>
                <w:rtl w:val="0"/>
              </w:rPr>
              <w:t xml:space="preserve">Per CL-409 screening; link to REG-510 entry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sz w:val="18"/>
                <w:szCs w:val="18"/>
                <w:rtl w:val="0"/>
              </w:rPr>
              <w:t xml:space="preserve">DPO_Review_Date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0"/>
                <w:bCs w:val="0"/>
                <w:sz w:val="18"/>
                <w:szCs w:val="18"/>
                <w:rtl w:val="0"/>
              </w:rPr>
              <w:t xml:space="preserve">Date of last DPO review</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0"/>
                <w:bCs w:val="0"/>
                <w:sz w:val="18"/>
                <w:szCs w:val="18"/>
                <w:rtl w:val="0"/>
              </w:rPr>
              <w:t xml:space="preserve">Last_Updated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0"/>
                <w:bCs w:val="0"/>
                <w:sz w:val="18"/>
                <w:szCs w:val="18"/>
                <w:rtl w:val="0"/>
              </w:rPr>
              <w:t xml:space="preserve">ISO date</w:t>
            </w:r>
            <w:r w:rsidDel="00000000" w:rsidR="00000000" w:rsidRPr="00000000">
              <w:rPr>
                <w:rtl w:val="0"/>
              </w:rPr>
            </w:r>
          </w:p>
        </w:tc>
      </w:tr>
    </w:tbl>
    <w:p w:rsidR="00000000" w:rsidDel="00000000" w:rsidP="00000000" w:rsidRDefault="00000000" w:rsidRPr="00000000" w14:paraId="00000056">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5. Sample Entries (redacted exemplars)</w:t>
      </w:r>
      <w:r w:rsidDel="00000000" w:rsidR="00000000" w:rsidRPr="00000000">
        <w:rPr>
          <w:rtl w:val="0"/>
        </w:rPr>
      </w:r>
    </w:p>
    <w:tbl>
      <w:tblPr>
        <w:tblStyle w:val="Table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600"/>
        <w:gridCol w:w="2000"/>
        <w:gridCol w:w="1600"/>
        <w:gridCol w:w="1800"/>
        <w:tblGridChange w:id="0">
          <w:tblGrid>
            <w:gridCol w:w="2000"/>
            <w:gridCol w:w="2600"/>
            <w:gridCol w:w="2000"/>
            <w:gridCol w:w="1600"/>
            <w:gridCol w:w="18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1"/>
                <w:bCs w:val="1"/>
                <w:sz w:val="18"/>
                <w:szCs w:val="18"/>
                <w:rtl w:val="0"/>
              </w:rPr>
              <w:t xml:space="preserve">Processing_ID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1"/>
                <w:bCs w:val="1"/>
                <w:sz w:val="18"/>
                <w:szCs w:val="18"/>
                <w:rtl w:val="0"/>
              </w:rPr>
              <w:t xml:space="preserve">Purpose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1"/>
                <w:bCs w:val="1"/>
                <w:sz w:val="18"/>
                <w:szCs w:val="18"/>
                <w:rtl w:val="0"/>
              </w:rPr>
              <w:t xml:space="preserve">Categories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1"/>
                <w:bCs w:val="1"/>
                <w:sz w:val="18"/>
                <w:szCs w:val="18"/>
                <w:rtl w:val="0"/>
              </w:rPr>
              <w:t xml:space="preserve">Legal Basis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1"/>
                <w:bCs w:val="1"/>
                <w:sz w:val="18"/>
                <w:szCs w:val="18"/>
                <w:rtl w:val="0"/>
              </w:rPr>
              <w:t xml:space="preserve">Retention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0"/>
                <w:bCs w:val="0"/>
                <w:sz w:val="18"/>
                <w:szCs w:val="18"/>
                <w:rtl w:val="0"/>
              </w:rPr>
              <w:t xml:space="preserve">PROC-HR-001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sz w:val="18"/>
                <w:szCs w:val="18"/>
                <w:rtl w:val="0"/>
              </w:rPr>
              <w:t xml:space="preserve">Employment lifecycle (onboarding, payroll, offboarding)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sz w:val="18"/>
                <w:szCs w:val="18"/>
                <w:rtl w:val="0"/>
              </w:rPr>
              <w:t xml:space="preserve">Identity, contact, financial, tax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sz w:val="18"/>
                <w:szCs w:val="18"/>
                <w:rtl w:val="0"/>
              </w:rPr>
              <w:t xml:space="preserve">6(1)(b),(c)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sz w:val="18"/>
                <w:szCs w:val="18"/>
                <w:rtl w:val="0"/>
              </w:rPr>
              <w:t xml:space="preserve">Life-of-employment + 7 years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sz w:val="18"/>
                <w:szCs w:val="18"/>
                <w:rtl w:val="0"/>
              </w:rPr>
              <w:t xml:space="preserve">PROC-CLIENT-004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sz w:val="18"/>
                <w:szCs w:val="18"/>
                <w:rtl w:val="0"/>
              </w:rPr>
              <w:t xml:space="preserve">Engagement delivery — client contact directory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sz w:val="18"/>
                <w:szCs w:val="18"/>
                <w:rtl w:val="0"/>
              </w:rPr>
              <w:t xml:space="preserve">Identity, contact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sz w:val="18"/>
                <w:szCs w:val="18"/>
                <w:rtl w:val="0"/>
              </w:rPr>
              <w:t xml:space="preserve">6(1)(b)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sz w:val="18"/>
                <w:szCs w:val="18"/>
                <w:rtl w:val="0"/>
              </w:rPr>
              <w:t xml:space="preserve">Life-of-engagement + 3 years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sz w:val="18"/>
                <w:szCs w:val="18"/>
                <w:rtl w:val="0"/>
              </w:rPr>
              <w:t xml:space="preserve">PROC-SEC-011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0"/>
                <w:bCs w:val="0"/>
                <w:sz w:val="18"/>
                <w:szCs w:val="18"/>
                <w:rtl w:val="0"/>
              </w:rPr>
              <w:t xml:space="preserve">Security monitoring — access logs, EDR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0"/>
                <w:bCs w:val="0"/>
                <w:sz w:val="18"/>
                <w:szCs w:val="18"/>
                <w:rtl w:val="0"/>
              </w:rPr>
              <w:t xml:space="preserve">Technical identifiers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0"/>
                <w:bCs w:val="0"/>
                <w:sz w:val="18"/>
                <w:szCs w:val="18"/>
                <w:rtl w:val="0"/>
              </w:rPr>
              <w:t xml:space="preserve">6(1)(f)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0"/>
                <w:bCs w:val="0"/>
                <w:sz w:val="18"/>
                <w:szCs w:val="18"/>
                <w:rtl w:val="0"/>
              </w:rPr>
              <w:t xml:space="preserve">365 days rolling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0"/>
                <w:bCs w:val="0"/>
                <w:sz w:val="18"/>
                <w:szCs w:val="18"/>
                <w:rtl w:val="0"/>
              </w:rPr>
              <w:t xml:space="preserve">PROC-BD-007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sz w:val="18"/>
                <w:szCs w:val="18"/>
                <w:rtl w:val="0"/>
              </w:rPr>
              <w:t xml:space="preserve">Sales &amp; business development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0"/>
                <w:bCs w:val="0"/>
                <w:sz w:val="18"/>
                <w:szCs w:val="18"/>
                <w:rtl w:val="0"/>
              </w:rPr>
              <w:t xml:space="preserve">Identity, contact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0"/>
                <w:bCs w:val="0"/>
                <w:sz w:val="18"/>
                <w:szCs w:val="18"/>
                <w:rtl w:val="0"/>
              </w:rPr>
              <w:t xml:space="preserve">6(1)(f) with soft-consent overlay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0"/>
                <w:bCs w:val="0"/>
                <w:sz w:val="18"/>
                <w:szCs w:val="18"/>
                <w:rtl w:val="0"/>
              </w:rPr>
              <w:t xml:space="preserve">24 months from last interaction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0"/>
                <w:bCs w:val="0"/>
                <w:sz w:val="18"/>
                <w:szCs w:val="18"/>
                <w:rtl w:val="0"/>
              </w:rPr>
              <w:t xml:space="preserve">PROC-FIN-002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0"/>
                <w:bCs w:val="0"/>
                <w:sz w:val="18"/>
                <w:szCs w:val="18"/>
                <w:rtl w:val="0"/>
              </w:rPr>
              <w:t xml:space="preserve">AML/KYC on client entities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0"/>
                <w:bCs w:val="0"/>
                <w:sz w:val="18"/>
                <w:szCs w:val="18"/>
                <w:rtl w:val="0"/>
              </w:rPr>
              <w:t xml:space="preserve">Identity (beneficial-ownership proxy)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0"/>
                <w:bCs w:val="0"/>
                <w:sz w:val="18"/>
                <w:szCs w:val="18"/>
                <w:rtl w:val="0"/>
              </w:rPr>
              <w:t xml:space="preserve">6(1)(c)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0"/>
                <w:bCs w:val="0"/>
                <w:sz w:val="18"/>
                <w:szCs w:val="18"/>
                <w:rtl w:val="0"/>
              </w:rPr>
              <w:t xml:space="preserve">10 years regulatory</w:t>
            </w:r>
            <w:r w:rsidDel="00000000" w:rsidR="00000000" w:rsidRPr="00000000">
              <w:rPr>
                <w:rtl w:val="0"/>
              </w:rPr>
            </w:r>
          </w:p>
        </w:tc>
      </w:tr>
    </w:tbl>
    <w:p w:rsidR="00000000" w:rsidDel="00000000" w:rsidP="00000000" w:rsidRDefault="00000000" w:rsidRPr="00000000" w14:paraId="00000075">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6. International Transfers</w:t>
      </w:r>
      <w:r w:rsidDel="00000000" w:rsidR="00000000" w:rsidRPr="00000000">
        <w:rPr>
          <w:rtl w:val="0"/>
        </w:rPr>
      </w:r>
    </w:p>
    <w:p w:rsidR="00000000" w:rsidDel="00000000" w:rsidP="00000000" w:rsidRDefault="00000000" w:rsidRPr="00000000" w14:paraId="00000076">
      <w:pPr>
        <w:spacing w:after="100" w:lineRule="auto"/>
        <w:jc w:val="both"/>
        <w:rPr/>
      </w:pPr>
      <w:r w:rsidDel="00000000" w:rsidR="00000000" w:rsidRPr="00000000">
        <w:rPr>
          <w:rFonts w:ascii="Arial" w:cs="Arial" w:eastAsia="Arial" w:hAnsi="Arial"/>
          <w:sz w:val="20"/>
          <w:szCs w:val="20"/>
          <w:rtl w:val="0"/>
        </w:rPr>
        <w:t xml:space="preserve">Protofire operates across multiple jurisdictions. Every transfer of personal data outside the EEA/UK is documented with the specific safeguard applied (primary: 2021/914 Standard Contractual Clauses; fallback: explicit derogation under Art. 49). A Transfer Impact Assessment is conducted where the destination is not on the EU adequacy list.</w:t>
      </w:r>
      <w:r w:rsidDel="00000000" w:rsidR="00000000" w:rsidRPr="00000000">
        <w:rPr>
          <w:rtl w:val="0"/>
        </w:rPr>
      </w:r>
    </w:p>
    <w:p w:rsidR="00000000" w:rsidDel="00000000" w:rsidP="00000000" w:rsidRDefault="00000000" w:rsidRPr="00000000" w14:paraId="00000077">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7. DPIA Trigger Matrix</w:t>
      </w:r>
      <w:r w:rsidDel="00000000" w:rsidR="00000000" w:rsidRPr="00000000">
        <w:rPr>
          <w:rtl w:val="0"/>
        </w:rPr>
      </w:r>
    </w:p>
    <w:tbl>
      <w:tblPr>
        <w:tblStyle w:val="Table5"/>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5000"/>
        <w:tblGridChange w:id="0">
          <w:tblGrid>
            <w:gridCol w:w="5000"/>
            <w:gridCol w:w="5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1"/>
                <w:bCs w:val="1"/>
                <w:sz w:val="18"/>
                <w:szCs w:val="18"/>
                <w:rtl w:val="0"/>
              </w:rPr>
              <w:t xml:space="preserve">Trigger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1"/>
                <w:bCs w:val="1"/>
                <w:sz w:val="18"/>
                <w:szCs w:val="18"/>
                <w:rtl w:val="0"/>
              </w:rPr>
              <w:t xml:space="preserve">Consequence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A">
            <w:pPr>
              <w:jc w:val="left"/>
              <w:rPr/>
            </w:pPr>
            <w:r w:rsidDel="00000000" w:rsidR="00000000" w:rsidRPr="00000000">
              <w:rPr>
                <w:rFonts w:ascii="Arial Unicode MS" w:cs="Arial Unicode MS" w:eastAsia="Arial Unicode MS" w:hAnsi="Arial Unicode MS"/>
                <w:b w:val="0"/>
                <w:bCs w:val="0"/>
                <w:sz w:val="18"/>
                <w:szCs w:val="18"/>
                <w:rtl w:val="0"/>
              </w:rPr>
              <w:t xml:space="preserve">Processing EU personal data AND engagement tier ≥ T2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0"/>
                <w:bCs w:val="0"/>
                <w:sz w:val="18"/>
                <w:szCs w:val="18"/>
                <w:rtl w:val="0"/>
              </w:rPr>
              <w:t xml:space="preserve">DPIA mandatory per POL-011-R04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C">
            <w:pPr>
              <w:jc w:val="left"/>
              <w:rPr/>
            </w:pPr>
            <w:r w:rsidDel="00000000" w:rsidR="00000000" w:rsidRPr="00000000">
              <w:rPr>
                <w:rFonts w:ascii="Arial" w:cs="Arial" w:eastAsia="Arial" w:hAnsi="Arial"/>
                <w:b w:val="0"/>
                <w:bCs w:val="0"/>
                <w:sz w:val="18"/>
                <w:szCs w:val="18"/>
                <w:rtl w:val="0"/>
              </w:rPr>
              <w:t xml:space="preserve">Automated decision-making producing legal effects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D">
            <w:pPr>
              <w:jc w:val="left"/>
              <w:rPr/>
            </w:pPr>
            <w:r w:rsidDel="00000000" w:rsidR="00000000" w:rsidRPr="00000000">
              <w:rPr>
                <w:rFonts w:ascii="Arial" w:cs="Arial" w:eastAsia="Arial" w:hAnsi="Arial"/>
                <w:b w:val="0"/>
                <w:bCs w:val="0"/>
                <w:sz w:val="18"/>
                <w:szCs w:val="18"/>
                <w:rtl w:val="0"/>
              </w:rPr>
              <w:t xml:space="preserve">DPIA mandatory — GDPR Art. 35(3)(a)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E">
            <w:pPr>
              <w:jc w:val="left"/>
              <w:rPr/>
            </w:pPr>
            <w:r w:rsidDel="00000000" w:rsidR="00000000" w:rsidRPr="00000000">
              <w:rPr>
                <w:rFonts w:ascii="Arial" w:cs="Arial" w:eastAsia="Arial" w:hAnsi="Arial"/>
                <w:b w:val="0"/>
                <w:bCs w:val="0"/>
                <w:sz w:val="18"/>
                <w:szCs w:val="18"/>
                <w:rtl w:val="0"/>
              </w:rPr>
              <w:t xml:space="preserve">Large-scale profiling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0"/>
                <w:bCs w:val="0"/>
                <w:sz w:val="18"/>
                <w:szCs w:val="18"/>
                <w:rtl w:val="0"/>
              </w:rPr>
              <w:t xml:space="preserve">DPIA mandatory — Art. 35(3)(b)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0">
            <w:pPr>
              <w:jc w:val="left"/>
              <w:rPr/>
            </w:pPr>
            <w:r w:rsidDel="00000000" w:rsidR="00000000" w:rsidRPr="00000000">
              <w:rPr>
                <w:rFonts w:ascii="Arial" w:cs="Arial" w:eastAsia="Arial" w:hAnsi="Arial"/>
                <w:b w:val="0"/>
                <w:bCs w:val="0"/>
                <w:sz w:val="18"/>
                <w:szCs w:val="18"/>
                <w:rtl w:val="0"/>
              </w:rPr>
              <w:t xml:space="preserve">Systematic monitoring of public areas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0"/>
                <w:bCs w:val="0"/>
                <w:sz w:val="18"/>
                <w:szCs w:val="18"/>
                <w:rtl w:val="0"/>
              </w:rPr>
              <w:t xml:space="preserve">DPIA mandatory — Art. 35(3)(c)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2">
            <w:pPr>
              <w:jc w:val="left"/>
              <w:rPr/>
            </w:pPr>
            <w:r w:rsidDel="00000000" w:rsidR="00000000" w:rsidRPr="00000000">
              <w:rPr>
                <w:rFonts w:ascii="Arial" w:cs="Arial" w:eastAsia="Arial" w:hAnsi="Arial"/>
                <w:b w:val="0"/>
                <w:bCs w:val="0"/>
                <w:sz w:val="18"/>
                <w:szCs w:val="18"/>
                <w:rtl w:val="0"/>
              </w:rPr>
              <w:t xml:space="preserve">Special category data (Art. 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0"/>
                <w:bCs w:val="0"/>
                <w:sz w:val="18"/>
                <w:szCs w:val="18"/>
                <w:rtl w:val="0"/>
              </w:rPr>
              <w:t xml:space="preserve">DPIA mandatory by policy, irrespective of scale</w:t>
            </w:r>
            <w:r w:rsidDel="00000000" w:rsidR="00000000" w:rsidRPr="00000000">
              <w:rPr>
                <w:rtl w:val="0"/>
              </w:rPr>
            </w:r>
          </w:p>
        </w:tc>
      </w:tr>
    </w:tbl>
    <w:p w:rsidR="00000000" w:rsidDel="00000000" w:rsidP="00000000" w:rsidRDefault="00000000" w:rsidRPr="00000000" w14:paraId="00000084">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8. Control Mapping</w:t>
      </w:r>
      <w:r w:rsidDel="00000000" w:rsidR="00000000" w:rsidRPr="00000000">
        <w:rPr>
          <w:rtl w:val="0"/>
        </w:rPr>
      </w:r>
    </w:p>
    <w:tbl>
      <w:tblPr>
        <w:tblStyle w:val="Table6"/>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4400"/>
        <w:tblGridChange w:id="0">
          <w:tblGrid>
            <w:gridCol w:w="2400"/>
            <w:gridCol w:w="3200"/>
            <w:gridCol w:w="44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1"/>
                <w:bCs w:val="1"/>
                <w:sz w:val="18"/>
                <w:szCs w:val="18"/>
                <w:rtl w:val="0"/>
              </w:rPr>
              <w:t xml:space="preserve">Framework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1"/>
                <w:bCs w:val="1"/>
                <w:sz w:val="18"/>
                <w:szCs w:val="18"/>
                <w:rtl w:val="0"/>
              </w:rPr>
              <w:t xml:space="preserve">Control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1"/>
                <w:bCs w:val="1"/>
                <w:sz w:val="18"/>
                <w:szCs w:val="18"/>
                <w:rtl w:val="0"/>
              </w:rPr>
              <w:t xml:space="preserve">How REG-505 satisfies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0"/>
                <w:bCs w:val="0"/>
                <w:sz w:val="18"/>
                <w:szCs w:val="18"/>
                <w:rtl w:val="0"/>
              </w:rPr>
              <w:t xml:space="preserve">GDPR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0"/>
                <w:bCs w:val="0"/>
                <w:sz w:val="18"/>
                <w:szCs w:val="18"/>
                <w:rtl w:val="0"/>
              </w:rPr>
              <w:t xml:space="preserve">Art. 30(1) / 30(2)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0"/>
                <w:bCs w:val="0"/>
                <w:sz w:val="18"/>
                <w:szCs w:val="18"/>
                <w:rtl w:val="0"/>
              </w:rPr>
              <w:t xml:space="preserve">Direct statutory satisfaction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0"/>
                <w:bCs w:val="0"/>
                <w:sz w:val="18"/>
                <w:szCs w:val="18"/>
                <w:rtl w:val="0"/>
              </w:rPr>
              <w:t xml:space="preserve">ISO/IEC 27701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0"/>
                <w:bCs w:val="0"/>
                <w:sz w:val="18"/>
                <w:szCs w:val="18"/>
                <w:rtl w:val="0"/>
              </w:rPr>
              <w:t xml:space="preserve">A.7.2.8 / B.8.2.1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0"/>
                <w:bCs w:val="0"/>
                <w:sz w:val="18"/>
                <w:szCs w:val="18"/>
                <w:rtl w:val="0"/>
              </w:rPr>
              <w:t xml:space="preserve">Records of PII processing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0"/>
                <w:bCs w:val="0"/>
                <w:sz w:val="18"/>
                <w:szCs w:val="18"/>
                <w:rtl w:val="0"/>
              </w:rPr>
              <w:t xml:space="preserve">ISO/IEC 27001:2022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0"/>
                <w:bCs w:val="0"/>
                <w:sz w:val="18"/>
                <w:szCs w:val="18"/>
                <w:rtl w:val="0"/>
              </w:rPr>
              <w:t xml:space="preserve">A.5.34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0"/>
                <w:bCs w:val="0"/>
                <w:sz w:val="18"/>
                <w:szCs w:val="18"/>
                <w:rtl w:val="0"/>
              </w:rPr>
              <w:t xml:space="preserve">Privacy and protection of PII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0"/>
                <w:bCs w:val="0"/>
                <w:sz w:val="18"/>
                <w:szCs w:val="18"/>
                <w:rtl w:val="0"/>
              </w:rPr>
              <w:t xml:space="preserve">Annex A C01–C20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0"/>
                <w:bCs w:val="0"/>
                <w:sz w:val="18"/>
                <w:szCs w:val="18"/>
                <w:rtl w:val="0"/>
              </w:rPr>
              <w:t xml:space="preserve">C12 Privacy, C18 Data Classification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0"/>
                <w:bCs w:val="0"/>
                <w:sz w:val="18"/>
                <w:szCs w:val="18"/>
                <w:rtl w:val="0"/>
              </w:rPr>
              <w:t xml:space="preserve">Core evidence artefact</w:t>
            </w:r>
            <w:r w:rsidDel="00000000" w:rsidR="00000000" w:rsidRPr="00000000">
              <w:rPr>
                <w:rtl w:val="0"/>
              </w:rPr>
            </w:r>
          </w:p>
        </w:tc>
      </w:tr>
    </w:tbl>
    <w:p w:rsidR="00000000" w:rsidDel="00000000" w:rsidP="00000000" w:rsidRDefault="00000000" w:rsidRPr="00000000" w14:paraId="00000094">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9. Evidence &amp; DPO Access</w:t>
      </w:r>
      <w:r w:rsidDel="00000000" w:rsidR="00000000" w:rsidRPr="00000000">
        <w:rPr>
          <w:rtl w:val="0"/>
        </w:rPr>
      </w:r>
    </w:p>
    <w:p w:rsidR="00000000" w:rsidDel="00000000" w:rsidP="00000000" w:rsidRDefault="00000000" w:rsidRPr="00000000" w14:paraId="00000095">
      <w:pPr>
        <w:spacing w:after="100" w:lineRule="auto"/>
        <w:jc w:val="both"/>
        <w:rPr/>
      </w:pPr>
      <w:r w:rsidDel="00000000" w:rsidR="00000000" w:rsidRPr="00000000">
        <w:rPr>
          <w:rFonts w:ascii="Arial" w:cs="Arial" w:eastAsia="Arial" w:hAnsi="Arial"/>
          <w:sz w:val="20"/>
          <w:szCs w:val="20"/>
          <w:rtl w:val="0"/>
        </w:rPr>
        <w:t xml:space="preserve">REG-505 is maintained in a CISO/DPO-controlled location with a read-only export path for supervisory-authority requests. Any change to the register triggers a DPO review within 5 business days and is logged with before/after values.</w:t>
      </w:r>
      <w:r w:rsidDel="00000000" w:rsidR="00000000" w:rsidRPr="00000000">
        <w:rPr>
          <w:rtl w:val="0"/>
        </w:rPr>
      </w:r>
    </w:p>
    <w:p w:rsidR="00000000" w:rsidDel="00000000" w:rsidP="00000000" w:rsidRDefault="00000000" w:rsidRPr="00000000" w14:paraId="00000096">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9. Exceptions &amp; Deviations</w:t>
      </w:r>
      <w:r w:rsidDel="00000000" w:rsidR="00000000" w:rsidRPr="00000000">
        <w:rPr>
          <w:rtl w:val="0"/>
        </w:rPr>
      </w:r>
    </w:p>
    <w:p w:rsidR="00000000" w:rsidDel="00000000" w:rsidP="00000000" w:rsidRDefault="00000000" w:rsidRPr="00000000" w14:paraId="00000097">
      <w:pPr>
        <w:spacing w:after="100" w:lineRule="auto"/>
        <w:jc w:val="both"/>
        <w:rPr/>
      </w:pPr>
      <w:r w:rsidDel="00000000" w:rsidR="00000000" w:rsidRPr="00000000">
        <w:rPr>
          <w:rFonts w:ascii="Arial" w:cs="Arial" w:eastAsia="Arial" w:hAnsi="Arial"/>
          <w:sz w:val="20"/>
          <w:szCs w:val="20"/>
          <w:rtl w:val="0"/>
        </w:rPr>
        <w:t xml:space="preserve">Any deviation from the requirements in this document must be raised as a formal exception under POL-009 Exception &amp; Deviation Policy. Exceptions are classified E1 (Node-Owner approval, max 90 days), E2 (Node-Owner + CISO, max 180 days), E3 (Node-Owner + CFO + CISO, max 365 days) or E4 (CEO escalation). All active exceptions are tracked in REG-506 Exception &amp; Waiver Register.</w:t>
      </w:r>
      <w:r w:rsidDel="00000000" w:rsidR="00000000" w:rsidRPr="00000000">
        <w:rPr>
          <w:rtl w:val="0"/>
        </w:rPr>
      </w:r>
    </w:p>
    <w:p w:rsidR="00000000" w:rsidDel="00000000" w:rsidP="00000000" w:rsidRDefault="00000000" w:rsidRPr="00000000" w14:paraId="00000098">
      <w:pPr>
        <w:spacing w:after="100" w:lineRule="auto"/>
        <w:jc w:val="both"/>
        <w:rPr/>
      </w:pPr>
      <w:r w:rsidDel="00000000" w:rsidR="00000000" w:rsidRPr="00000000">
        <w:rPr>
          <w:rFonts w:ascii="Arial" w:cs="Arial" w:eastAsia="Arial" w:hAnsi="Arial"/>
          <w:sz w:val="20"/>
          <w:szCs w:val="20"/>
          <w:rtl w:val="0"/>
        </w:rPr>
        <w:t xml:space="preserve">Undocumented deviation is treated as a control failure and triggers the Internal Audit Programme (IAP-001) non-conformance workflow.</w:t>
      </w:r>
      <w:r w:rsidDel="00000000" w:rsidR="00000000" w:rsidRPr="00000000">
        <w:rPr>
          <w:rtl w:val="0"/>
        </w:rPr>
      </w:r>
    </w:p>
    <w:p w:rsidR="00000000" w:rsidDel="00000000" w:rsidP="00000000" w:rsidRDefault="00000000" w:rsidRPr="00000000" w14:paraId="00000099">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10. Metrics &amp; KRIs</w:t>
      </w:r>
      <w:r w:rsidDel="00000000" w:rsidR="00000000" w:rsidRPr="00000000">
        <w:rPr>
          <w:rtl w:val="0"/>
        </w:rPr>
      </w:r>
    </w:p>
    <w:p w:rsidR="00000000" w:rsidDel="00000000" w:rsidP="00000000" w:rsidRDefault="00000000" w:rsidRPr="00000000" w14:paraId="0000009A">
      <w:pPr>
        <w:spacing w:after="100" w:lineRule="auto"/>
        <w:jc w:val="both"/>
        <w:rPr/>
      </w:pPr>
      <w:r w:rsidDel="00000000" w:rsidR="00000000" w:rsidRPr="00000000">
        <w:rPr>
          <w:rFonts w:ascii="Arial" w:cs="Arial" w:eastAsia="Arial" w:hAnsi="Arial"/>
          <w:sz w:val="20"/>
          <w:szCs w:val="20"/>
          <w:rtl w:val="0"/>
        </w:rPr>
        <w:t xml:space="preserve">Operational effectiveness is monitored via the KRI dashboard specified in STD-110 KRI Dashboard Specification. Where this document introduces a new measurable control, the relevant KRI is added to STD-110 during the next quarterly review. Amber and Red thresholds drive the escalation and exception workflows in POL-009 and L2-INC-201.</w:t>
      </w:r>
      <w:r w:rsidDel="00000000" w:rsidR="00000000" w:rsidRPr="00000000">
        <w:rPr>
          <w:rtl w:val="0"/>
        </w:rPr>
      </w:r>
    </w:p>
    <w:p w:rsidR="00000000" w:rsidDel="00000000" w:rsidP="00000000" w:rsidRDefault="00000000" w:rsidRPr="00000000" w14:paraId="0000009B">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11. Review &amp; Maintenance</w:t>
      </w:r>
      <w:r w:rsidDel="00000000" w:rsidR="00000000" w:rsidRPr="00000000">
        <w:rPr>
          <w:rtl w:val="0"/>
        </w:rPr>
      </w:r>
    </w:p>
    <w:p w:rsidR="00000000" w:rsidDel="00000000" w:rsidP="00000000" w:rsidRDefault="00000000" w:rsidRPr="00000000" w14:paraId="0000009C">
      <w:pPr>
        <w:spacing w:after="100" w:lineRule="auto"/>
        <w:jc w:val="both"/>
        <w:rPr/>
      </w:pPr>
      <w:r w:rsidDel="00000000" w:rsidR="00000000" w:rsidRPr="00000000">
        <w:rPr>
          <w:rFonts w:ascii="Arial" w:cs="Arial" w:eastAsia="Arial" w:hAnsi="Arial"/>
          <w:sz w:val="20"/>
          <w:szCs w:val="20"/>
          <w:rtl w:val="0"/>
        </w:rPr>
        <w:t xml:space="preserve">This document is reviewed on a quarterly — plus on any new processing activity cadence by the named Owner, and additionally upon: (a) material change to the control environment, (b) regulatory change affecting scope, (c) incident or audit finding requiring remediation, (d) change in Node Owner or CISO, or (e) supersession of any referenced document. Review actions (confirm / amend / supersede) are recorded in REG-511 Document Registry and approved by the named Approver.</w:t>
      </w:r>
      <w:r w:rsidDel="00000000" w:rsidR="00000000" w:rsidRPr="00000000">
        <w:rPr>
          <w:rtl w:val="0"/>
        </w:rPr>
      </w:r>
    </w:p>
    <w:p w:rsidR="00000000" w:rsidDel="00000000" w:rsidP="00000000" w:rsidRDefault="00000000" w:rsidRPr="00000000" w14:paraId="0000009D">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12. Version History</w:t>
      </w:r>
      <w:r w:rsidDel="00000000" w:rsidR="00000000" w:rsidRPr="00000000">
        <w:rPr>
          <w:rtl w:val="0"/>
        </w:rPr>
      </w:r>
    </w:p>
    <w:tbl>
      <w:tblPr>
        <w:tblStyle w:val="Table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2600"/>
        <w:gridCol w:w="4000"/>
        <w:tblGridChange w:id="0">
          <w:tblGrid>
            <w:gridCol w:w="1200"/>
            <w:gridCol w:w="1600"/>
            <w:gridCol w:w="2600"/>
            <w:gridCol w:w="4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9E">
            <w:pPr>
              <w:jc w:val="left"/>
              <w:rPr/>
            </w:pPr>
            <w:r w:rsidDel="00000000" w:rsidR="00000000" w:rsidRPr="00000000">
              <w:rPr>
                <w:rFonts w:ascii="Arial" w:cs="Arial" w:eastAsia="Arial" w:hAnsi="Arial"/>
                <w:b w:val="1"/>
                <w:bCs w:val="1"/>
                <w:sz w:val="18"/>
                <w:szCs w:val="18"/>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9F">
            <w:pPr>
              <w:jc w:val="left"/>
              <w:rPr/>
            </w:pPr>
            <w:r w:rsidDel="00000000" w:rsidR="00000000" w:rsidRPr="00000000">
              <w:rPr>
                <w:rFonts w:ascii="Arial" w:cs="Arial" w:eastAsia="Arial" w:hAnsi="Arial"/>
                <w:b w:val="1"/>
                <w:bCs w:val="1"/>
                <w:sz w:val="18"/>
                <w:szCs w:val="18"/>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A0">
            <w:pPr>
              <w:jc w:val="left"/>
              <w:rPr/>
            </w:pPr>
            <w:r w:rsidDel="00000000" w:rsidR="00000000" w:rsidRPr="00000000">
              <w:rPr>
                <w:rFonts w:ascii="Arial" w:cs="Arial" w:eastAsia="Arial" w:hAnsi="Arial"/>
                <w:b w:val="1"/>
                <w:bCs w:val="1"/>
                <w:sz w:val="18"/>
                <w:szCs w:val="18"/>
                <w:rtl w:val="0"/>
              </w:rPr>
              <w:t xml:space="preserve">Author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A1">
            <w:pPr>
              <w:jc w:val="left"/>
              <w:rPr/>
            </w:pPr>
            <w:r w:rsidDel="00000000" w:rsidR="00000000" w:rsidRPr="00000000">
              <w:rPr>
                <w:rFonts w:ascii="Arial" w:cs="Arial" w:eastAsia="Arial" w:hAnsi="Arial"/>
                <w:b w:val="1"/>
                <w:bCs w:val="1"/>
                <w:sz w:val="18"/>
                <w:szCs w:val="18"/>
                <w:rtl w:val="0"/>
              </w:rPr>
              <w:t xml:space="preserve">Change Summary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A2">
            <w:pPr>
              <w:jc w:val="left"/>
              <w:rPr/>
            </w:pPr>
            <w:r w:rsidDel="00000000" w:rsidR="00000000" w:rsidRPr="00000000">
              <w:rPr>
                <w:rFonts w:ascii="Arial" w:cs="Arial" w:eastAsia="Arial" w:hAnsi="Arial"/>
                <w:b w:val="0"/>
                <w:bCs w:val="0"/>
                <w:sz w:val="18"/>
                <w:szCs w:val="18"/>
                <w:rtl w:val="0"/>
              </w:rPr>
              <w:t xml:space="preserve">v0.9 (superseded)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A3">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A4">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A5">
            <w:pPr>
              <w:jc w:val="left"/>
              <w:rPr/>
            </w:pPr>
            <w:r w:rsidDel="00000000" w:rsidR="00000000" w:rsidRPr="00000000">
              <w:rPr>
                <w:rFonts w:ascii="Arial" w:cs="Arial" w:eastAsia="Arial" w:hAnsi="Arial"/>
                <w:b w:val="0"/>
                <w:bCs w:val="0"/>
                <w:sz w:val="18"/>
                <w:szCs w:val="18"/>
                <w:rtl w:val="0"/>
              </w:rPr>
              <w:t xml:space="preserve">Prior draft in GitHub main_learning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A6">
            <w:pPr>
              <w:jc w:val="left"/>
              <w:rPr/>
            </w:pPr>
            <w:r w:rsidDel="00000000" w:rsidR="00000000" w:rsidRPr="00000000">
              <w:rPr>
                <w:rFonts w:ascii="Arial" w:cs="Arial" w:eastAsia="Arial" w:hAnsi="Arial"/>
                <w:b w:val="0"/>
                <w:bCs w:val="0"/>
                <w:sz w:val="18"/>
                <w:szCs w:val="18"/>
                <w:rtl w:val="0"/>
              </w:rPr>
              <w:t xml:space="preserve">v1.0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A7">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A8">
            <w:pPr>
              <w:jc w:val="left"/>
              <w:rPr/>
            </w:pPr>
            <w:r w:rsidDel="00000000" w:rsidR="00000000" w:rsidRPr="00000000">
              <w:rPr>
                <w:rFonts w:ascii="Arial" w:cs="Arial" w:eastAsia="Arial" w:hAnsi="Arial"/>
                <w:b w:val="0"/>
                <w:bCs w:val="0"/>
                <w:sz w:val="18"/>
                <w:szCs w:val="18"/>
                <w:rtl w:val="0"/>
              </w:rPr>
              <w:t xml:space="preserve">CISO / DPO (as applicable)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A9">
            <w:pPr>
              <w:jc w:val="left"/>
              <w:rPr/>
            </w:pPr>
            <w:r w:rsidDel="00000000" w:rsidR="00000000" w:rsidRPr="00000000">
              <w:rPr>
                <w:rFonts w:ascii="Arial" w:cs="Arial" w:eastAsia="Arial" w:hAnsi="Arial"/>
                <w:b w:val="0"/>
                <w:bCs w:val="0"/>
                <w:sz w:val="18"/>
                <w:szCs w:val="18"/>
                <w:rtl w:val="0"/>
              </w:rPr>
              <w:t xml:space="preserve">Full audit-ready publication for Drive; expanded purpose/scope/roles; added control mapping; evidence cadence; exception routing; KRI pointers.</w:t>
            </w:r>
            <w:r w:rsidDel="00000000" w:rsidR="00000000" w:rsidRPr="00000000">
              <w:rPr>
                <w:rtl w:val="0"/>
              </w:rPr>
            </w:r>
          </w:p>
        </w:tc>
      </w:tr>
    </w:tbl>
    <w:p w:rsidR="00000000" w:rsidDel="00000000" w:rsidP="00000000" w:rsidRDefault="00000000" w:rsidRPr="00000000" w14:paraId="000000AA">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13. Appendix — Cross-References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POL-003 Risk Management Policy</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POL-009 Exception &amp; Deviation Policy</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POL-010 Monitoring &amp; Assurance Policy</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POL-011 Data Protection &amp; Privacy Policy</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L1-EVID-004 Evidence &amp; Recordkeeping Standard</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RACI-001 Enterprise RACI</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REG-506 Exception Register / REG-510 DPIA Register / REG-511 Document Registry / REG-512 Evidence Calendar</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STD-110 KRI Dashboard Specification</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IAP-001 Internal Audit Programme</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CL-PHASE-001 Lifecycle Checklist</w:t>
      </w:r>
    </w:p>
    <w:sectPr>
      <w:headerReference r:id="rId6" w:type="default"/>
      <w:footerReference r:id="rId7"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jc w:val="center"/>
      <w:rPr/>
    </w:pPr>
    <w:r w:rsidDel="00000000" w:rsidR="00000000" w:rsidRPr="00000000">
      <w:rPr>
        <w:rFonts w:ascii="Arial" w:cs="Arial" w:eastAsia="Arial" w:hAnsi="Arial"/>
        <w:color w:val="808080"/>
        <w:sz w:val="16"/>
        <w:szCs w:val="16"/>
        <w:rtl w:val="0"/>
      </w:rPr>
      <w:t xml:space="preserve">Protofire GRC — Page </w:t>
    </w:r>
    <w:r w:rsidDel="00000000" w:rsidR="00000000" w:rsidRPr="00000000">
      <w:rPr>
        <w:rFonts w:ascii="Arial" w:cs="Arial" w:eastAsia="Arial" w:hAnsi="Arial"/>
        <w:color w:val="808080"/>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08080"/>
        <w:sz w:val="16"/>
        <w:szCs w:val="16"/>
        <w:rtl w:val="0"/>
      </w:rPr>
      <w:t xml:space="preserve"> of </w:t>
    </w:r>
    <w:r w:rsidDel="00000000" w:rsidR="00000000" w:rsidRPr="00000000">
      <w:rPr>
        <w:rFonts w:ascii="Arial" w:cs="Arial" w:eastAsia="Arial" w:hAnsi="Arial"/>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jc w:val="right"/>
      <w:rPr/>
    </w:pPr>
    <w:r w:rsidDel="00000000" w:rsidR="00000000" w:rsidRPr="00000000">
      <w:rPr>
        <w:rFonts w:ascii="Arial" w:cs="Arial" w:eastAsia="Arial" w:hAnsi="Arial"/>
        <w:color w:val="808080"/>
        <w:sz w:val="16"/>
        <w:szCs w:val="16"/>
        <w:rtl w:val="0"/>
      </w:rPr>
      <w:t xml:space="preserve">Confidential — Internal    |    REG-505    |    v1.0    |    Effective 2026-04-15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