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Exception &amp; Waiver Register</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REG-506  •  L6 Register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REG-506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Exception &amp; Waiver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L6 — Register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Monthly (E2/E3), Bi-weekly (E4), On expiry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GRC Manager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POL-009; definitions/exception-classes.md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REG-506 records every approved, expired, renewed and rejected deviation from Protofire policy and standards. It is the evidence trail that demonstrates risk-informed governance rather than uncontrolled non-compliance. Every finding of non-compliance that is not recorded here is treated as an audit non-conformance.</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Scope</w:t>
      </w:r>
      <w:r w:rsidDel="00000000" w:rsidR="00000000" w:rsidRPr="00000000">
        <w:rPr>
          <w:rtl w:val="0"/>
        </w:rPr>
      </w:r>
    </w:p>
    <w:p w:rsidR="00000000" w:rsidDel="00000000" w:rsidP="00000000" w:rsidRDefault="00000000" w:rsidRPr="00000000" w14:paraId="00000025">
      <w:pPr>
        <w:spacing w:after="100" w:lineRule="auto"/>
        <w:jc w:val="both"/>
        <w:rPr/>
      </w:pPr>
      <w:r w:rsidDel="00000000" w:rsidR="00000000" w:rsidRPr="00000000">
        <w:rPr>
          <w:rFonts w:ascii="Arial" w:cs="Arial" w:eastAsia="Arial" w:hAnsi="Arial"/>
          <w:sz w:val="20"/>
          <w:szCs w:val="20"/>
          <w:rtl w:val="0"/>
        </w:rPr>
        <w:t xml:space="preserve">In scope: deviations from any L0–L3 policy, standard, or procedure. Out of scope: unreported incidents (routed via L2-INC-201), and one-off technical defects resolved within the same sprint (recorded in engineering tickets).</w:t>
      </w:r>
      <w:r w:rsidDel="00000000" w:rsidR="00000000" w:rsidRPr="00000000">
        <w:rPr>
          <w:rtl w:val="0"/>
        </w:rPr>
      </w:r>
    </w:p>
    <w:p w:rsidR="00000000" w:rsidDel="00000000" w:rsidP="00000000" w:rsidRDefault="00000000" w:rsidRPr="00000000" w14:paraId="0000002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Exception Classes</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400"/>
        <w:gridCol w:w="2400"/>
        <w:gridCol w:w="2000"/>
        <w:gridCol w:w="2200"/>
        <w:tblGridChange w:id="0">
          <w:tblGrid>
            <w:gridCol w:w="1000"/>
            <w:gridCol w:w="2400"/>
            <w:gridCol w:w="2400"/>
            <w:gridCol w:w="2000"/>
            <w:gridCol w:w="2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sz w:val="18"/>
                <w:szCs w:val="18"/>
                <w:rtl w:val="0"/>
              </w:rPr>
              <w:t xml:space="preserve">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1"/>
                <w:bCs w:val="1"/>
                <w:sz w:val="18"/>
                <w:szCs w:val="18"/>
                <w:rtl w:val="0"/>
              </w:rPr>
              <w:t xml:space="preserve">Severity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1"/>
                <w:bCs w:val="1"/>
                <w:sz w:val="18"/>
                <w:szCs w:val="18"/>
                <w:rtl w:val="0"/>
              </w:rPr>
              <w:t xml:space="preserve">Approval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Max Duration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18"/>
                <w:szCs w:val="18"/>
                <w:rtl w:val="0"/>
              </w:rPr>
              <w:t xml:space="preserve">Review Cadence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0"/>
                <w:bCs w:val="0"/>
                <w:sz w:val="18"/>
                <w:szCs w:val="18"/>
                <w:rtl w:val="0"/>
              </w:rPr>
              <w:t xml:space="preserve">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0"/>
                <w:bCs w:val="0"/>
                <w:sz w:val="18"/>
                <w:szCs w:val="18"/>
                <w:rtl w:val="0"/>
              </w:rPr>
              <w:t xml:space="preserve">Low — cosmetic/process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90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On renewal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Medium — control substitution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Node Owner + 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180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Monthly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High — material risk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Node Owner + CFO + CISO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365 days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Bi-weekly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Critical — Hard-Stop proximity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CEO + Board notification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90 days, non-renewable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Weekly + immediate escalation</w:t>
            </w:r>
            <w:r w:rsidDel="00000000" w:rsidR="00000000" w:rsidRPr="00000000">
              <w:rPr>
                <w:rtl w:val="0"/>
              </w:rPr>
            </w:r>
          </w:p>
        </w:tc>
      </w:tr>
    </w:tbl>
    <w:p w:rsidR="00000000" w:rsidDel="00000000" w:rsidP="00000000" w:rsidRDefault="00000000" w:rsidRPr="00000000" w14:paraId="0000004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Register Schema</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7600"/>
        <w:tblGridChange w:id="0">
          <w:tblGrid>
            <w:gridCol w:w="2400"/>
            <w:gridCol w:w="76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1"/>
                <w:bCs w:val="1"/>
                <w:sz w:val="18"/>
                <w:szCs w:val="18"/>
                <w:rtl w:val="0"/>
              </w:rPr>
              <w:t xml:space="preserve">Field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1"/>
                <w:bCs w:val="1"/>
                <w:sz w:val="18"/>
                <w:szCs w:val="18"/>
                <w:rtl w:val="0"/>
              </w:rPr>
              <w:t xml:space="preserve">Description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Exception_ID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Format EXC-{YYYY}-{NNN}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Exception_Class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E1 / E2 / E3 / E4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Policy_Requirement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Specific Req-ID being deviated from</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Requestor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Named individual + role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Business_Justification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Written justification (min 3 sentences, risk-adjusted)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Compensating_Control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Description + control ID from catalogue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Residual_Risk_Score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Composite score after compensating control applied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Approval_Authority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Per class table above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Approval_Record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Gate-record URI or signed memo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Approval_Date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sz w:val="18"/>
                <w:szCs w:val="18"/>
                <w:rtl w:val="0"/>
              </w:rPr>
              <w:t xml:space="preserve">ISO timestamp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Expiry_Date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sz w:val="18"/>
                <w:szCs w:val="18"/>
                <w:rtl w:val="0"/>
              </w:rPr>
              <w:t xml:space="preserve">Calculated from class duration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sz w:val="18"/>
                <w:szCs w:val="18"/>
                <w:rtl w:val="0"/>
              </w:rPr>
              <w:t xml:space="preserve">Active / Expired / Rejected / Renewed / Withdrawn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0"/>
                <w:bCs w:val="0"/>
                <w:sz w:val="18"/>
                <w:szCs w:val="18"/>
                <w:rtl w:val="0"/>
              </w:rPr>
              <w:t xml:space="preserve">Last_Review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sz w:val="18"/>
                <w:szCs w:val="18"/>
                <w:rtl w:val="0"/>
              </w:rPr>
              <w:t xml:space="preserve">ISO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sz w:val="18"/>
                <w:szCs w:val="18"/>
                <w:rtl w:val="0"/>
              </w:rPr>
              <w:t xml:space="preserve">Next_Review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sz w:val="18"/>
                <w:szCs w:val="18"/>
                <w:rtl w:val="0"/>
              </w:rPr>
              <w:t xml:space="preserve">ISO date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Renewal_History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List of prior renewals with dates + authorities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Notes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Additional context, stakeholder emails</w:t>
            </w:r>
            <w:r w:rsidDel="00000000" w:rsidR="00000000" w:rsidRPr="00000000">
              <w:rPr>
                <w:rtl w:val="0"/>
              </w:rPr>
            </w:r>
          </w:p>
        </w:tc>
      </w:tr>
    </w:tbl>
    <w:p w:rsidR="00000000" w:rsidDel="00000000" w:rsidP="00000000" w:rsidRDefault="00000000" w:rsidRPr="00000000" w14:paraId="0000006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Workflow</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Request — Via exception-intake form with proposed compensating control.</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Triage — GRC Manager classifies E1–E4 based on control impact and residual risk.</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Approve — Authority per class signs. Rejection equally recorded.</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Monitor — Cadence per class; residual re-assessed on change.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Close — Expiry / withdrawal / absorption into updated policy.</w:t>
      </w:r>
    </w:p>
    <w:p w:rsidR="00000000" w:rsidDel="00000000" w:rsidP="00000000" w:rsidRDefault="00000000" w:rsidRPr="00000000" w14:paraId="0000006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6. Escalation Triggers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E3 exception auto-creates a POL-003 risk-register entry with acceptance authority pre-set.</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Two concurrent E3/E4 exceptions on the same control class trigger a POL-010 monitoring review.</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Any E4 exception notifies the Board within 3 business days.</w:t>
      </w:r>
    </w:p>
    <w:p w:rsidR="00000000" w:rsidDel="00000000" w:rsidP="00000000" w:rsidRDefault="00000000" w:rsidRPr="00000000" w14:paraId="0000006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7. Control Mapping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1"/>
                <w:bCs w:val="1"/>
                <w:sz w:val="18"/>
                <w:szCs w:val="18"/>
                <w:rtl w:val="0"/>
              </w:rPr>
              <w:t xml:space="preserve">How REG-506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sz w:val="18"/>
                <w:szCs w:val="18"/>
                <w:rtl w:val="0"/>
              </w:rPr>
              <w:t xml:space="preserve">ISO/IEC 27001:2022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sz w:val="18"/>
                <w:szCs w:val="18"/>
                <w:rtl w:val="0"/>
              </w:rPr>
              <w:t xml:space="preserve">A.5.35 Independent review</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0"/>
                <w:bCs w:val="0"/>
                <w:sz w:val="18"/>
                <w:szCs w:val="18"/>
                <w:rtl w:val="0"/>
              </w:rPr>
              <w:t xml:space="preserve">Documents governed deviation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sz w:val="18"/>
                <w:szCs w:val="18"/>
                <w:rtl w:val="0"/>
              </w:rPr>
              <w:t xml:space="preserve">NIST CSF 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GV.PO-02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Policy exception governance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C02 Risk governance, C05 Acceptance authority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Evidence artefact</w:t>
            </w:r>
            <w:r w:rsidDel="00000000" w:rsidR="00000000" w:rsidRPr="00000000">
              <w:rPr>
                <w:rtl w:val="0"/>
              </w:rPr>
            </w:r>
          </w:p>
        </w:tc>
      </w:tr>
    </w:tbl>
    <w:p w:rsidR="00000000" w:rsidDel="00000000" w:rsidP="00000000" w:rsidRDefault="00000000" w:rsidRPr="00000000" w14:paraId="0000007A">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7B">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7C">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7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7E">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7F">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80">
      <w:pPr>
        <w:spacing w:after="100" w:lineRule="auto"/>
        <w:jc w:val="both"/>
        <w:rPr/>
      </w:pPr>
      <w:r w:rsidDel="00000000" w:rsidR="00000000" w:rsidRPr="00000000">
        <w:rPr>
          <w:rFonts w:ascii="Arial" w:cs="Arial" w:eastAsia="Arial" w:hAnsi="Arial"/>
          <w:sz w:val="20"/>
          <w:szCs w:val="20"/>
          <w:rtl w:val="0"/>
        </w:rPr>
        <w:t xml:space="preserve">This document is reviewed on a per class (weekly–monthly)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81">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5"/>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8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rFonts w:ascii="Arial" w:cs="Arial" w:eastAsia="Arial" w:hAnsi="Arial"/>
        <w:color w:val="808080"/>
        <w:sz w:val="16"/>
        <w:szCs w:val="16"/>
        <w:rtl w:val="0"/>
      </w:rPr>
      <w:t xml:space="preserve">Confidential — Internal    |    REG-506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