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DPIA Register</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REG-510  •  L6 Register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REG-510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DPIA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L6 —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Per engagement + quarterly portfolio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DPO (CISO)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POL-011; CL-409; GDPR Art.35; GL-304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REG-510 is the single register of all DPIA screening results and full DPIA assessments conducted across Protofire engagements and internal processing. It is a statutory artefact under GDPR Art. 35 and demonstrates that privacy-by-design (GL-304) is embedded in the delivery lifecycle.</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engagements at any tier processing EU personal data, plus all internal processing activities identified in REG-505 that meet a DPIA trigger condition. Screening (CL-409) is performed for every engagement regardless of tier.</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Trigger Conditions — reference</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5000"/>
        <w:tblGridChange w:id="0">
          <w:tblGrid>
            <w:gridCol w:w="5000"/>
            <w:gridCol w:w="5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Trigger (CL-409 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Effect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b w:val="0"/>
                <w:bCs w:val="0"/>
                <w:sz w:val="18"/>
                <w:szCs w:val="18"/>
                <w:rtl w:val="0"/>
              </w:rPr>
              <w:t xml:space="preserve">EU personal data processed AND tier ≥ T2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sz w:val="18"/>
                <w:szCs w:val="18"/>
                <w:rtl w:val="0"/>
              </w:rPr>
              <w:t xml:space="preserve">DPIA mandatory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Automated decision-making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DPIA mandatory (Art. 35(3)(a))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Large-scale profiling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DPIA mandatory (Art. 35(3)(b))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Systematic public-area monitoring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DPIA mandatory (Art. 35(3)(c))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Special-category / criminal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DPIA mandatory by policy</w:t>
            </w:r>
            <w:r w:rsidDel="00000000" w:rsidR="00000000" w:rsidRPr="00000000">
              <w:rPr>
                <w:rtl w:val="0"/>
              </w:rPr>
            </w:r>
          </w:p>
        </w:tc>
      </w:tr>
    </w:tbl>
    <w:p w:rsidR="00000000" w:rsidDel="00000000" w:rsidP="00000000" w:rsidRDefault="00000000" w:rsidRPr="00000000" w14:paraId="0000003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Register Schema</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DPIA_ID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Format DPIA-{YYYY}-{NNN}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Engagement_ID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Link to engagement / processing 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Screening_Date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CL-409 completion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Screening_Result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Required / Not Required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DPIA_Status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Not Started / In Progress / Complete / Accepted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Risk_Level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Low / Medium / High / Very 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High_Residual_Escalation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b w:val="0"/>
                <w:bCs w:val="0"/>
                <w:sz w:val="18"/>
                <w:szCs w:val="18"/>
                <w:rtl w:val="0"/>
              </w:rPr>
              <w:t xml:space="preserve">If Very High → Art. 36 prior-consultation flag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Mitigations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Privacy-by-design measures applied (pointer to GL-304 techniques)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DPO_Sign_Off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Date + signature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NO_Co_Sign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Required T3+ — date + signature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Review_Date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Next scheduled review</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Evidence_Links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URIs to DPIA report, consultation records</w:t>
            </w:r>
            <w:r w:rsidDel="00000000" w:rsidR="00000000" w:rsidRPr="00000000">
              <w:rPr>
                <w:rtl w:val="0"/>
              </w:rPr>
            </w:r>
          </w:p>
        </w:tc>
      </w:tr>
    </w:tbl>
    <w:p w:rsidR="00000000" w:rsidDel="00000000" w:rsidP="00000000" w:rsidRDefault="00000000" w:rsidRPr="00000000" w14:paraId="0000004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Process — DPIA Lifecycle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Screening (CL-409) — AM or PM completes at engagement intake (Gate G1-A).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Initiation — If Required, DPO assigns DPIA lead and opens working paper (target: 10 business days).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Assessment — Describe processing → Assess necessity/proportionality → Assess risks → Identify mitigations.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Consultation — Where Very High residual risk, invoke GDPR Art. 36 prior consultation with supervisory authority.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Sign-off — DPO + NO (for T3+); entry finalised in REG-510.</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 At tier change, material scope change, or annually, whichever is sooner.</w:t>
      </w:r>
    </w:p>
    <w:p w:rsidR="00000000" w:rsidDel="00000000" w:rsidP="00000000" w:rsidRDefault="00000000" w:rsidRPr="00000000" w14:paraId="0000005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Control Mapping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1"/>
                <w:bCs w:val="1"/>
                <w:sz w:val="18"/>
                <w:szCs w:val="18"/>
                <w:rtl w:val="0"/>
              </w:rPr>
              <w:t xml:space="preserve">How REG-510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Art. 35, Art. 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Direct statutory record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ISO/IEC 27701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A.7.2.5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PIA process 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A.5.34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Privacy and protection of PII</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C12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Core evidence artefact</w:t>
            </w:r>
            <w:r w:rsidDel="00000000" w:rsidR="00000000" w:rsidRPr="00000000">
              <w:rPr>
                <w:rtl w:val="0"/>
              </w:rPr>
            </w:r>
          </w:p>
        </w:tc>
      </w:tr>
    </w:tbl>
    <w:p w:rsidR="00000000" w:rsidDel="00000000" w:rsidP="00000000" w:rsidRDefault="00000000" w:rsidRPr="00000000" w14:paraId="0000006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66">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67">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68">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69">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6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6B">
      <w:pPr>
        <w:spacing w:after="100" w:lineRule="auto"/>
        <w:jc w:val="both"/>
        <w:rPr/>
      </w:pPr>
      <w:r w:rsidDel="00000000" w:rsidR="00000000" w:rsidRPr="00000000">
        <w:rPr>
          <w:rFonts w:ascii="Arial" w:cs="Arial" w:eastAsia="Arial" w:hAnsi="Arial"/>
          <w:sz w:val="20"/>
          <w:szCs w:val="20"/>
          <w:rtl w:val="0"/>
        </w:rPr>
        <w:t xml:space="preserve">This document is reviewed on a per engagement + quarterly portfolio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6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7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rFonts w:ascii="Arial" w:cs="Arial" w:eastAsia="Arial" w:hAnsi="Arial"/>
        <w:color w:val="808080"/>
        <w:sz w:val="16"/>
        <w:szCs w:val="16"/>
        <w:rtl w:val="0"/>
      </w:rPr>
      <w:t xml:space="preserve">Confidential — Internal    |    REG-510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