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left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REG-513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20" w:lineRule="auto"/>
        <w:jc w:val="left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Node Configuration Register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80"/>
        <w:tblGridChange w:id="0">
          <w:tblGrid>
            <w:gridCol w:w="2000"/>
            <w:gridCol w:w="8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REG-513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1.0-draft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Review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Annually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Node Owner + CISO (jointly)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Draft — awaiting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tl w:val="0"/>
        </w:rPr>
        <w:t xml:space="preserve">The Node Configuration Register (NCR) is the single source of truth for every Protofire Node / SubDAO that holds operational authority over an engagement, a platform, or a treasury pool. It records the named Node Owner, delegation scope, active engagements, signing wallet configuration, and review history. The register is required by GAP-18 (NO + CISO) to satisfy ISO 27001 Annex A.5.2 (roles and responsibilities) and A.5.9 (asset inventory).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2. Scope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  <w:t xml:space="preserve">All Nodes that (a) sign any Gate decision, (b) hold custody of corporate or client keys, or (c) are RACI-001 Accountable for an active engagement must have an NCR entry. Retired nodes are archived, not deleted, with a supersession marker and retention per L1-EVID-004.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3. Entry schema</w:t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  <w:t xml:space="preserve">Each node entry follows the schema below. All fields are mandatory unless marked optional. Changes are tracked with author and timestamp and logged in REG-511.</w:t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880"/>
        <w:tblGridChange w:id="0">
          <w:tblGrid>
            <w:gridCol w:w="2200"/>
            <w:gridCol w:w="7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Node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Short stable identifier, e.g. NODE-DEFI-01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Node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Human-readable SubDAO / Node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Node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Named individual accountable for engagement decisions and Hard Stop 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Deputy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Named backup (SoD: cannot also be PM or TL on same engagement)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Active engagements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Pointers to Project Security Frameworks (PSF) currently 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Risk appetite 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Any node-level tightening of corporate risk appetite (see L0-5)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Delegated authorities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Which gates the NO is pre-authorised to sign (typically G1-A, G2-A, G3-A, G5-A, G6-A, G8-A)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Excluded authorities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Gates requiring escalation regardless of delegation (always G4-A, G7-IRR)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Signing wallet(s)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Multisig address, M-of-N config, co-signer roster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Monitoring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Tenderly / Defender / Grafana dashboards for this node's 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Last review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Per POL-001 review cadence (T2+: quarterly)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Free-text for audit trail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4. Governance rules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engagement in the GRC lifecycle (P1–P12) must reference its governing Node by Node ID at Phase 1.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Node Owner cannot simultaneously hold the TL or DevOps Deployer role on an engagement they own (two-person rule).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change to signing wallet configuration is a C3+ change (POL-005) and requires Gate G4-A sign-off.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cadence by tier follows OPS-001: T1 every 6 months, T2 quarterly, T3 monthly, T4 continuous.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Node Owner departures trigger immediate re-assignment; the HR Joiner/Mover/Leaver workflow (L2-ACCESS-203) must include NCR handover as a checklist item.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5. Seed register</w:t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  <w:t xml:space="preserve">The table below seeds the register with the Nodes implied by the current Security Team and project portfolio. Names and wallet addresses are redacted pending CISO+NO completion.</w:t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800"/>
        <w:gridCol w:w="1200"/>
        <w:gridCol w:w="1200"/>
        <w:gridCol w:w="600"/>
        <w:gridCol w:w="700"/>
        <w:gridCol w:w="1880"/>
        <w:gridCol w:w="1200"/>
        <w:tblGridChange w:id="0">
          <w:tblGrid>
            <w:gridCol w:w="1500"/>
            <w:gridCol w:w="1800"/>
            <w:gridCol w:w="1200"/>
            <w:gridCol w:w="1200"/>
            <w:gridCol w:w="600"/>
            <w:gridCol w:w="700"/>
            <w:gridCol w:w="188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Signing 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NODE-DEFI-01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DeFi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[NO_NAME]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[DEPUTY]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0x… (3-of-5)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2026-03-15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NODE-INFRA-02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[NO_NAME]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[DEPUTY]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0x… (2-of-3)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2026-02-28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NODE-PLATFORM-03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Platform (Track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[NO_NAME]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[DEPUTY]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0x… (3-of-5)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2026-03-20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NODE-CLIENT-04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Client Delivery (Track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[NO_NAME]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[DEPUTY]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N/A (client custody)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2026-03-10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6. Change log</w:t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tl w:val="0"/>
        </w:rPr>
        <w:t xml:space="preserve">Every amendment to the NCR is recorded with: timestamp, author, prior value, new value, reason, and reference to the approving Gate decision. The change log is an audit-grade record per L1-EVID-004 and is exportable to the Evidence Calendar.</w:t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7. Related documents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L0-2 Programme Governance Charter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POL-001 Project Governance Policy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POL-004 Access Control and SoD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L1-KEY-005 Key/Treasury &amp; Signing Ceremonies Standard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RACI-001 Enterprise RACI (NEW)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OPS-001 Project Risk Scoring Framework</w:t>
      </w:r>
    </w:p>
    <w:sectPr>
      <w:headerReference r:id="rId6" w:type="default"/>
      <w:footerReference r:id="rId7" w:type="default"/>
      <w:pgSz w:h="12240" w:w="15840" w:orient="landscape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tabs>
        <w:tab w:val="right" w:leader="none" w:pos="1404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Protofire GRC  •  v1.0-draft  •  2026-04-15Page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tabs>
        <w:tab w:val="right" w:leader="none" w:pos="1404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REG-513  •  Node Configuration RegisterConfidential — Internal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