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L1-INFO-006 Information Security Policy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 Title</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L1-INFO-006 Information Security Policy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 Owner</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Board of Directors / Chief Information Security Officer (CISO)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 Status</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Draft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Effective Date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YYYY-MM-DD (To be determined by the Board)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Cycle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or following any significant organisational or technological change</w:t>
            </w:r>
          </w:p>
        </w:tc>
      </w:tr>
    </w:tbl>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1. Policy Statement and Purpose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Protofire Information Security Policy establishes the organisation's overarching intent, direction, and formal commitment to protecting its information assets, including client data, intellectual property, and proprietary systems. It provides the mandatory framework for establishing, implementing, maintaining, and continually improving the Information Security Management System (ISMS) in alignment with business strategy and risk tolerance.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primary objective is to maintain the Confidentiality, Integrity, and Availability of all information assets within the defined ISMS Scope Statement (</w:t>
      </w:r>
      <w:hyperlink r:id="rId6">
        <w:r w:rsidDel="00000000" w:rsidR="00000000" w:rsidRPr="00000000">
          <w:rPr>
            <w:color w:val="1155cc"/>
            <w:u w:val="single"/>
            <w:rtl w:val="0"/>
          </w:rPr>
          <w:t xml:space="preserve">L0-4</w:t>
        </w:r>
      </w:hyperlink>
      <w:r w:rsidDel="00000000" w:rsidR="00000000" w:rsidRPr="00000000">
        <w:rPr>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2. Scope and Applicability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policy applies to all Protofire employees, contractors, third-party service providers, and any external parties who have access to Protofire's information, information processing facilities, or assets.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scope of the ISMS, which this policy governs, is formally defined in the separate </w:t>
      </w:r>
      <w:r w:rsidDel="00000000" w:rsidR="00000000" w:rsidRPr="00000000">
        <w:rPr>
          <w:b w:val="1"/>
          <w:bCs w:val="1"/>
          <w:rtl w:val="0"/>
        </w:rPr>
        <w:t xml:space="preserve">ISMS Scope Statement</w:t>
      </w:r>
      <w:r w:rsidDel="00000000" w:rsidR="00000000" w:rsidRPr="00000000">
        <w:rPr>
          <w:rtl w:val="0"/>
        </w:rPr>
        <w:t xml:space="preserve"> (L0-4) and includes: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technology and infrastructure supporting core client-facing Web3/DeFi services (e.g., node operations, smart contract development, protocol design).</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internal IT and organisational processes relevant to the delivery and security of these services.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data classified as Personal Data, Sensitive, Confidential, or Internal Use Only.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3. Core Information Security Principles (ISO 27001 Alignment)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subsequent standards and procedures must be designed to uphold the following principles: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Principle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ISMS Reference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Confidentiality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Ensuring that information is not made available or disclosed to unauthorised individuals, entities, or processes. This includes protecting client </w:t>
            </w:r>
            <w:r w:rsidDel="00000000" w:rsidR="00000000" w:rsidRPr="00000000">
              <w:rPr>
                <w:b w:val="1"/>
                <w:bCs w:val="1"/>
                <w:rtl w:val="0"/>
              </w:rPr>
              <w:t xml:space="preserve">Admin &amp; Control Matrices</w:t>
            </w:r>
            <w:r w:rsidDel="00000000" w:rsidR="00000000" w:rsidRPr="00000000">
              <w:rPr>
                <w:rtl w:val="0"/>
              </w:rPr>
              <w:t xml:space="preserve"> and </w:t>
            </w:r>
            <w:r w:rsidDel="00000000" w:rsidR="00000000" w:rsidRPr="00000000">
              <w:rPr>
                <w:b w:val="1"/>
                <w:bCs w:val="1"/>
                <w:rtl w:val="0"/>
              </w:rPr>
              <w:t xml:space="preserve">Treasury Keys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ISO/IEC 27001:2022, Clause 6.1.3.c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Integrity</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Ensuring the accuracy, completeness, and validity of information and processing methods. This is paramount in all </w:t>
            </w:r>
            <w:r w:rsidDel="00000000" w:rsidR="00000000" w:rsidRPr="00000000">
              <w:rPr>
                <w:b w:val="1"/>
                <w:bCs w:val="1"/>
                <w:rtl w:val="0"/>
              </w:rPr>
              <w:t xml:space="preserve">Smart Contract</w:t>
            </w:r>
            <w:r w:rsidDel="00000000" w:rsidR="00000000" w:rsidRPr="00000000">
              <w:rPr>
                <w:rtl w:val="0"/>
              </w:rPr>
              <w:t xml:space="preserve"> and </w:t>
            </w:r>
            <w:r w:rsidDel="00000000" w:rsidR="00000000" w:rsidRPr="00000000">
              <w:rPr>
                <w:b w:val="1"/>
                <w:bCs w:val="1"/>
                <w:rtl w:val="0"/>
              </w:rPr>
              <w:t xml:space="preserve">Protocol Design</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ISO/IEC 27001:2022, Clause 6.1.3.c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Availability</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Ensuring that authorised users have access to information and associated assets when required. This includes maintaining the </w:t>
            </w:r>
            <w:r w:rsidDel="00000000" w:rsidR="00000000" w:rsidRPr="00000000">
              <w:rPr>
                <w:b w:val="1"/>
                <w:bCs w:val="1"/>
                <w:rtl w:val="0"/>
              </w:rPr>
              <w:t xml:space="preserve">Digital Operational Resilience</w:t>
            </w:r>
            <w:r w:rsidDel="00000000" w:rsidR="00000000" w:rsidRPr="00000000">
              <w:rPr>
                <w:rtl w:val="0"/>
              </w:rPr>
              <w:t xml:space="preserve"> of services.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ISO/IEC 27001:2022, Clause 6.1.3.c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Legal &amp; Regulatory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Adherence to all statutory, regulatory, contractual, and industry requirements, particularly those impacting the Web3/DeFi sector. This includes </w:t>
            </w:r>
            <w:r w:rsidDel="00000000" w:rsidR="00000000" w:rsidRPr="00000000">
              <w:rPr>
                <w:b w:val="1"/>
                <w:bCs w:val="1"/>
                <w:rtl w:val="0"/>
              </w:rPr>
              <w:t xml:space="preserve">FATF Travel Rule Supervision</w:t>
            </w:r>
            <w:r w:rsidDel="00000000" w:rsidR="00000000" w:rsidRPr="00000000">
              <w:rPr>
                <w:rtl w:val="0"/>
              </w:rPr>
              <w:t xml:space="preserve"> and </w:t>
            </w:r>
            <w:r w:rsidDel="00000000" w:rsidR="00000000" w:rsidRPr="00000000">
              <w:rPr>
                <w:b w:val="1"/>
                <w:bCs w:val="1"/>
                <w:rtl w:val="0"/>
              </w:rPr>
              <w:t xml:space="preserve">EU regulations</w:t>
            </w:r>
            <w:r w:rsidDel="00000000" w:rsidR="00000000" w:rsidRPr="00000000">
              <w:rPr>
                <w:rtl w:val="0"/>
              </w:rPr>
              <w:t xml:space="preserve"> (DORA, MiCA, Cyber Resilience Act).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ISO/IEC 27001:2022, Clause 5.2, 5.3, 8.2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Risk-Based Approach</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controls must be implemented based on the prioritisation of identified risks as determined by the Enterprise Risk Management (ERM) process [cite: 0.1]. Decision-making must adhere to the formal </w:t>
            </w:r>
            <w:r w:rsidDel="00000000" w:rsidR="00000000" w:rsidRPr="00000000">
              <w:rPr>
                <w:b w:val="1"/>
                <w:bCs w:val="1"/>
                <w:rtl w:val="0"/>
              </w:rPr>
              <w:t xml:space="preserve">Risk Appetite Statement</w:t>
            </w:r>
            <w:r w:rsidDel="00000000" w:rsidR="00000000" w:rsidRPr="00000000">
              <w:rPr>
                <w:rtl w:val="0"/>
              </w:rPr>
              <w:t xml:space="preserve"> (</w:t>
            </w:r>
            <w:hyperlink r:id="rId7">
              <w:r w:rsidDel="00000000" w:rsidR="00000000" w:rsidRPr="00000000">
                <w:rPr>
                  <w:color w:val="1155cc"/>
                  <w:u w:val="single"/>
                  <w:rtl w:val="0"/>
                </w:rPr>
                <w:t xml:space="preserve">L0-5</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ISO/IEC 27001:2022, Clause 6.1.2</w:t>
            </w:r>
          </w:p>
        </w:tc>
      </w:tr>
    </w:tbl>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4. Governance and Management Commitment (ISO 27001: Clause 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4.1 Leadership and Commitment</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Board of Directors and Executive Management must demonstrate commitment to the ISMS by approving the </w:t>
      </w:r>
      <w:r w:rsidDel="00000000" w:rsidR="00000000" w:rsidRPr="00000000">
        <w:rPr>
          <w:b w:val="1"/>
          <w:bCs w:val="1"/>
          <w:rtl w:val="0"/>
        </w:rPr>
        <w:t xml:space="preserve">Information Security Policy</w:t>
      </w:r>
      <w:r w:rsidDel="00000000" w:rsidR="00000000" w:rsidRPr="00000000">
        <w:rPr>
          <w:rtl w:val="0"/>
        </w:rPr>
        <w:t xml:space="preserve">.</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Resources, including budget and skilled personnel, will be allocated to manage the ISMS and address risks.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bCs w:val="1"/>
        </w:rPr>
      </w:pPr>
      <w:r w:rsidDel="00000000" w:rsidR="00000000" w:rsidRPr="00000000">
        <w:rPr>
          <w:b w:val="1"/>
          <w:bCs w:val="1"/>
          <w:rtl w:val="0"/>
        </w:rPr>
        <w:t xml:space="preserve">4.2 Roles, Responsibilities, and Authorities</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CISO</w:t>
      </w:r>
      <w:r w:rsidDel="00000000" w:rsidR="00000000" w:rsidRPr="00000000">
        <w:rPr>
          <w:rtl w:val="0"/>
        </w:rPr>
        <w:t xml:space="preserve"> is responsible for developing, maintaining, and overseeing the ISMS and ensuring controls are implemented and reviewed.</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Specific roles (e.g., Node Owners, Delivery Manager, Account Manager) are assigned responsibility for implementing controls via </w:t>
      </w:r>
      <w:r w:rsidDel="00000000" w:rsidR="00000000" w:rsidRPr="00000000">
        <w:rPr>
          <w:b w:val="1"/>
          <w:bCs w:val="1"/>
          <w:rtl w:val="0"/>
        </w:rPr>
        <w:t xml:space="preserve">L2 Procedures</w:t>
      </w:r>
      <w:r w:rsidDel="00000000" w:rsidR="00000000" w:rsidRPr="00000000">
        <w:rPr>
          <w:rtl w:val="0"/>
        </w:rPr>
        <w:t xml:space="preserve">.</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personnel must participate in the </w:t>
      </w:r>
      <w:r w:rsidDel="00000000" w:rsidR="00000000" w:rsidRPr="00000000">
        <w:rPr>
          <w:b w:val="1"/>
          <w:bCs w:val="1"/>
          <w:rtl w:val="0"/>
        </w:rPr>
        <w:t xml:space="preserve">Security Awareness curriculum</w:t>
      </w:r>
      <w:r w:rsidDel="00000000" w:rsidR="00000000" w:rsidRPr="00000000">
        <w:rPr>
          <w:rtl w:val="0"/>
        </w:rPr>
        <w:t xml:space="preserve"> and adhere to all security policies and procedures.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255" w:lineRule="auto"/>
        <w:rPr>
          <w:b w:val="1"/>
          <w:bCs w:val="1"/>
          <w:i w:val="0"/>
          <w:iCs w:val="0"/>
          <w:sz w:val="28"/>
          <w:szCs w:val="28"/>
        </w:rPr>
      </w:pPr>
      <w:r w:rsidDel="00000000" w:rsidR="00000000" w:rsidRPr="00000000">
        <w:rPr>
          <w:b w:val="1"/>
          <w:bCs w:val="1"/>
          <w:i w:val="0"/>
          <w:iCs w:val="0"/>
          <w:sz w:val="28"/>
          <w:szCs w:val="28"/>
          <w:rtl w:val="0"/>
        </w:rPr>
        <w:t xml:space="preserve">5. Top-Level Security Domain Policies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following high-level policy statements mandate the existence of supporting standards (Tier 1) and operational procedures (Tier 2).</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5.1 Secure Software Development (Ref: </w:t>
      </w:r>
      <w:hyperlink r:id="rId8">
        <w:r w:rsidDel="00000000" w:rsidR="00000000" w:rsidRPr="00000000">
          <w:rPr>
            <w:b w:val="1"/>
            <w:bCs w:val="1"/>
            <w:i w:val="0"/>
            <w:iCs w:val="0"/>
            <w:color w:val="1155cc"/>
            <w:sz w:val="24"/>
            <w:szCs w:val="24"/>
            <w:u w:val="single"/>
            <w:rtl w:val="0"/>
          </w:rPr>
          <w:t xml:space="preserve">L1-SDLC-003</w:t>
        </w:r>
      </w:hyperlink>
      <w:r w:rsidDel="00000000" w:rsidR="00000000" w:rsidRPr="00000000">
        <w:rPr>
          <w:b w:val="1"/>
          <w:bCs w:val="1"/>
          <w:i w:val="0"/>
          <w:iCs w:val="0"/>
          <w:sz w:val="24"/>
          <w:szCs w:val="24"/>
          <w:rtl w:val="0"/>
        </w:rPr>
        <w:t xml:space="preserve">)</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software development, particularly for smart contracts and core infrastructure, must follow the </w:t>
      </w:r>
      <w:hyperlink r:id="rId9">
        <w:r w:rsidDel="00000000" w:rsidR="00000000" w:rsidRPr="00000000">
          <w:rPr>
            <w:b w:val="1"/>
            <w:bCs w:val="1"/>
            <w:color w:val="1155cc"/>
            <w:u w:val="single"/>
            <w:rtl w:val="0"/>
          </w:rPr>
          <w:t xml:space="preserve">Secure Delivery Baseline</w:t>
        </w:r>
      </w:hyperlink>
      <w:r w:rsidDel="00000000" w:rsidR="00000000" w:rsidRPr="00000000">
        <w:rPr>
          <w:rtl w:val="0"/>
        </w:rPr>
        <w:t xml:space="preserve">.</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Development will integrate secure coding principles, including reentrancy protections, safe math, and access control.</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4-domain Threat Model</w:t>
      </w:r>
      <w:r w:rsidDel="00000000" w:rsidR="00000000" w:rsidRPr="00000000">
        <w:rPr>
          <w:rtl w:val="0"/>
        </w:rPr>
        <w:t xml:space="preserve"> must be created and reviewed for all new projects.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5.2 Key and Asset Management (Ref: </w:t>
      </w:r>
      <w:hyperlink r:id="rId10">
        <w:r w:rsidDel="00000000" w:rsidR="00000000" w:rsidRPr="00000000">
          <w:rPr>
            <w:b w:val="1"/>
            <w:bCs w:val="1"/>
            <w:i w:val="0"/>
            <w:iCs w:val="0"/>
            <w:color w:val="1155cc"/>
            <w:sz w:val="24"/>
            <w:szCs w:val="24"/>
            <w:u w:val="single"/>
            <w:rtl w:val="0"/>
          </w:rPr>
          <w:t xml:space="preserve">L1-KEY-005</w:t>
        </w:r>
      </w:hyperlink>
      <w:r w:rsidDel="00000000" w:rsidR="00000000" w:rsidRPr="00000000">
        <w:rPr>
          <w:b w:val="1"/>
          <w:bCs w:val="1"/>
          <w:i w:val="0"/>
          <w:iCs w:val="0"/>
          <w:sz w:val="24"/>
          <w:szCs w:val="24"/>
          <w:rtl w:val="0"/>
        </w:rPr>
        <w:t xml:space="preserve">, </w:t>
      </w:r>
      <w:r w:rsidDel="00000000" w:rsidR="00000000" w:rsidRPr="00000000">
        <w:rPr>
          <w:b w:val="1"/>
          <w:bCs w:val="1"/>
          <w:i w:val="0"/>
          <w:iCs w:val="0"/>
          <w:sz w:val="24"/>
          <w:szCs w:val="24"/>
          <w:highlight w:val="yellow"/>
          <w:rtl w:val="0"/>
        </w:rPr>
        <w:t xml:space="preserve">L0-1</w:t>
      </w:r>
      <w:r w:rsidDel="00000000" w:rsidR="00000000" w:rsidRPr="00000000">
        <w:rPr>
          <w:b w:val="1"/>
          <w:bCs w:val="1"/>
          <w:i w:val="0"/>
          <w:iCs w:val="0"/>
          <w:sz w:val="24"/>
          <w:szCs w:val="24"/>
          <w:rtl w:val="0"/>
        </w:rPr>
        <w:t xml:space="preserve">)</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comprehensive inventory of all enterprise and software assets, including nodes, RPCs, and indexers, must be maintained.</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Cryptographic keys</w:t>
      </w:r>
      <w:r w:rsidDel="00000000" w:rsidR="00000000" w:rsidRPr="00000000">
        <w:rPr>
          <w:rtl w:val="0"/>
        </w:rPr>
        <w:t xml:space="preserve">, especially those related to treasury/custody, must be managed under a formal </w:t>
      </w:r>
      <w:hyperlink r:id="rId11">
        <w:r w:rsidDel="00000000" w:rsidR="00000000" w:rsidRPr="00000000">
          <w:rPr>
            <w:b w:val="1"/>
            <w:bCs w:val="1"/>
            <w:color w:val="1155cc"/>
            <w:u w:val="single"/>
            <w:rtl w:val="0"/>
          </w:rPr>
          <w:t xml:space="preserve">Key/Treasury &amp; Signing Ceremonies Standard</w:t>
        </w:r>
      </w:hyperlink>
      <w:r w:rsidDel="00000000" w:rsidR="00000000" w:rsidRPr="00000000">
        <w:rPr>
          <w:rtl w:val="0"/>
        </w:rPr>
        <w:t xml:space="preserve">.</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Multi-signature (Multisig) and Timelock mechanisms are mandated as the baseline for all critical control functions.</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5.3 Access Control (Ref: </w:t>
      </w:r>
      <w:hyperlink r:id="rId12">
        <w:r w:rsidDel="00000000" w:rsidR="00000000" w:rsidRPr="00000000">
          <w:rPr>
            <w:b w:val="1"/>
            <w:bCs w:val="1"/>
            <w:i w:val="0"/>
            <w:iCs w:val="0"/>
            <w:color w:val="1155cc"/>
            <w:sz w:val="24"/>
            <w:szCs w:val="24"/>
            <w:u w:val="single"/>
            <w:rtl w:val="0"/>
          </w:rPr>
          <w:t xml:space="preserve">L1-HR-010</w:t>
        </w:r>
      </w:hyperlink>
      <w:r w:rsidDel="00000000" w:rsidR="00000000" w:rsidRPr="00000000">
        <w:rPr>
          <w:b w:val="1"/>
          <w:bCs w:val="1"/>
          <w:i w:val="0"/>
          <w:iCs w:val="0"/>
          <w:sz w:val="24"/>
          <w:szCs w:val="24"/>
          <w:rtl w:val="0"/>
        </w:rPr>
        <w:t xml:space="preserve">)</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Access to information systems and assets must be strictly controlled based on the </w:t>
      </w:r>
      <w:r w:rsidDel="00000000" w:rsidR="00000000" w:rsidRPr="00000000">
        <w:rPr>
          <w:b w:val="1"/>
          <w:bCs w:val="1"/>
          <w:rtl w:val="0"/>
        </w:rPr>
        <w:t xml:space="preserve">principle of least privilege</w:t>
      </w:r>
      <w:r w:rsidDel="00000000" w:rsidR="00000000" w:rsidRPr="00000000">
        <w:rPr>
          <w:rtl w:val="0"/>
        </w:rPr>
        <w:t xml:space="preserve">.</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formal </w:t>
      </w:r>
      <w:r w:rsidDel="00000000" w:rsidR="00000000" w:rsidRPr="00000000">
        <w:rPr>
          <w:b w:val="1"/>
          <w:bCs w:val="1"/>
          <w:rtl w:val="0"/>
        </w:rPr>
        <w:t xml:space="preserve">Joiner, Mover, and Leaver (JML) Procedure</w:t>
      </w:r>
      <w:r w:rsidDel="00000000" w:rsidR="00000000" w:rsidRPr="00000000">
        <w:rPr>
          <w:rtl w:val="0"/>
        </w:rPr>
        <w:t xml:space="preserve"> (</w:t>
      </w:r>
      <w:hyperlink r:id="rId13">
        <w:r w:rsidDel="00000000" w:rsidR="00000000" w:rsidRPr="00000000">
          <w:rPr>
            <w:color w:val="1155cc"/>
            <w:u w:val="single"/>
            <w:rtl w:val="0"/>
          </w:rPr>
          <w:t xml:space="preserve">L2-ACCESS-203</w:t>
        </w:r>
      </w:hyperlink>
      <w:r w:rsidDel="00000000" w:rsidR="00000000" w:rsidRPr="00000000">
        <w:rPr>
          <w:rtl w:val="0"/>
        </w:rPr>
        <w:t xml:space="preserve">) must be in place to ensure access is provisioned, reviewed (quarterly), and revoked in a timely manner upon termination.</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Multi-factor authentication (MFA) is mandatory for all access to build pipeline systems and critical infrastructure.</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5.4 Incident Response and Business Continuity (Ref: </w:t>
      </w:r>
      <w:hyperlink r:id="rId14">
        <w:r w:rsidDel="00000000" w:rsidR="00000000" w:rsidRPr="00000000">
          <w:rPr>
            <w:b w:val="1"/>
            <w:bCs w:val="1"/>
            <w:i w:val="0"/>
            <w:iCs w:val="0"/>
            <w:color w:val="1155cc"/>
            <w:sz w:val="24"/>
            <w:szCs w:val="24"/>
            <w:u w:val="single"/>
            <w:rtl w:val="0"/>
          </w:rPr>
          <w:t xml:space="preserve">L2-INC-201</w:t>
        </w:r>
      </w:hyperlink>
      <w:r w:rsidDel="00000000" w:rsidR="00000000" w:rsidRPr="00000000">
        <w:rPr>
          <w:b w:val="1"/>
          <w:bCs w:val="1"/>
          <w:i w:val="0"/>
          <w:iCs w:val="0"/>
          <w:sz w:val="24"/>
          <w:szCs w:val="24"/>
          <w:rtl w:val="0"/>
        </w:rPr>
        <w:t xml:space="preserve">, </w:t>
      </w:r>
      <w:hyperlink r:id="rId15">
        <w:r w:rsidDel="00000000" w:rsidR="00000000" w:rsidRPr="00000000">
          <w:rPr>
            <w:b w:val="1"/>
            <w:bCs w:val="1"/>
            <w:i w:val="0"/>
            <w:iCs w:val="0"/>
            <w:color w:val="1155cc"/>
            <w:sz w:val="24"/>
            <w:szCs w:val="24"/>
            <w:u w:val="single"/>
            <w:rtl w:val="0"/>
          </w:rPr>
          <w:t xml:space="preserve">L1-BC-008</w:t>
        </w:r>
      </w:hyperlink>
      <w:r w:rsidDel="00000000" w:rsidR="00000000" w:rsidRPr="00000000">
        <w:rPr>
          <w:b w:val="1"/>
          <w:bCs w:val="1"/>
          <w:i w:val="0"/>
          <w:iCs w:val="0"/>
          <w:sz w:val="24"/>
          <w:szCs w:val="24"/>
          <w:rtl w:val="0"/>
        </w:rPr>
        <w:t xml:space="preserve">)</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w:t>
      </w:r>
      <w:r w:rsidDel="00000000" w:rsidR="00000000" w:rsidRPr="00000000">
        <w:rPr>
          <w:b w:val="1"/>
          <w:bCs w:val="1"/>
          <w:rtl w:val="0"/>
        </w:rPr>
        <w:t xml:space="preserve">Org-Level Incident Response Procedure</w:t>
      </w:r>
      <w:r w:rsidDel="00000000" w:rsidR="00000000" w:rsidRPr="00000000">
        <w:rPr>
          <w:rtl w:val="0"/>
        </w:rPr>
        <w:t xml:space="preserve"> must be maintained to cover all types of incidents, including smart contract exploitation (DeFi Hacks), corporate key compromise, and reputational crises.</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Incidents involving </w:t>
      </w:r>
      <w:r w:rsidDel="00000000" w:rsidR="00000000" w:rsidRPr="00000000">
        <w:rPr>
          <w:b w:val="1"/>
          <w:bCs w:val="1"/>
          <w:rtl w:val="0"/>
        </w:rPr>
        <w:t xml:space="preserve">Personal Data</w:t>
      </w:r>
      <w:r w:rsidDel="00000000" w:rsidR="00000000" w:rsidRPr="00000000">
        <w:rPr>
          <w:rtl w:val="0"/>
        </w:rPr>
        <w:t xml:space="preserve"> will trigger a </w:t>
      </w:r>
      <w:r w:rsidDel="00000000" w:rsidR="00000000" w:rsidRPr="00000000">
        <w:rPr>
          <w:b w:val="1"/>
          <w:bCs w:val="1"/>
          <w:rtl w:val="0"/>
        </w:rPr>
        <w:t xml:space="preserve">Data Breach Notification Procedure</w:t>
      </w:r>
      <w:r w:rsidDel="00000000" w:rsidR="00000000" w:rsidRPr="00000000">
        <w:rPr>
          <w:rtl w:val="0"/>
        </w:rPr>
        <w:t xml:space="preserve"> to ensure compliance with GDPR’s 72-hour reporting requirement.</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Business Continuity Standard</w:t>
      </w:r>
      <w:r w:rsidDel="00000000" w:rsidR="00000000" w:rsidRPr="00000000">
        <w:rPr>
          <w:rtl w:val="0"/>
        </w:rPr>
        <w:t xml:space="preserve"> must define RTO/RPO targets and a formal recovery procedure to ensure the continued provision of financial services during disruptions, in line with </w:t>
      </w:r>
      <w:r w:rsidDel="00000000" w:rsidR="00000000" w:rsidRPr="00000000">
        <w:rPr>
          <w:b w:val="1"/>
          <w:bCs w:val="1"/>
          <w:rtl w:val="0"/>
        </w:rPr>
        <w:t xml:space="preserve">DORA</w:t>
      </w:r>
      <w:r w:rsidDel="00000000" w:rsidR="00000000" w:rsidRPr="00000000">
        <w:rPr>
          <w:rtl w:val="0"/>
        </w:rPr>
        <w:t xml:space="preserve"> requirements.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b w:val="1"/>
          <w:bCs w:val="1"/>
          <w:i w:val="0"/>
          <w:iCs w:val="0"/>
          <w:sz w:val="24"/>
          <w:szCs w:val="24"/>
        </w:rPr>
      </w:pPr>
      <w:r w:rsidDel="00000000" w:rsidR="00000000" w:rsidRPr="00000000">
        <w:rPr>
          <w:b w:val="1"/>
          <w:bCs w:val="1"/>
          <w:i w:val="0"/>
          <w:iCs w:val="0"/>
          <w:sz w:val="24"/>
          <w:szCs w:val="24"/>
          <w:rtl w:val="0"/>
        </w:rPr>
        <w:t xml:space="preserve">5.5 Vendor and Third-Party Risk Management (Ref: </w:t>
      </w:r>
      <w:r w:rsidDel="00000000" w:rsidR="00000000" w:rsidRPr="00000000">
        <w:rPr>
          <w:b w:val="1"/>
          <w:bCs w:val="1"/>
          <w:i w:val="0"/>
          <w:iCs w:val="0"/>
          <w:sz w:val="24"/>
          <w:szCs w:val="24"/>
          <w:highlight w:val="yellow"/>
          <w:rtl w:val="0"/>
        </w:rPr>
        <w:t xml:space="preserve">L2-VENDOR-206</w:t>
      </w:r>
      <w:r w:rsidDel="00000000" w:rsidR="00000000" w:rsidRPr="00000000">
        <w:rPr>
          <w:b w:val="1"/>
          <w:bCs w:val="1"/>
          <w:i w:val="0"/>
          <w:iCs w:val="0"/>
          <w:sz w:val="24"/>
          <w:szCs w:val="24"/>
          <w:rtl w:val="0"/>
        </w:rPr>
        <w:t xml:space="preserve">)</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 vendors and service providers, particularly ICT third-party service providers, must be formally assessed before engagement.</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w:t>
      </w:r>
      <w:r w:rsidDel="00000000" w:rsidR="00000000" w:rsidRPr="00000000">
        <w:rPr>
          <w:b w:val="1"/>
          <w:bCs w:val="1"/>
          <w:rtl w:val="0"/>
        </w:rPr>
        <w:t xml:space="preserve">Vendor Risk Management Procedure</w:t>
      </w:r>
      <w:r w:rsidDel="00000000" w:rsidR="00000000" w:rsidRPr="00000000">
        <w:rPr>
          <w:rtl w:val="0"/>
        </w:rPr>
        <w:t xml:space="preserve"> is required to define due diligence, contract requirements (including a </w:t>
      </w:r>
      <w:r w:rsidDel="00000000" w:rsidR="00000000" w:rsidRPr="00000000">
        <w:rPr>
          <w:b w:val="1"/>
          <w:bCs w:val="1"/>
          <w:rtl w:val="0"/>
        </w:rPr>
        <w:t xml:space="preserve">DPA Template</w:t>
      </w:r>
      <w:r w:rsidDel="00000000" w:rsidR="00000000" w:rsidRPr="00000000">
        <w:rPr>
          <w:rtl w:val="0"/>
        </w:rPr>
        <w:t xml:space="preserve">), and continuous monitoring.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2RhRQ_5exoR2KEx8YRuAL8vhMFt8wjuMpBqPWhBh304/edit" TargetMode="External"/><Relationship Id="rId10" Type="http://schemas.openxmlformats.org/officeDocument/2006/relationships/hyperlink" Target="https://docs.google.com/document/u/0/d/12RhRQ_5exoR2KEx8YRuAL8vhMFt8wjuMpBqPWhBh304/edit" TargetMode="External"/><Relationship Id="rId13" Type="http://schemas.openxmlformats.org/officeDocument/2006/relationships/hyperlink" Target="https://docs.google.com/document/u/0/d/1vXRevB0LMDfz7nJW3v0_g2PAzHQPE_NpmpYcm8Zxn_o/edit" TargetMode="External"/><Relationship Id="rId12" Type="http://schemas.openxmlformats.org/officeDocument/2006/relationships/hyperlink" Target="https://docs.google.com/document/u/0/d/1J4v2YsgUrgqdN9v_VBU6iVuEMcjGSvkYNiGp39-HlhA/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1Ik_xJckVDb6vNA7M3YB7Dbt44h4V7vC7zPCuJ7NNvw/edit" TargetMode="External"/><Relationship Id="rId15" Type="http://schemas.openxmlformats.org/officeDocument/2006/relationships/hyperlink" Target="https://docs.google.com/document/u/0/d/1NkgnNwGil3Zkz9g73pPcxKmZ_vA2tOiqcro6bQdTAps/edit" TargetMode="External"/><Relationship Id="rId14" Type="http://schemas.openxmlformats.org/officeDocument/2006/relationships/hyperlink" Target="https://docs.google.com/document/u/0/d/1EyuBS9Hdd6FMT1ojp0-rWuUjO6sZl9TAw9yswwIrkag/edit" TargetMode="External"/><Relationship Id="rId5" Type="http://schemas.openxmlformats.org/officeDocument/2006/relationships/styles" Target="styles.xml"/><Relationship Id="rId6" Type="http://schemas.openxmlformats.org/officeDocument/2006/relationships/hyperlink" Target="https://docs.google.com/document/u/0/d/1YHmKXKXbf2tIQ1DTr6yM99y00Epz1VBNHhsjn0Otdek/edit" TargetMode="External"/><Relationship Id="rId7" Type="http://schemas.openxmlformats.org/officeDocument/2006/relationships/hyperlink" Target="https://docs.google.com/document/u/0/d/1OwUY0Gh7We_JJBTyiva-B8ddZZ5o43G0pSZAhU0sc6M/edit" TargetMode="External"/><Relationship Id="rId8" Type="http://schemas.openxmlformats.org/officeDocument/2006/relationships/hyperlink" Target="https://docs.google.com/document/u/0/d/11Ik_xJckVDb6vNA7M3YB7Dbt44h4V7vC7zPCuJ7NNv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