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6tqi82syuyn" w:id="0"/>
      <w:bookmarkEnd w:id="0"/>
      <w:r w:rsidDel="00000000" w:rsidR="00000000" w:rsidRPr="00000000">
        <w:rPr>
          <w:rtl w:val="0"/>
        </w:rPr>
        <w:t xml:space="preserve">POL-011 — Data Protection &amp; Privacy Policy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b w:val="1"/>
                <w:bCs w:val="1"/>
                <w:rtl w:val="0"/>
              </w:rPr>
              <w:t xml:space="preserve">Document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POL-011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pPr>
            <w:r w:rsidDel="00000000" w:rsidR="00000000" w:rsidRPr="00000000">
              <w:rPr>
                <w:b w:val="1"/>
                <w:bCs w:val="1"/>
                <w:rtl w:val="0"/>
              </w:rPr>
              <w:t xml:space="preserve">Document 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Data Protection &amp; Privacy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b w:val="1"/>
                <w:bCs w:val="1"/>
                <w:rtl w:val="0"/>
              </w:rPr>
              <w:t xml:space="preserve">Document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Policy (L1)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Draft — pending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Effective 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Upon approval — [DD Month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Review Cycle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Annual (or upon material change to GDPR, DORA, or applicable privacy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CISO (DPO function) — Aleksey Lekontsev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Approver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Director of Engineering + Node Owners Council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Classification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Confidential — Internal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Concordance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Replaces P-003 (GRC-MASTER-001 v1.0) per GRC-CONC-001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References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GRC-PF-001; GRC-MASTER-001 v1.1; L0-1 GRC Charter §4 (DPO role), §9 OBJ-07; POL-001; POL-002; POL-004; POL-008; S-109 (Data Classification); L1-EVID-004; GDPR; DORA Art.5; ISO/IEC 27001:2022 A.5.34; NIST CSF 2.0 PR.DS; SOC 2 CC6.1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Subordinate Documents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PR-208 Data Breach Notification Procedure; PR-209 Data Subject Rights Procedure; GL-304 Privacy by Design Guideline; CL-409 DPIA Screening Checklist; REG-505 ROPA; REG-510 DPIA Register</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7jt4ta59s2qe" w:id="1"/>
      <w:bookmarkEnd w:id="1"/>
      <w:r w:rsidDel="00000000" w:rsidR="00000000" w:rsidRPr="00000000">
        <w:rPr>
          <w:rtl w:val="0"/>
        </w:rPr>
        <w:t xml:space="preserve">1. Purpose</w:t>
      </w:r>
    </w:p>
    <w:p w:rsidR="00000000" w:rsidDel="00000000" w:rsidP="00000000" w:rsidRDefault="00000000" w:rsidRPr="00000000" w14:paraId="0000001F">
      <w:pPr>
        <w:rPr/>
      </w:pPr>
      <w:r w:rsidDel="00000000" w:rsidR="00000000" w:rsidRPr="00000000">
        <w:rPr>
          <w:rtl w:val="0"/>
        </w:rPr>
        <w:t xml:space="preserve">This Policy establishes Protofire's obligations, controls, and governance structure for the protection of personal data across all corporate operations, client delivery engagements, and Web3/DeFi platform interactions. It gives effect to GDPR Article 24 (controller accountability), designates the Data Protection Officer (DPO) function, and provides the governing mandate for all subordinate privacy procedures, registers, and guidelines.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is a mandatory L1 policy under the Protofire GRC framework. Non-compliance constitutes a Class E3 exception under POL-009.</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b987vk1j1x6p" w:id="2"/>
      <w:bookmarkEnd w:id="2"/>
      <w:r w:rsidDel="00000000" w:rsidR="00000000" w:rsidRPr="00000000">
        <w:rPr>
          <w:rtl w:val="0"/>
        </w:rPr>
        <w:t xml:space="preserve">2. Scope</w:t>
      </w:r>
    </w:p>
    <w:p w:rsidR="00000000" w:rsidDel="00000000" w:rsidP="00000000" w:rsidRDefault="00000000" w:rsidRPr="00000000" w14:paraId="00000025">
      <w:pPr>
        <w:pStyle w:val="Heading3"/>
        <w:rPr/>
      </w:pPr>
      <w:bookmarkStart w:colFirst="0" w:colLast="0" w:name="_d7rc2mmhe4ge" w:id="3"/>
      <w:bookmarkEnd w:id="3"/>
      <w:r w:rsidDel="00000000" w:rsidR="00000000" w:rsidRPr="00000000">
        <w:rPr>
          <w:rtl w:val="0"/>
        </w:rPr>
        <w:t xml:space="preserve">2.1 Organisational scope</w:t>
      </w:r>
    </w:p>
    <w:p w:rsidR="00000000" w:rsidDel="00000000" w:rsidP="00000000" w:rsidRDefault="00000000" w:rsidRPr="00000000" w14:paraId="00000026">
      <w:pPr>
        <w:rPr/>
      </w:pPr>
      <w:r w:rsidDel="00000000" w:rsidR="00000000" w:rsidRPr="00000000">
        <w:rPr>
          <w:rtl w:val="0"/>
        </w:rPr>
        <w:t xml:space="preserve">This Policy applies to all Protofire personnel (employees, contractors, consultants), Node Owners, partner resources, and any third party processing personal data on behalf of Protofire or using Protofire-delivered systems.</w:t>
      </w:r>
    </w:p>
    <w:p w:rsidR="00000000" w:rsidDel="00000000" w:rsidP="00000000" w:rsidRDefault="00000000" w:rsidRPr="00000000" w14:paraId="00000027">
      <w:pPr>
        <w:pStyle w:val="Heading3"/>
        <w:rPr/>
      </w:pPr>
      <w:bookmarkStart w:colFirst="0" w:colLast="0" w:name="_nmd0uzpsmm86" w:id="4"/>
      <w:bookmarkEnd w:id="4"/>
      <w:r w:rsidDel="00000000" w:rsidR="00000000" w:rsidRPr="00000000">
        <w:rPr>
          <w:rtl w:val="0"/>
        </w:rPr>
        <w:t xml:space="preserve">2.2 Data scope</w:t>
      </w:r>
    </w:p>
    <w:p w:rsidR="00000000" w:rsidDel="00000000" w:rsidP="00000000" w:rsidRDefault="00000000" w:rsidRPr="00000000" w14:paraId="00000028">
      <w:pPr>
        <w:rPr/>
      </w:pPr>
      <w:r w:rsidDel="00000000" w:rsidR="00000000" w:rsidRPr="00000000">
        <w:rPr>
          <w:rtl w:val="0"/>
        </w:rPr>
        <w:t xml:space="preserve">This Policy covers all personal data as defined in GDPR Article 4(1): any information relating to an identified or identifiable natural person. This includes but is not limited to: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Corporate data</w:t>
      </w:r>
      <w:r w:rsidDel="00000000" w:rsidR="00000000" w:rsidRPr="00000000">
        <w:rPr>
          <w:rtl w:val="0"/>
        </w:rPr>
        <w:t xml:space="preserve">: employee and contractor records, recruitment data, HR files, payroll and tax information, internal communications metadata.</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Client engagement data</w:t>
      </w:r>
      <w:r w:rsidDel="00000000" w:rsidR="00000000" w:rsidRPr="00000000">
        <w:rPr>
          <w:rtl w:val="0"/>
        </w:rPr>
        <w:t xml:space="preserve">: client contact details, project brief information, commercial terms, correspondence, legal entity data of client representatives.</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Platform interaction data</w:t>
      </w:r>
      <w:r w:rsidDel="00000000" w:rsidR="00000000" w:rsidRPr="00000000">
        <w:rPr>
          <w:rtl w:val="0"/>
        </w:rPr>
        <w:t xml:space="preserve">: wallet addresses (where linkable to a natural person), IP addresses, device and browser identifiers, interaction logs, session data, geolocation data.</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On-chain data</w:t>
      </w:r>
      <w:r w:rsidDel="00000000" w:rsidR="00000000" w:rsidRPr="00000000">
        <w:rPr>
          <w:rtl w:val="0"/>
        </w:rPr>
        <w:t xml:space="preserve">: transaction metadata, governance votes, smart contract interaction records, token balances — where any of these can be linked or reasonably linkable to a natural person.</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Special category data</w:t>
      </w:r>
      <w:r w:rsidDel="00000000" w:rsidR="00000000" w:rsidRPr="00000000">
        <w:rPr>
          <w:rtl w:val="0"/>
        </w:rPr>
        <w:t xml:space="preserve">: if any processing involves data under GDPR Article 9 (health, biometric, political, religious, ethnic origin, sexual orientation, trade union membership), the enhanced protections in §5 of this Policy apply.</w:t>
      </w:r>
    </w:p>
    <w:p w:rsidR="00000000" w:rsidDel="00000000" w:rsidP="00000000" w:rsidRDefault="00000000" w:rsidRPr="00000000" w14:paraId="0000002F">
      <w:pPr>
        <w:pStyle w:val="Heading3"/>
        <w:rPr/>
      </w:pPr>
      <w:bookmarkStart w:colFirst="0" w:colLast="0" w:name="_8uga1edn2kqr" w:id="5"/>
      <w:bookmarkEnd w:id="5"/>
      <w:r w:rsidDel="00000000" w:rsidR="00000000" w:rsidRPr="00000000">
        <w:rPr>
          <w:rtl w:val="0"/>
        </w:rPr>
        <w:t xml:space="preserve">2.3 Jurisdictional scope</w:t>
      </w:r>
    </w:p>
    <w:p w:rsidR="00000000" w:rsidDel="00000000" w:rsidP="00000000" w:rsidRDefault="00000000" w:rsidRPr="00000000" w14:paraId="00000030">
      <w:pPr>
        <w:rPr/>
      </w:pPr>
      <w:r w:rsidDel="00000000" w:rsidR="00000000" w:rsidRPr="00000000">
        <w:rPr>
          <w:rtl w:val="0"/>
        </w:rPr>
        <w:t xml:space="preserve">This Policy applies wherever Protofire processes personal data of individuals located in the EU/EEA, regardless of where the processing takes place (GDPR Article 3 extraterritorial scope). It also applies to personal data of individuals in jurisdictions with equivalent privacy laws (UK GDPR, Brazil LGPD, US state laws including CCPA/CPRA) where Protofire has a reasonable basis to expect such data subjects are present.</w:t>
      </w:r>
    </w:p>
    <w:p w:rsidR="00000000" w:rsidDel="00000000" w:rsidP="00000000" w:rsidRDefault="00000000" w:rsidRPr="00000000" w14:paraId="00000031">
      <w:pPr>
        <w:pStyle w:val="Heading3"/>
        <w:rPr/>
      </w:pPr>
      <w:bookmarkStart w:colFirst="0" w:colLast="0" w:name="_vp0d2eeg3b9g" w:id="6"/>
      <w:bookmarkEnd w:id="6"/>
      <w:r w:rsidDel="00000000" w:rsidR="00000000" w:rsidRPr="00000000">
        <w:rPr>
          <w:rtl w:val="0"/>
        </w:rPr>
        <w:t xml:space="preserve">2.4 Web3-specific scope clarification</w:t>
      </w:r>
    </w:p>
    <w:p w:rsidR="00000000" w:rsidDel="00000000" w:rsidP="00000000" w:rsidRDefault="00000000" w:rsidRPr="00000000" w14:paraId="00000032">
      <w:pPr>
        <w:rPr/>
      </w:pPr>
      <w:r w:rsidDel="00000000" w:rsidR="00000000" w:rsidRPr="00000000">
        <w:rPr>
          <w:rtl w:val="0"/>
        </w:rPr>
        <w:t xml:space="preserve">On-chain data is pseudonymous by default. However, pseudonymous data constitutes personal data under GDPR Recital 26 when it can be linked to a natural person by the controller, a processor, or any third party using reasonably available means. Protofire treats all on-chain data associated with an identified client representative, contributor, or user as personal data for the purposes of this Policy.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On-chain data that has been recorded to an immutable distributed ledger cannot be modified or deleted after the transaction is confirmed. This is an inherent technical limitation of blockchain technology. Where GDPR Article 17 (right to erasure) applies, Protofire will implement all reasonable measures described in §7.3 of this Policy.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g9rfh7wp8mlj" w:id="7"/>
      <w:bookmarkEnd w:id="7"/>
      <w:r w:rsidDel="00000000" w:rsidR="00000000" w:rsidRPr="00000000">
        <w:rPr>
          <w:rtl w:val="0"/>
        </w:rPr>
        <w:t xml:space="preserve">3. Data Protection Principles</w:t>
      </w:r>
    </w:p>
    <w:p w:rsidR="00000000" w:rsidDel="00000000" w:rsidP="00000000" w:rsidRDefault="00000000" w:rsidRPr="00000000" w14:paraId="00000038">
      <w:pPr>
        <w:rPr/>
      </w:pPr>
      <w:r w:rsidDel="00000000" w:rsidR="00000000" w:rsidRPr="00000000">
        <w:rPr>
          <w:rtl w:val="0"/>
        </w:rPr>
        <w:t xml:space="preserve">All processing of personal data must comply with the seven GDPR principles (Article 5). These principles are mandatory and non-negotiable.</w:t>
      </w:r>
    </w:p>
    <w:p w:rsidR="00000000" w:rsidDel="00000000" w:rsidP="00000000" w:rsidRDefault="00000000" w:rsidRPr="00000000" w14:paraId="00000039">
      <w:pPr>
        <w:pStyle w:val="Heading3"/>
        <w:rPr/>
      </w:pPr>
      <w:bookmarkStart w:colFirst="0" w:colLast="0" w:name="_qe1llsz5yvk2" w:id="8"/>
      <w:bookmarkEnd w:id="8"/>
      <w:r w:rsidDel="00000000" w:rsidR="00000000" w:rsidRPr="00000000">
        <w:rPr>
          <w:rtl w:val="0"/>
        </w:rPr>
        <w:t xml:space="preserve">3.1 Lawfulness, fairness, and transparency (Art.5(1)(a))</w:t>
      </w:r>
    </w:p>
    <w:p w:rsidR="00000000" w:rsidDel="00000000" w:rsidP="00000000" w:rsidRDefault="00000000" w:rsidRPr="00000000" w14:paraId="0000003A">
      <w:pPr>
        <w:rPr/>
      </w:pPr>
      <w:r w:rsidDel="00000000" w:rsidR="00000000" w:rsidRPr="00000000">
        <w:rPr>
          <w:rtl w:val="0"/>
        </w:rPr>
        <w:t xml:space="preserve">Every processing activity must have a documented legal basis (§4). Data subjects must be informed of processing through clear, accessible privacy notices before or at the point of collection. Covert collection is prohibited.</w:t>
      </w:r>
    </w:p>
    <w:p w:rsidR="00000000" w:rsidDel="00000000" w:rsidP="00000000" w:rsidRDefault="00000000" w:rsidRPr="00000000" w14:paraId="0000003B">
      <w:pPr>
        <w:pStyle w:val="Heading3"/>
        <w:rPr/>
      </w:pPr>
      <w:bookmarkStart w:colFirst="0" w:colLast="0" w:name="_sfx4fbkceo7a" w:id="9"/>
      <w:bookmarkEnd w:id="9"/>
      <w:r w:rsidDel="00000000" w:rsidR="00000000" w:rsidRPr="00000000">
        <w:rPr>
          <w:rtl w:val="0"/>
        </w:rPr>
        <w:t xml:space="preserve">3.2 Purpose limitation (Art.5(1)(b))</w:t>
      </w:r>
    </w:p>
    <w:p w:rsidR="00000000" w:rsidDel="00000000" w:rsidP="00000000" w:rsidRDefault="00000000" w:rsidRPr="00000000" w14:paraId="0000003C">
      <w:pPr>
        <w:rPr/>
      </w:pPr>
      <w:r w:rsidDel="00000000" w:rsidR="00000000" w:rsidRPr="00000000">
        <w:rPr>
          <w:rtl w:val="0"/>
        </w:rPr>
        <w:t xml:space="preserve">Personal data must be collected for specified, explicit, and legitimate purposes and not further processed in a manner incompatible with those purposes. Each processing activity in the ROPA (REG-505) must state its specific purpose.</w:t>
      </w:r>
    </w:p>
    <w:p w:rsidR="00000000" w:rsidDel="00000000" w:rsidP="00000000" w:rsidRDefault="00000000" w:rsidRPr="00000000" w14:paraId="0000003D">
      <w:pPr>
        <w:pStyle w:val="Heading3"/>
        <w:rPr/>
      </w:pPr>
      <w:bookmarkStart w:colFirst="0" w:colLast="0" w:name="_9hyqij6tb91" w:id="10"/>
      <w:bookmarkEnd w:id="10"/>
      <w:r w:rsidDel="00000000" w:rsidR="00000000" w:rsidRPr="00000000">
        <w:rPr>
          <w:rtl w:val="0"/>
        </w:rPr>
        <w:t xml:space="preserve">3.3 Data minimisation (Art.5(1)(c))</w:t>
      </w:r>
    </w:p>
    <w:p w:rsidR="00000000" w:rsidDel="00000000" w:rsidP="00000000" w:rsidRDefault="00000000" w:rsidRPr="00000000" w14:paraId="0000003E">
      <w:pPr>
        <w:rPr/>
      </w:pPr>
      <w:r w:rsidDel="00000000" w:rsidR="00000000" w:rsidRPr="00000000">
        <w:rPr>
          <w:rtl w:val="0"/>
        </w:rPr>
        <w:t xml:space="preserve">Only personal data that is adequate, relevant, and limited to what is necessary for the stated purpose may be collected and retained. This principle applies equally to on-chain and off-chain data. Smart contract designs must minimise the personal data written to chain.</w:t>
      </w:r>
    </w:p>
    <w:p w:rsidR="00000000" w:rsidDel="00000000" w:rsidP="00000000" w:rsidRDefault="00000000" w:rsidRPr="00000000" w14:paraId="0000003F">
      <w:pPr>
        <w:pStyle w:val="Heading3"/>
        <w:rPr/>
      </w:pPr>
      <w:bookmarkStart w:colFirst="0" w:colLast="0" w:name="_hq06dk17scea" w:id="11"/>
      <w:bookmarkEnd w:id="11"/>
      <w:r w:rsidDel="00000000" w:rsidR="00000000" w:rsidRPr="00000000">
        <w:rPr>
          <w:rtl w:val="0"/>
        </w:rPr>
        <w:t xml:space="preserve">3.4 Accuracy (Art.5(1)(d))</w:t>
      </w:r>
    </w:p>
    <w:p w:rsidR="00000000" w:rsidDel="00000000" w:rsidP="00000000" w:rsidRDefault="00000000" w:rsidRPr="00000000" w14:paraId="00000040">
      <w:pPr>
        <w:rPr/>
      </w:pPr>
      <w:r w:rsidDel="00000000" w:rsidR="00000000" w:rsidRPr="00000000">
        <w:rPr>
          <w:rtl w:val="0"/>
        </w:rPr>
        <w:t xml:space="preserve">Personal data must be accurate and kept up to date. Inaccurate data must be rectified or erased without delay. For on-chain data that cannot be corrected, supplementary off-chain correction records must be maintained.</w:t>
      </w:r>
    </w:p>
    <w:p w:rsidR="00000000" w:rsidDel="00000000" w:rsidP="00000000" w:rsidRDefault="00000000" w:rsidRPr="00000000" w14:paraId="00000041">
      <w:pPr>
        <w:pStyle w:val="Heading3"/>
        <w:rPr/>
      </w:pPr>
      <w:bookmarkStart w:colFirst="0" w:colLast="0" w:name="_31efjen0dbm5" w:id="12"/>
      <w:bookmarkEnd w:id="12"/>
      <w:r w:rsidDel="00000000" w:rsidR="00000000" w:rsidRPr="00000000">
        <w:rPr>
          <w:rtl w:val="0"/>
        </w:rPr>
        <w:t xml:space="preserve">3.5 Storage limitation (Art.5(1)(e))</w:t>
      </w:r>
    </w:p>
    <w:p w:rsidR="00000000" w:rsidDel="00000000" w:rsidP="00000000" w:rsidRDefault="00000000" w:rsidRPr="00000000" w14:paraId="00000042">
      <w:pPr>
        <w:rPr/>
      </w:pPr>
      <w:r w:rsidDel="00000000" w:rsidR="00000000" w:rsidRPr="00000000">
        <w:rPr>
          <w:rtl w:val="0"/>
        </w:rPr>
        <w:t xml:space="preserve">Personal data must not be kept in a form which permits identification of data subjects for longer than necessary. Retention periods are defined in POL-008 §3 and the ROPA (REG-505). On-chain data is exempt from deletion requirements due to technical immutability, but off-chain linked data must be purged per retention schedules.</w:t>
      </w:r>
    </w:p>
    <w:p w:rsidR="00000000" w:rsidDel="00000000" w:rsidP="00000000" w:rsidRDefault="00000000" w:rsidRPr="00000000" w14:paraId="00000043">
      <w:pPr>
        <w:pStyle w:val="Heading3"/>
        <w:rPr/>
      </w:pPr>
      <w:bookmarkStart w:colFirst="0" w:colLast="0" w:name="_k4jvz67ho8bj" w:id="13"/>
      <w:bookmarkEnd w:id="13"/>
      <w:r w:rsidDel="00000000" w:rsidR="00000000" w:rsidRPr="00000000">
        <w:rPr>
          <w:rtl w:val="0"/>
        </w:rPr>
        <w:t xml:space="preserve">3.6 Integrity and confidentiality (Art.5(1)(f))</w:t>
      </w:r>
    </w:p>
    <w:p w:rsidR="00000000" w:rsidDel="00000000" w:rsidP="00000000" w:rsidRDefault="00000000" w:rsidRPr="00000000" w14:paraId="00000044">
      <w:pPr>
        <w:rPr/>
      </w:pPr>
      <w:r w:rsidDel="00000000" w:rsidR="00000000" w:rsidRPr="00000000">
        <w:rPr>
          <w:rtl w:val="0"/>
        </w:rPr>
        <w:t xml:space="preserve">Personal data must be processed in a manner that ensures appropriate security, including protection against unauthorised or unlawful processing, accidental loss, destruction, or damage. Security controls are defined in POL-002, POL-004, S-102, S-103, and S-109.</w:t>
      </w:r>
    </w:p>
    <w:p w:rsidR="00000000" w:rsidDel="00000000" w:rsidP="00000000" w:rsidRDefault="00000000" w:rsidRPr="00000000" w14:paraId="00000045">
      <w:pPr>
        <w:pStyle w:val="Heading3"/>
        <w:rPr/>
      </w:pPr>
      <w:bookmarkStart w:colFirst="0" w:colLast="0" w:name="_61m48f799imc" w:id="14"/>
      <w:bookmarkEnd w:id="14"/>
      <w:r w:rsidDel="00000000" w:rsidR="00000000" w:rsidRPr="00000000">
        <w:rPr>
          <w:rtl w:val="0"/>
        </w:rPr>
        <w:t xml:space="preserve">3.7 Accountability (Art.5(2))</w:t>
      </w:r>
    </w:p>
    <w:p w:rsidR="00000000" w:rsidDel="00000000" w:rsidP="00000000" w:rsidRDefault="00000000" w:rsidRPr="00000000" w14:paraId="00000046">
      <w:pPr>
        <w:rPr/>
      </w:pPr>
      <w:r w:rsidDel="00000000" w:rsidR="00000000" w:rsidRPr="00000000">
        <w:rPr>
          <w:rtl w:val="0"/>
        </w:rPr>
        <w:t xml:space="preserve">Protofire must be able to demonstrate compliance with all of the above principles. Evidence of compliance is maintained through the ROPA (REG-505), DPIA Register (REG-510), Evidence Audit Log (REG-508), and the Evidence Calendar in GRC-MASTER-001 Part VI.</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44932fd0f307" w:id="15"/>
      <w:bookmarkEnd w:id="15"/>
      <w:r w:rsidDel="00000000" w:rsidR="00000000" w:rsidRPr="00000000">
        <w:rPr>
          <w:rtl w:val="0"/>
        </w:rPr>
        <w:t xml:space="preserve">4. Legal Bases for Processing</w:t>
      </w:r>
    </w:p>
    <w:p w:rsidR="00000000" w:rsidDel="00000000" w:rsidP="00000000" w:rsidRDefault="00000000" w:rsidRPr="00000000" w14:paraId="0000004A">
      <w:pPr>
        <w:rPr/>
      </w:pPr>
      <w:r w:rsidDel="00000000" w:rsidR="00000000" w:rsidRPr="00000000">
        <w:rPr>
          <w:rtl w:val="0"/>
        </w:rPr>
        <w:t xml:space="preserve">All processing of personal data must be recorded in the ROPA (REG-505) with an explicit legal basis. Protofire relies on the following legal bases: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Legal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GDPR 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Typical Use at Protofire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Consent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Art.6(1)(a)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Optional analytics on platform interfaces; marketing communications; non-essential cookies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Performance of contract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Art.6(1)(b)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Client MSA delivery; employee/contractor employment contracts; freelancer agreements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Legal obligation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Art.6(1)(c)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Tax reporting; AML/KYC (where applicable); OFAC sanctions screening; employment law compliance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Legitimate interests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Art.6(1)(f)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Security monitoring and incident response; fraud prevention; platform integrity; business development record-keeping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Public interest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Art.6(1)(e)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Not applicable to Protofire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Vital interests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Art.6(1)(d)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Emergency-only; not a routine basis</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Where consent is the legal basis, it must be freely given, specific, informed, and unambiguous (GDPR Article 7). Consent must be as easy to withdraw as to give. Consent records must be maintained in the ROPA.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Where legitimate interests is the legal basis, a Legitimate Interest Assessment (LIA) must be documented and retained in the DPIA Register (REG-510).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llr3m1fmmap6" w:id="16"/>
      <w:bookmarkEnd w:id="16"/>
      <w:r w:rsidDel="00000000" w:rsidR="00000000" w:rsidRPr="00000000">
        <w:rPr>
          <w:rtl w:val="0"/>
        </w:rPr>
        <w:t xml:space="preserve">5. Special Category Data and High-Risk Processing</w:t>
      </w:r>
    </w:p>
    <w:p w:rsidR="00000000" w:rsidDel="00000000" w:rsidP="00000000" w:rsidRDefault="00000000" w:rsidRPr="00000000" w14:paraId="00000068">
      <w:pPr>
        <w:pStyle w:val="Heading3"/>
        <w:rPr/>
      </w:pPr>
      <w:bookmarkStart w:colFirst="0" w:colLast="0" w:name="_o4ee7wq3ffaw" w:id="17"/>
      <w:bookmarkEnd w:id="17"/>
      <w:r w:rsidDel="00000000" w:rsidR="00000000" w:rsidRPr="00000000">
        <w:rPr>
          <w:rtl w:val="0"/>
        </w:rPr>
        <w:t xml:space="preserve">5.1 Special category data (Art.9)</w:t>
      </w:r>
    </w:p>
    <w:p w:rsidR="00000000" w:rsidDel="00000000" w:rsidP="00000000" w:rsidRDefault="00000000" w:rsidRPr="00000000" w14:paraId="00000069">
      <w:pPr>
        <w:rPr/>
      </w:pPr>
      <w:r w:rsidDel="00000000" w:rsidR="00000000" w:rsidRPr="00000000">
        <w:rPr>
          <w:rtl w:val="0"/>
        </w:rPr>
        <w:t xml:space="preserve">Processing of special category data is prohibited unless an explicit exemption under Article 9(2) applies. If processing of special category data is identified, the CISO (DPO function) must be consulted before processing begins. A DPIA (§6) is mandatory.</w:t>
      </w:r>
    </w:p>
    <w:p w:rsidR="00000000" w:rsidDel="00000000" w:rsidP="00000000" w:rsidRDefault="00000000" w:rsidRPr="00000000" w14:paraId="0000006A">
      <w:pPr>
        <w:pStyle w:val="Heading3"/>
        <w:rPr/>
      </w:pPr>
      <w:bookmarkStart w:colFirst="0" w:colLast="0" w:name="_jnm9kpvb50tp" w:id="18"/>
      <w:bookmarkEnd w:id="18"/>
      <w:r w:rsidDel="00000000" w:rsidR="00000000" w:rsidRPr="00000000">
        <w:rPr>
          <w:rtl w:val="0"/>
        </w:rPr>
        <w:t xml:space="preserve">5.2 High-risk processing</w:t>
      </w:r>
    </w:p>
    <w:p w:rsidR="00000000" w:rsidDel="00000000" w:rsidP="00000000" w:rsidRDefault="00000000" w:rsidRPr="00000000" w14:paraId="0000006B">
      <w:pPr>
        <w:rPr/>
      </w:pPr>
      <w:r w:rsidDel="00000000" w:rsidR="00000000" w:rsidRPr="00000000">
        <w:rPr>
          <w:rtl w:val="0"/>
        </w:rPr>
        <w:t xml:space="preserve">The following activities are deemed high-risk at Protofire and require a DPIA before processing begins: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Any processing involving special category data or criminal conviction data.</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Systematic monitoring of individuals (including on-chain transaction monitoring where linkable to identified persons).</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Processing personal data of children.</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Automated decision-making with legal or similarly significant effects.</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Large-scale processing of personal data by new platform deployments.</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Cross-border transfers to jurisdictions without GDPR adequacy decisions.</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Any new smart contract deployment that stores or processes personal data on-chain (including wallet address to identity mappings).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np572t5oinyi" w:id="19"/>
      <w:bookmarkEnd w:id="19"/>
      <w:r w:rsidDel="00000000" w:rsidR="00000000" w:rsidRPr="00000000">
        <w:rPr>
          <w:rtl w:val="0"/>
        </w:rPr>
        <w:t xml:space="preserve">6. Data Protection Impact Assessments (DPIA)</w:t>
      </w:r>
    </w:p>
    <w:p w:rsidR="00000000" w:rsidDel="00000000" w:rsidP="00000000" w:rsidRDefault="00000000" w:rsidRPr="00000000" w14:paraId="00000077">
      <w:pPr>
        <w:pStyle w:val="Heading3"/>
        <w:rPr/>
      </w:pPr>
      <w:bookmarkStart w:colFirst="0" w:colLast="0" w:name="_8d45b3vnc6un" w:id="20"/>
      <w:bookmarkEnd w:id="20"/>
      <w:r w:rsidDel="00000000" w:rsidR="00000000" w:rsidRPr="00000000">
        <w:rPr>
          <w:rtl w:val="0"/>
        </w:rPr>
        <w:t xml:space="preserve">6.1 When required</w:t>
      </w:r>
    </w:p>
    <w:p w:rsidR="00000000" w:rsidDel="00000000" w:rsidP="00000000" w:rsidRDefault="00000000" w:rsidRPr="00000000" w14:paraId="00000078">
      <w:pPr>
        <w:rPr/>
      </w:pPr>
      <w:r w:rsidDel="00000000" w:rsidR="00000000" w:rsidRPr="00000000">
        <w:rPr>
          <w:rtl w:val="0"/>
        </w:rPr>
        <w:t xml:space="preserve">A DPIA is mandatory for all high-risk processing identified in §5.2 and whenever the CL-PHASE-001 lifecycle reaches Phase 5 (Discovery) for any engagement classified as T2 or above that involves personal data of EU/EEA data subjects.</w:t>
      </w:r>
    </w:p>
    <w:p w:rsidR="00000000" w:rsidDel="00000000" w:rsidP="00000000" w:rsidRDefault="00000000" w:rsidRPr="00000000" w14:paraId="00000079">
      <w:pPr>
        <w:pStyle w:val="Heading3"/>
        <w:rPr/>
      </w:pPr>
      <w:bookmarkStart w:colFirst="0" w:colLast="0" w:name="_ol32pvv1ljsh" w:id="21"/>
      <w:bookmarkEnd w:id="21"/>
      <w:r w:rsidDel="00000000" w:rsidR="00000000" w:rsidRPr="00000000">
        <w:rPr>
          <w:rtl w:val="0"/>
        </w:rPr>
        <w:t xml:space="preserve">6.2 Process</w:t>
      </w:r>
    </w:p>
    <w:p w:rsidR="00000000" w:rsidDel="00000000" w:rsidP="00000000" w:rsidRDefault="00000000" w:rsidRPr="00000000" w14:paraId="0000007A">
      <w:pPr>
        <w:rPr/>
      </w:pPr>
      <w:r w:rsidDel="00000000" w:rsidR="00000000" w:rsidRPr="00000000">
        <w:rPr>
          <w:rtl w:val="0"/>
        </w:rPr>
        <w:t xml:space="preserve">Step 1 — The AM or PM screens the engagement using CL-409 (DPIA Screening Checklist) during Phase 1 or Phase 5.</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Step 2 — If the screening indicates a DPIA is required, the CISO (DPO function) initiates the DPIA per the template in GL-304.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Step 3 — The DPIA must document: a systematic description of the processing; the necessity and proportionality assessment; the risk assessment to data subjects; and the measures to address those risks.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Step 4 — The DPIA is reviewed and signed by the CISO (DPO function). For T3/T4 engagements, the Node Owner must co-sign.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Step 5 — The completed DPIA is recorded in REG-510 (DPIA Register) and stored in the project GRC folder.</w:t>
      </w:r>
    </w:p>
    <w:p w:rsidR="00000000" w:rsidDel="00000000" w:rsidP="00000000" w:rsidRDefault="00000000" w:rsidRPr="00000000" w14:paraId="00000083">
      <w:pPr>
        <w:pStyle w:val="Heading3"/>
        <w:rPr/>
      </w:pPr>
      <w:bookmarkStart w:colFirst="0" w:colLast="0" w:name="_anmop8k5y5rp" w:id="22"/>
      <w:bookmarkEnd w:id="22"/>
      <w:r w:rsidDel="00000000" w:rsidR="00000000" w:rsidRPr="00000000">
        <w:rPr>
          <w:rtl w:val="0"/>
        </w:rPr>
        <w:t xml:space="preserve">6.3 Prior consultation (Art.36)</w:t>
      </w:r>
    </w:p>
    <w:p w:rsidR="00000000" w:rsidDel="00000000" w:rsidP="00000000" w:rsidRDefault="00000000" w:rsidRPr="00000000" w14:paraId="00000084">
      <w:pPr>
        <w:rPr/>
      </w:pPr>
      <w:r w:rsidDel="00000000" w:rsidR="00000000" w:rsidRPr="00000000">
        <w:rPr>
          <w:rtl w:val="0"/>
        </w:rPr>
        <w:t xml:space="preserve">If a DPIA identifies a high residual risk that cannot be mitigated to an acceptable level, the CISO must consult with the relevant supervisory authority before processing begins. No engagement may proceed past Gate G4 with an unresolved DPIA high-residual-risk finding.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bookmarkStart w:colFirst="0" w:colLast="0" w:name="_dcx3p4wuxpn9" w:id="23"/>
      <w:bookmarkEnd w:id="23"/>
      <w:r w:rsidDel="00000000" w:rsidR="00000000" w:rsidRPr="00000000">
        <w:rPr>
          <w:rtl w:val="0"/>
        </w:rPr>
        <w:t xml:space="preserve">7. Data Subject Rights</w:t>
      </w:r>
    </w:p>
    <w:p w:rsidR="00000000" w:rsidDel="00000000" w:rsidP="00000000" w:rsidRDefault="00000000" w:rsidRPr="00000000" w14:paraId="00000088">
      <w:pPr>
        <w:rPr/>
      </w:pPr>
      <w:r w:rsidDel="00000000" w:rsidR="00000000" w:rsidRPr="00000000">
        <w:rPr>
          <w:rtl w:val="0"/>
        </w:rPr>
        <w:t xml:space="preserve">Protofire must facilitate the exercise of all data subject rights under GDPR Articles 12–23. The detailed operational procedure is PR-209 (Data Subject Rights Procedure). This section establishes the policy requirements.</w:t>
      </w:r>
    </w:p>
    <w:p w:rsidR="00000000" w:rsidDel="00000000" w:rsidP="00000000" w:rsidRDefault="00000000" w:rsidRPr="00000000" w14:paraId="00000089">
      <w:pPr>
        <w:pStyle w:val="Heading3"/>
        <w:rPr/>
      </w:pPr>
      <w:bookmarkStart w:colFirst="0" w:colLast="0" w:name="_khtx47ovn0gg" w:id="24"/>
      <w:bookmarkEnd w:id="24"/>
      <w:r w:rsidDel="00000000" w:rsidR="00000000" w:rsidRPr="00000000">
        <w:rPr>
          <w:rtl w:val="0"/>
        </w:rPr>
        <w:t xml:space="preserve">7.1 General requirements</w:t>
      </w:r>
    </w:p>
    <w:p w:rsidR="00000000" w:rsidDel="00000000" w:rsidP="00000000" w:rsidRDefault="00000000" w:rsidRPr="00000000" w14:paraId="0000008A">
      <w:pPr>
        <w:rPr/>
      </w:pPr>
      <w:r w:rsidDel="00000000" w:rsidR="00000000" w:rsidRPr="00000000">
        <w:rPr>
          <w:rtl w:val="0"/>
        </w:rPr>
        <w:t xml:space="preserve">All data subject requests (DSRs) must be acknowledged within 3 business days and fulfilled within 30 calendar days (extendable by 60 days for complex requests with written notification to the data subject). The CISO (DPO function) is the single point of contact for all DSRs. No fee may be charged for the first request per data subject per 12-month period.</w:t>
      </w:r>
    </w:p>
    <w:p w:rsidR="00000000" w:rsidDel="00000000" w:rsidP="00000000" w:rsidRDefault="00000000" w:rsidRPr="00000000" w14:paraId="0000008B">
      <w:pPr>
        <w:pStyle w:val="Heading3"/>
        <w:rPr/>
      </w:pPr>
      <w:bookmarkStart w:colFirst="0" w:colLast="0" w:name="_fl77jiocc0oa" w:id="25"/>
      <w:bookmarkEnd w:id="25"/>
      <w:r w:rsidDel="00000000" w:rsidR="00000000" w:rsidRPr="00000000">
        <w:rPr>
          <w:rtl w:val="0"/>
        </w:rPr>
        <w:t xml:space="preserve">7.2 Rights catalogue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rPr>
            </w:pPr>
            <w:r w:rsidDel="00000000" w:rsidR="00000000" w:rsidRPr="00000000">
              <w:rPr>
                <w:b w:val="1"/>
                <w:bCs w:val="1"/>
                <w:rtl w:val="0"/>
              </w:rPr>
              <w:t xml:space="preserve">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b w:val="1"/>
                <w:bCs w:val="1"/>
              </w:rPr>
            </w:pPr>
            <w:r w:rsidDel="00000000" w:rsidR="00000000" w:rsidRPr="00000000">
              <w:rPr>
                <w:b w:val="1"/>
                <w:bCs w:val="1"/>
                <w:rtl w:val="0"/>
              </w:rPr>
              <w:t xml:space="preserve">GDPR 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Protofire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Right to be informed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Art.13/14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Privacy notices provided at collection. Platform privacy policy published. Client-facing privacy addendum in MSA.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Right of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Art.15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CISO compiles personal data held across all systems (ClickUp, Google Workspace, GitHub, on-chain) within 30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Right to rectification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Art.16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Off-chain data corrected immediately. On-chain data: supplementary correction record maintained off-chain.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Right to erasure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Art.17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See §7.3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Right to restrict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Art.18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Processing flagged and suspended pending resolution. Data retained but not processed.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Right to data portability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Art.20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Data provided in machine-readable format (JSON or CSV) where technically feasible.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Right to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Art.21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Processing based on legitimate interests suspended pending LIA re-assessment. Direct marketing processing stopped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Automated decision-making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Art.22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Protofire does not currently use automated decision-making with legal effects. If introduced, a specific safeguard procedure will be established.</w:t>
            </w:r>
          </w:p>
        </w:tc>
      </w:tr>
    </w:tbl>
    <w:p w:rsidR="00000000" w:rsidDel="00000000" w:rsidP="00000000" w:rsidRDefault="00000000" w:rsidRPr="00000000" w14:paraId="000000A7">
      <w:pPr>
        <w:pStyle w:val="Heading3"/>
        <w:rPr/>
      </w:pPr>
      <w:bookmarkStart w:colFirst="0" w:colLast="0" w:name="_bmitrhxlileu" w:id="26"/>
      <w:bookmarkEnd w:id="26"/>
      <w:r w:rsidDel="00000000" w:rsidR="00000000" w:rsidRPr="00000000">
        <w:rPr>
          <w:rtl w:val="0"/>
        </w:rPr>
        <w:t xml:space="preserve">7.3 Right to erasure and blockchain immutability</w:t>
      </w:r>
    </w:p>
    <w:p w:rsidR="00000000" w:rsidDel="00000000" w:rsidP="00000000" w:rsidRDefault="00000000" w:rsidRPr="00000000" w14:paraId="000000A8">
      <w:pPr>
        <w:rPr/>
      </w:pPr>
      <w:r w:rsidDel="00000000" w:rsidR="00000000" w:rsidRPr="00000000">
        <w:rPr>
          <w:rtl w:val="0"/>
        </w:rPr>
        <w:t xml:space="preserve">Where a valid erasure request is received and the personal data exists on-chain: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 All off-chain linked data (identity mappings, IP logs, session data, metadata linking wallet addresses to the data subject) is permanently deleted.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(b) Any off-chain databases or indexes that associate on-chain addresses with the data subject are purged.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 The on-chain data itself (transaction records, contract interactions) cannot be deleted due to the immutable nature of blockchain technology. The CISO documents this technical limitation and the measures taken in the DSR response.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 Where possible, on-chain references to the data subject are de-linked from the identity by destroying the off-chain mapping, rendering the on-chain data pseudonymous and no longer practically linkable to the data subject.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This approach is documented in the ROPA and the DSR response as a reasonable measure under GDPR Recital 26 and Article 17(1) balanced against the technical impossibility of on-chain deletion.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b5inuizecbf8" w:id="27"/>
      <w:bookmarkEnd w:id="27"/>
      <w:r w:rsidDel="00000000" w:rsidR="00000000" w:rsidRPr="00000000">
        <w:rPr>
          <w:rtl w:val="0"/>
        </w:rPr>
        <w:t xml:space="preserve">8. Data Breach Notification</w:t>
      </w:r>
    </w:p>
    <w:p w:rsidR="00000000" w:rsidDel="00000000" w:rsidP="00000000" w:rsidRDefault="00000000" w:rsidRPr="00000000" w14:paraId="000000B6">
      <w:pPr>
        <w:pStyle w:val="Heading3"/>
        <w:rPr/>
      </w:pPr>
      <w:bookmarkStart w:colFirst="0" w:colLast="0" w:name="_h6o1lbtmzix0" w:id="28"/>
      <w:bookmarkEnd w:id="28"/>
      <w:r w:rsidDel="00000000" w:rsidR="00000000" w:rsidRPr="00000000">
        <w:rPr>
          <w:rtl w:val="0"/>
        </w:rPr>
        <w:t xml:space="preserve">8.1 Reporting obligation</w:t>
      </w:r>
    </w:p>
    <w:p w:rsidR="00000000" w:rsidDel="00000000" w:rsidP="00000000" w:rsidRDefault="00000000" w:rsidRPr="00000000" w14:paraId="000000B7">
      <w:pPr>
        <w:rPr/>
      </w:pPr>
      <w:r w:rsidDel="00000000" w:rsidR="00000000" w:rsidRPr="00000000">
        <w:rPr>
          <w:rtl w:val="0"/>
        </w:rPr>
        <w:t xml:space="preserve">Any personal data breach as defined in GDPR Article 4(12) must be reported to the relevant supervisory authority within 72 hours of Protofire becoming aware of the breach, unless the breach is unlikely to result in a risk to the rights and freedoms of data subjects. The detailed procedure is PR-208 (Data Breach Notification Procedure).</w:t>
      </w:r>
    </w:p>
    <w:p w:rsidR="00000000" w:rsidDel="00000000" w:rsidP="00000000" w:rsidRDefault="00000000" w:rsidRPr="00000000" w14:paraId="000000B8">
      <w:pPr>
        <w:pStyle w:val="Heading3"/>
        <w:rPr/>
      </w:pPr>
      <w:bookmarkStart w:colFirst="0" w:colLast="0" w:name="_9qlwep7b2yvn" w:id="29"/>
      <w:bookmarkEnd w:id="29"/>
      <w:r w:rsidDel="00000000" w:rsidR="00000000" w:rsidRPr="00000000">
        <w:rPr>
          <w:rtl w:val="0"/>
        </w:rPr>
        <w:t xml:space="preserve">8.2 Internal reporting</w:t>
      </w:r>
    </w:p>
    <w:p w:rsidR="00000000" w:rsidDel="00000000" w:rsidP="00000000" w:rsidRDefault="00000000" w:rsidRPr="00000000" w14:paraId="000000B9">
      <w:pPr>
        <w:rPr/>
      </w:pPr>
      <w:r w:rsidDel="00000000" w:rsidR="00000000" w:rsidRPr="00000000">
        <w:rPr>
          <w:rtl w:val="0"/>
        </w:rPr>
        <w:t xml:space="preserve">Any Protofire personnel who become aware of a suspected or confirmed personal data breach must report it to the CISO (DPO function) immediately and in no case later than 4 hours after discovery. This is in addition to and separate from the incident response procedure in L2-INC-201.</w:t>
      </w:r>
    </w:p>
    <w:p w:rsidR="00000000" w:rsidDel="00000000" w:rsidP="00000000" w:rsidRDefault="00000000" w:rsidRPr="00000000" w14:paraId="000000BA">
      <w:pPr>
        <w:pStyle w:val="Heading3"/>
        <w:rPr/>
      </w:pPr>
      <w:bookmarkStart w:colFirst="0" w:colLast="0" w:name="_nd3yrancve0z" w:id="30"/>
      <w:bookmarkEnd w:id="30"/>
      <w:r w:rsidDel="00000000" w:rsidR="00000000" w:rsidRPr="00000000">
        <w:rPr>
          <w:rtl w:val="0"/>
        </w:rPr>
        <w:t xml:space="preserve">8.3 Data subject notification (Art.34)</w:t>
      </w:r>
    </w:p>
    <w:p w:rsidR="00000000" w:rsidDel="00000000" w:rsidP="00000000" w:rsidRDefault="00000000" w:rsidRPr="00000000" w14:paraId="000000BB">
      <w:pPr>
        <w:rPr/>
      </w:pPr>
      <w:r w:rsidDel="00000000" w:rsidR="00000000" w:rsidRPr="00000000">
        <w:rPr>
          <w:rtl w:val="0"/>
        </w:rPr>
        <w:t xml:space="preserve">If the breach is likely to result in a high risk to the rights and freedoms of data subjects, the CISO must notify affected data subjects without undue delay. The notification must describe the nature of the breach, the likely consequences, the measures taken, and the contact point for further information.</w:t>
      </w:r>
    </w:p>
    <w:p w:rsidR="00000000" w:rsidDel="00000000" w:rsidP="00000000" w:rsidRDefault="00000000" w:rsidRPr="00000000" w14:paraId="000000BC">
      <w:pPr>
        <w:pStyle w:val="Heading3"/>
        <w:rPr/>
      </w:pPr>
      <w:bookmarkStart w:colFirst="0" w:colLast="0" w:name="_2enp9sa6ookh" w:id="31"/>
      <w:bookmarkEnd w:id="31"/>
      <w:r w:rsidDel="00000000" w:rsidR="00000000" w:rsidRPr="00000000">
        <w:rPr>
          <w:rtl w:val="0"/>
        </w:rPr>
        <w:t xml:space="preserve">8.4 Breach register</w:t>
      </w:r>
    </w:p>
    <w:p w:rsidR="00000000" w:rsidDel="00000000" w:rsidP="00000000" w:rsidRDefault="00000000" w:rsidRPr="00000000" w14:paraId="000000BD">
      <w:pPr>
        <w:rPr/>
      </w:pPr>
      <w:r w:rsidDel="00000000" w:rsidR="00000000" w:rsidRPr="00000000">
        <w:rPr>
          <w:rtl w:val="0"/>
        </w:rPr>
        <w:t xml:space="preserve">All personal data breaches (whether notified to the supervisory authority or not) must be recorded in the Incident Registry (REG-503) with a specific tag for personal data breaches. The record must include the facts of the breach, its effects, and the remedial action taken (GDPR Article 33(5)).</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rPr/>
      </w:pPr>
      <w:bookmarkStart w:colFirst="0" w:colLast="0" w:name="_p77gsjr2zfxm" w:id="32"/>
      <w:bookmarkEnd w:id="32"/>
      <w:r w:rsidDel="00000000" w:rsidR="00000000" w:rsidRPr="00000000">
        <w:rPr>
          <w:rtl w:val="0"/>
        </w:rPr>
        <w:t xml:space="preserve">9. International Data Transfers</w:t>
      </w:r>
    </w:p>
    <w:p w:rsidR="00000000" w:rsidDel="00000000" w:rsidP="00000000" w:rsidRDefault="00000000" w:rsidRPr="00000000" w14:paraId="000000C1">
      <w:pPr>
        <w:pStyle w:val="Heading3"/>
        <w:rPr/>
      </w:pPr>
      <w:bookmarkStart w:colFirst="0" w:colLast="0" w:name="_cvpihbae6fyd" w:id="33"/>
      <w:bookmarkEnd w:id="33"/>
      <w:r w:rsidDel="00000000" w:rsidR="00000000" w:rsidRPr="00000000">
        <w:rPr>
          <w:rtl w:val="0"/>
        </w:rPr>
        <w:t xml:space="preserve">9.1 Transfer restriction</w:t>
      </w:r>
    </w:p>
    <w:p w:rsidR="00000000" w:rsidDel="00000000" w:rsidP="00000000" w:rsidRDefault="00000000" w:rsidRPr="00000000" w14:paraId="000000C2">
      <w:pPr>
        <w:rPr/>
      </w:pPr>
      <w:r w:rsidDel="00000000" w:rsidR="00000000" w:rsidRPr="00000000">
        <w:rPr>
          <w:rtl w:val="0"/>
        </w:rPr>
        <w:t xml:space="preserve">Personal data of EU/EEA data subjects must not be transferred to a country outside the EU/EEA unless one of the following safeguards is in place: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 The destination country has an adequacy decision from the European Commission (GDPR Art.45).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(b) Standard Contractual Clauses (SCCs) approved by the European Commission are executed between the parties (GDPR Art.46(2)(c)).</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 Binding Corporate Rules are in place (GDPR Art.47).</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 An explicit, informed, and specific derogation under GDPR Art.49 applies and is documented.</w:t>
      </w:r>
    </w:p>
    <w:p w:rsidR="00000000" w:rsidDel="00000000" w:rsidP="00000000" w:rsidRDefault="00000000" w:rsidRPr="00000000" w14:paraId="000000CB">
      <w:pPr>
        <w:pStyle w:val="Heading3"/>
        <w:rPr/>
      </w:pPr>
      <w:bookmarkStart w:colFirst="0" w:colLast="0" w:name="_hq6spbgsuklt" w:id="34"/>
      <w:bookmarkEnd w:id="34"/>
      <w:r w:rsidDel="00000000" w:rsidR="00000000" w:rsidRPr="00000000">
        <w:rPr>
          <w:rtl w:val="0"/>
        </w:rPr>
        <w:t xml:space="preserve">9.2 Transfer impact assessment</w:t>
      </w:r>
    </w:p>
    <w:p w:rsidR="00000000" w:rsidDel="00000000" w:rsidP="00000000" w:rsidRDefault="00000000" w:rsidRPr="00000000" w14:paraId="000000CC">
      <w:pPr>
        <w:rPr/>
      </w:pPr>
      <w:r w:rsidDel="00000000" w:rsidR="00000000" w:rsidRPr="00000000">
        <w:rPr>
          <w:rtl w:val="0"/>
        </w:rPr>
        <w:t xml:space="preserve">For transfers relying on SCCs, a Transfer Impact Assessment (TIA) must be conducted to evaluate whether the legal framework of the destination country provides an adequate level of protection. The TIA must consider surveillance laws, government access powers, and available remedies. The CISO approves all TIAs.</w:t>
      </w:r>
    </w:p>
    <w:p w:rsidR="00000000" w:rsidDel="00000000" w:rsidP="00000000" w:rsidRDefault="00000000" w:rsidRPr="00000000" w14:paraId="000000CD">
      <w:pPr>
        <w:pStyle w:val="Heading3"/>
        <w:rPr/>
      </w:pPr>
      <w:bookmarkStart w:colFirst="0" w:colLast="0" w:name="_v37ct4iy9690" w:id="35"/>
      <w:bookmarkEnd w:id="35"/>
      <w:r w:rsidDel="00000000" w:rsidR="00000000" w:rsidRPr="00000000">
        <w:rPr>
          <w:rtl w:val="0"/>
        </w:rPr>
        <w:t xml:space="preserve">9.3 Web3 considerations</w:t>
      </w:r>
    </w:p>
    <w:p w:rsidR="00000000" w:rsidDel="00000000" w:rsidP="00000000" w:rsidRDefault="00000000" w:rsidRPr="00000000" w14:paraId="000000CE">
      <w:pPr>
        <w:rPr/>
      </w:pPr>
      <w:r w:rsidDel="00000000" w:rsidR="00000000" w:rsidRPr="00000000">
        <w:rPr>
          <w:rtl w:val="0"/>
        </w:rPr>
        <w:t xml:space="preserve">Smart contract deployment to public blockchains inherently makes data globally accessible. Where personal data (as scoped in §2.4) is written to a public blockchain, this constitutes a transfer to all jurisdictions where nodes operate. The DPIA for any such deployment must explicitly address this transfer risk and the measures taken under §7.3 to minimise personal data on-chain.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pPr>
      <w:bookmarkStart w:colFirst="0" w:colLast="0" w:name="_xwgtqjyh8e2" w:id="36"/>
      <w:bookmarkEnd w:id="36"/>
      <w:r w:rsidDel="00000000" w:rsidR="00000000" w:rsidRPr="00000000">
        <w:rPr>
          <w:rtl w:val="0"/>
        </w:rPr>
        <w:t xml:space="preserve">10. Processor and Sub-Processor Management</w:t>
      </w:r>
    </w:p>
    <w:p w:rsidR="00000000" w:rsidDel="00000000" w:rsidP="00000000" w:rsidRDefault="00000000" w:rsidRPr="00000000" w14:paraId="000000D2">
      <w:pPr>
        <w:pStyle w:val="Heading3"/>
        <w:rPr/>
      </w:pPr>
      <w:bookmarkStart w:colFirst="0" w:colLast="0" w:name="_wpw9zqvegr3i" w:id="37"/>
      <w:bookmarkEnd w:id="37"/>
      <w:r w:rsidDel="00000000" w:rsidR="00000000" w:rsidRPr="00000000">
        <w:rPr>
          <w:rtl w:val="0"/>
        </w:rPr>
        <w:t xml:space="preserve">10.1 Protofire as processor</w:t>
      </w:r>
    </w:p>
    <w:p w:rsidR="00000000" w:rsidDel="00000000" w:rsidP="00000000" w:rsidRDefault="00000000" w:rsidRPr="00000000" w14:paraId="000000D3">
      <w:pPr>
        <w:rPr/>
      </w:pPr>
      <w:r w:rsidDel="00000000" w:rsidR="00000000" w:rsidRPr="00000000">
        <w:rPr>
          <w:rtl w:val="0"/>
        </w:rPr>
        <w:t xml:space="preserve">Where Protofire processes personal data on behalf of a client (GDPR Art.28), a Data Processing Agreement (DPA) must be executed as part of or alongside the MSA. The DPA must include all mandatory clauses under GDPR Article 28(3). The CISO reviews all DPAs before execution. The MSA clause checklist (P3-AM-001 in CL-PHASE-001) includes the DPA requirement.</w:t>
      </w:r>
    </w:p>
    <w:p w:rsidR="00000000" w:rsidDel="00000000" w:rsidP="00000000" w:rsidRDefault="00000000" w:rsidRPr="00000000" w14:paraId="000000D4">
      <w:pPr>
        <w:pStyle w:val="Heading3"/>
        <w:rPr/>
      </w:pPr>
      <w:bookmarkStart w:colFirst="0" w:colLast="0" w:name="_jd7ddaorc33f" w:id="38"/>
      <w:bookmarkEnd w:id="38"/>
      <w:r w:rsidDel="00000000" w:rsidR="00000000" w:rsidRPr="00000000">
        <w:rPr>
          <w:rtl w:val="0"/>
        </w:rPr>
        <w:t xml:space="preserve">10.2 Protofire as controller</w:t>
      </w:r>
    </w:p>
    <w:p w:rsidR="00000000" w:rsidDel="00000000" w:rsidP="00000000" w:rsidRDefault="00000000" w:rsidRPr="00000000" w14:paraId="000000D5">
      <w:pPr>
        <w:rPr/>
      </w:pPr>
      <w:r w:rsidDel="00000000" w:rsidR="00000000" w:rsidRPr="00000000">
        <w:rPr>
          <w:rtl w:val="0"/>
        </w:rPr>
        <w:t xml:space="preserve">For corporate employee/contractor data, recruitment data, and business development records, Protofire acts as controller. The CISO ensures that all controller obligations under this Policy are met.</w:t>
      </w:r>
    </w:p>
    <w:p w:rsidR="00000000" w:rsidDel="00000000" w:rsidP="00000000" w:rsidRDefault="00000000" w:rsidRPr="00000000" w14:paraId="000000D6">
      <w:pPr>
        <w:pStyle w:val="Heading3"/>
        <w:rPr/>
      </w:pPr>
      <w:bookmarkStart w:colFirst="0" w:colLast="0" w:name="_9fvrwgtkkmoq" w:id="39"/>
      <w:bookmarkEnd w:id="39"/>
      <w:r w:rsidDel="00000000" w:rsidR="00000000" w:rsidRPr="00000000">
        <w:rPr>
          <w:rtl w:val="0"/>
        </w:rPr>
        <w:t xml:space="preserve">10.3 Sub-processor management</w:t>
      </w:r>
    </w:p>
    <w:p w:rsidR="00000000" w:rsidDel="00000000" w:rsidP="00000000" w:rsidRDefault="00000000" w:rsidRPr="00000000" w14:paraId="000000D7">
      <w:pPr>
        <w:rPr/>
      </w:pPr>
      <w:r w:rsidDel="00000000" w:rsidR="00000000" w:rsidRPr="00000000">
        <w:rPr>
          <w:rtl w:val="0"/>
        </w:rPr>
        <w:t xml:space="preserve">Protofire must not engage a sub-processor without the prior specific or general written authorisation of the controller client. Where general authorisation is given, Protofire must inform the client of any intended addition or replacement of sub-processors, giving the client the opportunity to object. A register of sub-processors is maintained in the ROPA (REG-505).</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Sub-processors include but are not limited to: cloud hosting providers, analytics services, RPC node providers, oracle services, and monitoring platforms. Each sub-processor must be subject to the same data protection obligations as imposed on Protofire in the DPA, via a back-to-back data processing agreement.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rPr/>
      </w:pPr>
      <w:bookmarkStart w:colFirst="0" w:colLast="0" w:name="_dze13niyaecy" w:id="40"/>
      <w:bookmarkEnd w:id="40"/>
      <w:r w:rsidDel="00000000" w:rsidR="00000000" w:rsidRPr="00000000">
        <w:rPr>
          <w:rtl w:val="0"/>
        </w:rPr>
        <w:t xml:space="preserve">11. Privacy by Design and by Default</w:t>
      </w:r>
    </w:p>
    <w:p w:rsidR="00000000" w:rsidDel="00000000" w:rsidP="00000000" w:rsidRDefault="00000000" w:rsidRPr="00000000" w14:paraId="000000DD">
      <w:pPr>
        <w:pStyle w:val="Heading3"/>
        <w:rPr/>
      </w:pPr>
      <w:bookmarkStart w:colFirst="0" w:colLast="0" w:name="_kibnimzfhf1f" w:id="41"/>
      <w:bookmarkEnd w:id="41"/>
      <w:r w:rsidDel="00000000" w:rsidR="00000000" w:rsidRPr="00000000">
        <w:rPr>
          <w:rtl w:val="0"/>
        </w:rPr>
        <w:t xml:space="preserve">11.1 Design obligation (Art.25(1))</w:t>
      </w:r>
    </w:p>
    <w:p w:rsidR="00000000" w:rsidDel="00000000" w:rsidP="00000000" w:rsidRDefault="00000000" w:rsidRPr="00000000" w14:paraId="000000DE">
      <w:pPr>
        <w:rPr/>
      </w:pPr>
      <w:r w:rsidDel="00000000" w:rsidR="00000000" w:rsidRPr="00000000">
        <w:rPr>
          <w:rtl w:val="0"/>
        </w:rPr>
        <w:t xml:space="preserve">All new systems, services, products, and smart contract deployments that process personal data must incorporate data protection principles at the design stage. This requirement is enforced through the CL-PHASE-001 lifecycle at Phase 5 (Discovery) via the threat model (Category 4 — human failure, specifically data exposure scenarios) and the DPIA screening (CL-409).</w:t>
      </w:r>
    </w:p>
    <w:p w:rsidR="00000000" w:rsidDel="00000000" w:rsidP="00000000" w:rsidRDefault="00000000" w:rsidRPr="00000000" w14:paraId="000000DF">
      <w:pPr>
        <w:pStyle w:val="Heading3"/>
        <w:rPr/>
      </w:pPr>
      <w:bookmarkStart w:colFirst="0" w:colLast="0" w:name="_7x1l88lcsrvl" w:id="42"/>
      <w:bookmarkEnd w:id="42"/>
      <w:r w:rsidDel="00000000" w:rsidR="00000000" w:rsidRPr="00000000">
        <w:rPr>
          <w:rtl w:val="0"/>
        </w:rPr>
        <w:t xml:space="preserve">11.2 Default obligation (Art.25(2))</w:t>
      </w:r>
    </w:p>
    <w:p w:rsidR="00000000" w:rsidDel="00000000" w:rsidP="00000000" w:rsidRDefault="00000000" w:rsidRPr="00000000" w14:paraId="000000E0">
      <w:pPr>
        <w:rPr/>
      </w:pPr>
      <w:r w:rsidDel="00000000" w:rsidR="00000000" w:rsidRPr="00000000">
        <w:rPr>
          <w:rtl w:val="0"/>
        </w:rPr>
        <w:t xml:space="preserve">By default, only personal data necessary for each specific purpose of the processing is collected and processed. Default settings on any user-facing interface must be privacy-protective (no pre-ticked consent boxes, no optional data collection enabled by default, minimum data retention configured).</w:t>
      </w:r>
    </w:p>
    <w:p w:rsidR="00000000" w:rsidDel="00000000" w:rsidP="00000000" w:rsidRDefault="00000000" w:rsidRPr="00000000" w14:paraId="000000E1">
      <w:pPr>
        <w:pStyle w:val="Heading3"/>
        <w:rPr/>
      </w:pPr>
      <w:bookmarkStart w:colFirst="0" w:colLast="0" w:name="_hc5zzeqy9i77" w:id="43"/>
      <w:bookmarkEnd w:id="43"/>
      <w:r w:rsidDel="00000000" w:rsidR="00000000" w:rsidRPr="00000000">
        <w:rPr>
          <w:rtl w:val="0"/>
        </w:rPr>
        <w:t xml:space="preserve">11.3 Technical measures</w:t>
      </w:r>
    </w:p>
    <w:p w:rsidR="00000000" w:rsidDel="00000000" w:rsidP="00000000" w:rsidRDefault="00000000" w:rsidRPr="00000000" w14:paraId="000000E2">
      <w:pPr>
        <w:rPr/>
      </w:pPr>
      <w:r w:rsidDel="00000000" w:rsidR="00000000" w:rsidRPr="00000000">
        <w:rPr>
          <w:rtl w:val="0"/>
        </w:rPr>
        <w:t xml:space="preserve">Minimum technical measures for privacy by design include: data minimisation in smart contract storage design; off-chain storage for all personal data where feasible; pseudonymisation of identifiers in analytics; encryption of personal data at rest (S-103) and in transit; access controls scoped to the minimum necessary role (POL-004).</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detailed guideline is GL-304 (Privacy by Design Guideline).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rPr/>
      </w:pPr>
      <w:bookmarkStart w:colFirst="0" w:colLast="0" w:name="_ulxfxrmqk3y" w:id="44"/>
      <w:bookmarkEnd w:id="44"/>
      <w:r w:rsidDel="00000000" w:rsidR="00000000" w:rsidRPr="00000000">
        <w:rPr>
          <w:rtl w:val="0"/>
        </w:rPr>
        <w:t xml:space="preserve">12. Record of Processing Activities (ROPA)</w:t>
      </w:r>
    </w:p>
    <w:p w:rsidR="00000000" w:rsidDel="00000000" w:rsidP="00000000" w:rsidRDefault="00000000" w:rsidRPr="00000000" w14:paraId="000000E8">
      <w:pPr>
        <w:pStyle w:val="Heading3"/>
        <w:rPr/>
      </w:pPr>
      <w:bookmarkStart w:colFirst="0" w:colLast="0" w:name="_8z9ccwvzrryf" w:id="45"/>
      <w:bookmarkEnd w:id="45"/>
      <w:r w:rsidDel="00000000" w:rsidR="00000000" w:rsidRPr="00000000">
        <w:rPr>
          <w:rtl w:val="0"/>
        </w:rPr>
        <w:t xml:space="preserve">12.1 Obligation (Art.30)</w:t>
      </w:r>
    </w:p>
    <w:p w:rsidR="00000000" w:rsidDel="00000000" w:rsidP="00000000" w:rsidRDefault="00000000" w:rsidRPr="00000000" w14:paraId="000000E9">
      <w:pPr>
        <w:rPr/>
      </w:pPr>
      <w:r w:rsidDel="00000000" w:rsidR="00000000" w:rsidRPr="00000000">
        <w:rPr>
          <w:rtl w:val="0"/>
        </w:rPr>
        <w:t xml:space="preserve">Protofire must maintain a written record of all processing activities under its responsibility (as controller) and all categories of processing carried out on behalf of a controller (as processor). The ROPA is maintained as REG-505.</w:t>
      </w:r>
    </w:p>
    <w:p w:rsidR="00000000" w:rsidDel="00000000" w:rsidP="00000000" w:rsidRDefault="00000000" w:rsidRPr="00000000" w14:paraId="000000EA">
      <w:pPr>
        <w:pStyle w:val="Heading3"/>
        <w:rPr/>
      </w:pPr>
      <w:bookmarkStart w:colFirst="0" w:colLast="0" w:name="_uc3zqhuqabjf" w:id="46"/>
      <w:bookmarkEnd w:id="46"/>
      <w:r w:rsidDel="00000000" w:rsidR="00000000" w:rsidRPr="00000000">
        <w:rPr>
          <w:rtl w:val="0"/>
        </w:rPr>
        <w:t xml:space="preserve">12.2 Minimum content</w:t>
      </w:r>
    </w:p>
    <w:p w:rsidR="00000000" w:rsidDel="00000000" w:rsidP="00000000" w:rsidRDefault="00000000" w:rsidRPr="00000000" w14:paraId="000000EB">
      <w:pPr>
        <w:rPr/>
      </w:pPr>
      <w:r w:rsidDel="00000000" w:rsidR="00000000" w:rsidRPr="00000000">
        <w:rPr>
          <w:rtl w:val="0"/>
        </w:rPr>
        <w:t xml:space="preserve">The ROPA must include, for each processing activity: the name and contact details of the controller/processor; the purposes of processing; the categories of data subjects and personal data; the categories of recipients; transfers to third countries (including safeguards); the envisaged retention period; and a general description of technical and organisational security measures.</w:t>
      </w:r>
    </w:p>
    <w:p w:rsidR="00000000" w:rsidDel="00000000" w:rsidP="00000000" w:rsidRDefault="00000000" w:rsidRPr="00000000" w14:paraId="000000EC">
      <w:pPr>
        <w:pStyle w:val="Heading3"/>
        <w:rPr/>
      </w:pPr>
      <w:bookmarkStart w:colFirst="0" w:colLast="0" w:name="_9ebbc9yqfvyo" w:id="47"/>
      <w:bookmarkEnd w:id="47"/>
      <w:r w:rsidDel="00000000" w:rsidR="00000000" w:rsidRPr="00000000">
        <w:rPr>
          <w:rtl w:val="0"/>
        </w:rPr>
        <w:t xml:space="preserve">12.3 Maintenance</w:t>
      </w:r>
    </w:p>
    <w:p w:rsidR="00000000" w:rsidDel="00000000" w:rsidP="00000000" w:rsidRDefault="00000000" w:rsidRPr="00000000" w14:paraId="000000ED">
      <w:pPr>
        <w:rPr/>
      </w:pPr>
      <w:r w:rsidDel="00000000" w:rsidR="00000000" w:rsidRPr="00000000">
        <w:rPr>
          <w:rtl w:val="0"/>
        </w:rPr>
        <w:t xml:space="preserve">The CISO (DPO function) is responsible for maintaining the ROPA. The ROPA must be updated whenever a new processing activity is introduced, an existing activity is materially changed, or a processing activity is discontinued. The ROPA is reviewed in its entirety at least annually as part of the Evidence Calendar.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rPr/>
      </w:pPr>
      <w:bookmarkStart w:colFirst="0" w:colLast="0" w:name="_fx15h8bwco5y" w:id="48"/>
      <w:bookmarkEnd w:id="48"/>
      <w:r w:rsidDel="00000000" w:rsidR="00000000" w:rsidRPr="00000000">
        <w:rPr>
          <w:rtl w:val="0"/>
        </w:rPr>
        <w:t xml:space="preserve">13. Data Protection Officer (DPO)</w:t>
      </w:r>
    </w:p>
    <w:p w:rsidR="00000000" w:rsidDel="00000000" w:rsidP="00000000" w:rsidRDefault="00000000" w:rsidRPr="00000000" w14:paraId="000000F1">
      <w:pPr>
        <w:pStyle w:val="Heading3"/>
        <w:rPr/>
      </w:pPr>
      <w:bookmarkStart w:colFirst="0" w:colLast="0" w:name="_88v9zkea33xk" w:id="49"/>
      <w:bookmarkEnd w:id="49"/>
      <w:r w:rsidDel="00000000" w:rsidR="00000000" w:rsidRPr="00000000">
        <w:rPr>
          <w:rtl w:val="0"/>
        </w:rPr>
        <w:t xml:space="preserve">13.1 Designation</w:t>
      </w:r>
    </w:p>
    <w:p w:rsidR="00000000" w:rsidDel="00000000" w:rsidP="00000000" w:rsidRDefault="00000000" w:rsidRPr="00000000" w14:paraId="000000F2">
      <w:pPr>
        <w:rPr/>
      </w:pPr>
      <w:r w:rsidDel="00000000" w:rsidR="00000000" w:rsidRPr="00000000">
        <w:rPr>
          <w:rtl w:val="0"/>
        </w:rPr>
        <w:t xml:space="preserve">The CISO holds the DPO function per L0-1 GRC Charter §4 and RACI-001. The current DPO function holder is Aleksey Lekontsev (Altoros). This designation is non-substitutable across all agent skills and governance artefacts.</w:t>
      </w:r>
    </w:p>
    <w:p w:rsidR="00000000" w:rsidDel="00000000" w:rsidP="00000000" w:rsidRDefault="00000000" w:rsidRPr="00000000" w14:paraId="000000F3">
      <w:pPr>
        <w:pStyle w:val="Heading3"/>
        <w:rPr/>
      </w:pPr>
      <w:bookmarkStart w:colFirst="0" w:colLast="0" w:name="_y2kvq9wna6dd" w:id="50"/>
      <w:bookmarkEnd w:id="50"/>
      <w:r w:rsidDel="00000000" w:rsidR="00000000" w:rsidRPr="00000000">
        <w:rPr>
          <w:rtl w:val="0"/>
        </w:rPr>
        <w:t xml:space="preserve">13.2 Independence (Art.38)</w:t>
      </w:r>
    </w:p>
    <w:p w:rsidR="00000000" w:rsidDel="00000000" w:rsidP="00000000" w:rsidRDefault="00000000" w:rsidRPr="00000000" w14:paraId="000000F4">
      <w:pPr>
        <w:rPr/>
      </w:pPr>
      <w:r w:rsidDel="00000000" w:rsidR="00000000" w:rsidRPr="00000000">
        <w:rPr>
          <w:rtl w:val="0"/>
        </w:rPr>
        <w:t xml:space="preserve">The DPO function holder reports directly to the CEO/Board on data protection matters and must not receive instructions regarding the exercise of their DPO tasks. The DPO cannot be dismissed or penalised for performing their DPO tasks.</w:t>
      </w:r>
    </w:p>
    <w:p w:rsidR="00000000" w:rsidDel="00000000" w:rsidP="00000000" w:rsidRDefault="00000000" w:rsidRPr="00000000" w14:paraId="000000F5">
      <w:pPr>
        <w:pStyle w:val="Heading3"/>
        <w:rPr/>
      </w:pPr>
      <w:bookmarkStart w:colFirst="0" w:colLast="0" w:name="_n744j1z3eyay" w:id="51"/>
      <w:bookmarkEnd w:id="51"/>
      <w:r w:rsidDel="00000000" w:rsidR="00000000" w:rsidRPr="00000000">
        <w:rPr>
          <w:rtl w:val="0"/>
        </w:rPr>
        <w:t xml:space="preserve">13.3 Responsibilities</w:t>
      </w:r>
    </w:p>
    <w:p w:rsidR="00000000" w:rsidDel="00000000" w:rsidP="00000000" w:rsidRDefault="00000000" w:rsidRPr="00000000" w14:paraId="000000F6">
      <w:pPr>
        <w:rPr/>
      </w:pPr>
      <w:r w:rsidDel="00000000" w:rsidR="00000000" w:rsidRPr="00000000">
        <w:rPr>
          <w:rtl w:val="0"/>
        </w:rPr>
        <w:t xml:space="preserve">The DPO function holder is responsible for: informing and advising Protofire on GDPR obligations; monitoring compliance with this Policy and all subordinate procedures; advising on DPIAs; cooperating with the supervisory authority; and acting as the contact point for data subjects and the supervisory authority.</w:t>
      </w:r>
    </w:p>
    <w:p w:rsidR="00000000" w:rsidDel="00000000" w:rsidP="00000000" w:rsidRDefault="00000000" w:rsidRPr="00000000" w14:paraId="000000F7">
      <w:pPr>
        <w:pStyle w:val="Heading3"/>
        <w:rPr/>
      </w:pPr>
      <w:bookmarkStart w:colFirst="0" w:colLast="0" w:name="_wuhva38bxjxg" w:id="52"/>
      <w:bookmarkEnd w:id="52"/>
      <w:r w:rsidDel="00000000" w:rsidR="00000000" w:rsidRPr="00000000">
        <w:rPr>
          <w:rtl w:val="0"/>
        </w:rPr>
        <w:t xml:space="preserve">13.4 Supervisory authority registration</w:t>
      </w:r>
    </w:p>
    <w:p w:rsidR="00000000" w:rsidDel="00000000" w:rsidP="00000000" w:rsidRDefault="00000000" w:rsidRPr="00000000" w14:paraId="000000F8">
      <w:pPr>
        <w:rPr/>
      </w:pPr>
      <w:r w:rsidDel="00000000" w:rsidR="00000000" w:rsidRPr="00000000">
        <w:rPr>
          <w:rtl w:val="0"/>
        </w:rPr>
        <w:t xml:space="preserve">Where required by applicable law, the DPO function holder's contact details must be communicated to the relevant supervisory authority. The CISO must review this registration obligation within 60 days of the approval of this Policy (per GAP-10 action item in GRC-MASTER-001).</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rPr/>
      </w:pPr>
      <w:bookmarkStart w:colFirst="0" w:colLast="0" w:name="_bo3ids9luoab" w:id="53"/>
      <w:bookmarkEnd w:id="53"/>
      <w:r w:rsidDel="00000000" w:rsidR="00000000" w:rsidRPr="00000000">
        <w:rPr>
          <w:rtl w:val="0"/>
        </w:rPr>
        <w:t xml:space="preserve">14. Training and Awareness</w:t>
      </w:r>
    </w:p>
    <w:p w:rsidR="00000000" w:rsidDel="00000000" w:rsidP="00000000" w:rsidRDefault="00000000" w:rsidRPr="00000000" w14:paraId="000000FC">
      <w:pPr>
        <w:rPr/>
      </w:pPr>
      <w:r w:rsidDel="00000000" w:rsidR="00000000" w:rsidRPr="00000000">
        <w:rPr>
          <w:rtl w:val="0"/>
        </w:rPr>
        <w:t xml:space="preserve">All Protofire personnel who process personal data must receive data protection awareness training within 30 days of joining and annually thereafter. Training must cover: the principles of this Policy; how to recognise personal data; how to recognise a data breach; the obligation to report breaches within 4 hours; and how to handle data subject requests.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Training completion is recorded as evidence per L1-EVID-004 and the Evidence Calendar.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641n3iwq7z0y" w:id="54"/>
      <w:bookmarkEnd w:id="54"/>
      <w:r w:rsidDel="00000000" w:rsidR="00000000" w:rsidRPr="00000000">
        <w:rPr>
          <w:rtl w:val="0"/>
        </w:rPr>
        <w:t xml:space="preserve">15. Enforcement and Non-Compliance</w:t>
      </w:r>
    </w:p>
    <w:p w:rsidR="00000000" w:rsidDel="00000000" w:rsidP="00000000" w:rsidRDefault="00000000" w:rsidRPr="00000000" w14:paraId="00000102">
      <w:pPr>
        <w:rPr/>
      </w:pPr>
      <w:r w:rsidDel="00000000" w:rsidR="00000000" w:rsidRPr="00000000">
        <w:rPr>
          <w:rtl w:val="0"/>
        </w:rPr>
        <w:t xml:space="preserve">Violation of this Policy may result in: mandatory remediation action; suspension of project delivery access; formal disciplinary action per L1-HR-010; contractual termination for contractors; and reporting to the relevant supervisory authority where required by law.</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Any deviation from this Policy must be managed under POL-009 (Exception &amp; Deviation Management Policy). No exception to §8 (breach notification timelines) or §7.1 (DSR response timelines) may be granted without CISO + Director of Engineering written approval and is classified as E3 (High).</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1ydtgdxzr03u" w:id="55"/>
      <w:bookmarkEnd w:id="55"/>
      <w:r w:rsidDel="00000000" w:rsidR="00000000" w:rsidRPr="00000000">
        <w:rPr>
          <w:rtl w:val="0"/>
        </w:rPr>
        <w:t xml:space="preserve">16. Integration with CL-PHASE-001 Lifecycle</w:t>
      </w:r>
    </w:p>
    <w:p w:rsidR="00000000" w:rsidDel="00000000" w:rsidP="00000000" w:rsidRDefault="00000000" w:rsidRPr="00000000" w14:paraId="00000108">
      <w:pPr>
        <w:rPr/>
      </w:pPr>
      <w:r w:rsidDel="00000000" w:rsidR="00000000" w:rsidRPr="00000000">
        <w:rPr>
          <w:rtl w:val="0"/>
        </w:rPr>
        <w:t xml:space="preserve">This Policy integrates with the Protofire GRC delivery lifecycle as follows: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b w:val="1"/>
                <w:bCs w:val="1"/>
                <w:rtl w:val="0"/>
              </w:rPr>
              <w:t xml:space="preserve">Privacy control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Responsible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Phase 1 —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DPIA screening via CL-409 during project brief (P1-AM-001)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Phase 3 — MSA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DPA clause verification in MSA checklist (P3-AM-001)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Phase 4 — 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Privacy by design requirement communicated in PSF (P4-PM-002)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Phase 5 —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DPIA execution for T2+ engagements with EU personal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CISO (DPO)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Phase 5 —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Threat model Category 4 includes data exposure scenarios (P5-TL-001)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TL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Phase 5 —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Gate G4 — vCISO verifies DPIA completion before authorising Phase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CISO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Phase 8 — Testnet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Verify no personal data in testnet deployments; pseudonymisation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TL + DevOps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Phase 9 —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Irreversibility Gate — confirm on-chain data minimisation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CISO + NO + TL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Phase 10 —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ROPA updated with production processing activities; ongoing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CISO (DPO)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Phase 12 — New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Verify ROPA is updated; prior engagement personal data retention/deletion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AM + CISO</w:t>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rPr/>
      </w:pPr>
      <w:bookmarkStart w:colFirst="0" w:colLast="0" w:name="_s3wf0egvevea" w:id="56"/>
      <w:bookmarkEnd w:id="56"/>
      <w:r w:rsidDel="00000000" w:rsidR="00000000" w:rsidRPr="00000000">
        <w:rPr>
          <w:rtl w:val="0"/>
        </w:rPr>
        <w:t xml:space="preserve">17. Standards Compliance Map</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b w:val="1"/>
                <w:bCs w:val="1"/>
              </w:rPr>
            </w:pPr>
            <w:r w:rsidDel="00000000" w:rsidR="00000000" w:rsidRPr="00000000">
              <w:rPr>
                <w:b w:val="1"/>
                <w:bCs w:val="1"/>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Clause / 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This Policy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Art.5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Art.6 Lawfulness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Art.9 Special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Art.12–23 Data subject rights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Art.24 Controller accountability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§1, §3.7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Art.25 Privacy by design/default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Art.28 Processor obligations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Art.30 ROPA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Art.33/34 Breach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Art.35/36 DPIA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Art.37–39 DPO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Art.44–49 International transfers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ISO/IEC 27001:2022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A.5.34 Privacy and PII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§3,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ISO/IEC 27001:2022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A.5.12 Classification of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§2.2 (via S-109)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NIST CSF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PR.DS 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§3.6, §11.3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SOC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CC6.1 Logical and physical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§3.6 (via POL-004)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Art.5 ICT risk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§6, §8</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rPr/>
      </w:pPr>
      <w:bookmarkStart w:colFirst="0" w:colLast="0" w:name="_asrn095hjam2" w:id="57"/>
      <w:bookmarkEnd w:id="57"/>
      <w:r w:rsidDel="00000000" w:rsidR="00000000" w:rsidRPr="00000000">
        <w:rPr>
          <w:rtl w:val="0"/>
        </w:rPr>
        <w:t xml:space="preserve">18. Related Documents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b w:val="1"/>
                <w:bCs w:val="1"/>
                <w:rtl w:val="0"/>
              </w:rPr>
              <w:t xml:space="preserve">Doc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Relationship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PR-208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Data Breach Notification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Implements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PR-209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Data Subject Rights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Implements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GL-304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Privacy by Design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Implements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CL-409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DPIA Screening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Operationalises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REG-505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Records of Processing Activities (ROPA)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Operationalises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REG-510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DPIA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Operationalises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POL-008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Documentation &amp; Records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Retention schedules for personal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POL-004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Access Control &amp; SoD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Access controls for personal data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S-109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Data Classification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Classification scheme for personal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L1-EVID-004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Evidence &amp; Recordkeeping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Evidence requirements for privacy controls</w:t>
            </w:r>
          </w:p>
        </w:tc>
      </w:tr>
    </w:tbl>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rPr/>
      </w:pPr>
      <w:bookmarkStart w:colFirst="0" w:colLast="0" w:name="_hdudut6tu629" w:id="58"/>
      <w:bookmarkEnd w:id="58"/>
      <w:r w:rsidDel="00000000" w:rsidR="00000000" w:rsidRPr="00000000">
        <w:rPr>
          <w:rtl w:val="0"/>
        </w:rPr>
        <w:t xml:space="preserve">19. Review</w:t>
      </w:r>
    </w:p>
    <w:p w:rsidR="00000000" w:rsidDel="00000000" w:rsidP="00000000" w:rsidRDefault="00000000" w:rsidRPr="00000000" w14:paraId="0000018B">
      <w:pPr>
        <w:rPr/>
      </w:pPr>
      <w:r w:rsidDel="00000000" w:rsidR="00000000" w:rsidRPr="00000000">
        <w:rPr>
          <w:rtl w:val="0"/>
        </w:rPr>
        <w:t xml:space="preserve">This Policy is reviewed annually by the CISO (DPO function) and upon any material change to GDPR, applicable national privacy law, DORA, or Protofire's processing activities. The CISO is responsible for initiating and completing the review. Material changes require Director of Engineering co-approval.</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rPr/>
      </w:pPr>
      <w:bookmarkStart w:colFirst="0" w:colLast="0" w:name="_n51elgauhs9c" w:id="59"/>
      <w:bookmarkEnd w:id="59"/>
      <w:r w:rsidDel="00000000" w:rsidR="00000000" w:rsidRPr="00000000">
        <w:rPr>
          <w:rtl w:val="0"/>
        </w:rPr>
        <w:t xml:space="preserve">20. Approval</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b w:val="1"/>
                <w:bCs w:val="1"/>
              </w:rPr>
            </w:pPr>
            <w:r w:rsidDel="00000000" w:rsidR="00000000" w:rsidRPr="00000000">
              <w:rPr>
                <w:b w:val="1"/>
                <w:bCs w:val="1"/>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CISO (DPO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Director of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Node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r>
          </w:p>
        </w:tc>
      </w:tr>
    </w:tbl>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i w:val="1"/>
          <w:iCs w:val="1"/>
          <w:rtl w:val="0"/>
        </w:rPr>
        <w:t xml:space="preserve">Document end — POL-011 v1.0</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