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Vendor Security Assessment Standard</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S-115  •  L1 Standard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S-115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Vendor Security Assessment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L1 —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 + per onboarding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POL-007; S-109; L1-EVID-004; REG-505 (sub-processors)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Defines the methodology for security assessment of third-party vendors (suppliers, SaaS, infrastructure providers, auditors, sub-processors) whose failure, compromise or malfeasance could impact Protofire confidentiality, integrity, availability or the assets it stewards.</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vendors with access to DC-2 or above data, or any vendor whose service is on the engagement critical path (oracles, bridges, RPC providers, cloud IaaS, CI/CD, monitoring, key-management, audit firms). Excludes: one-off purchases with no ongoing data access (e.g., SWAG).</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Vendor Classification</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600"/>
        <w:gridCol w:w="1800"/>
        <w:gridCol w:w="2800"/>
        <w:tblGridChange w:id="0">
          <w:tblGrid>
            <w:gridCol w:w="1600"/>
            <w:gridCol w:w="2200"/>
            <w:gridCol w:w="1600"/>
            <w:gridCol w:w="1800"/>
            <w:gridCol w:w="2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Examples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Frequency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Assessor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18"/>
                <w:szCs w:val="18"/>
                <w:rtl w:val="0"/>
              </w:rPr>
              <w:t xml:space="preserve">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Critical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Oracle providers, bridges, RPC, key-management, cloud IaaS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Annual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CISO + 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Full questionnaire + on-chain/SLA monitoring + incident history + exit plan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Cloud SaaS, audit firms, L1 monitoring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Every 18 months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Security questionnaire + SOC 2 or ISO 27001 cert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Tooling, analytics, non-technical SaaS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Every 2 years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Self-assessment questionnaire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Non-technical services, office suppliers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At onboarding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Account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NDA + basic due diligence</w:t>
            </w:r>
            <w:r w:rsidDel="00000000" w:rsidR="00000000" w:rsidRPr="00000000">
              <w:rPr>
                <w:rtl w:val="0"/>
              </w:rPr>
            </w:r>
          </w:p>
        </w:tc>
      </w:tr>
    </w:tbl>
    <w:p w:rsidR="00000000" w:rsidDel="00000000" w:rsidP="00000000" w:rsidRDefault="00000000" w:rsidRPr="00000000" w14:paraId="0000004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Atomic Requirements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00"/>
        <w:gridCol w:w="2500"/>
        <w:tblGridChange w:id="0">
          <w:tblGrid>
            <w:gridCol w:w="1500"/>
            <w:gridCol w:w="6000"/>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sz w:val="18"/>
                <w:szCs w:val="18"/>
                <w:rtl w:val="0"/>
              </w:rPr>
              <w:t xml:space="preserve">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S115-R01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Critical vendors assessed before onboarding; no access before completion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IF critical AND assessment IS NULL THEN block(onboard)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S115-R02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Exit strategy documented for all Critical vendors — key handover, data extraction, alternative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IF critical AND exit_plan IS NULL THEN flag(gap)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S115-R03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Vendor security incidents reported to CISO within 24h of vendor notification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IF vendor_incident THEN notify(CISO, 24h)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S115-R04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Sub-processor chain documented for all vendors handling DC-3+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IF vendor.data_tier &gt;= DC3 THEN document(sub_processors)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S115-R05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Contracts include right-to-audit and breach-notification within 24h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IF critical OR high THEN require(audit_right + 24h_notice)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S115-R06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Annual concentration review — revenue share + critical-path share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annual_review(concentration)</w:t>
            </w:r>
            <w:r w:rsidDel="00000000" w:rsidR="00000000" w:rsidRPr="00000000">
              <w:rPr>
                <w:rtl w:val="0"/>
              </w:rPr>
            </w:r>
          </w:p>
        </w:tc>
      </w:tr>
    </w:tbl>
    <w:p w:rsidR="00000000" w:rsidDel="00000000" w:rsidP="00000000" w:rsidRDefault="00000000" w:rsidRPr="00000000" w14:paraId="0000005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Assessment Questionnaire (Critical — excerpt)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Organisational: legal entity, jurisdictions, ownership, ISO 27001/SOC 2 status, DPO.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Governance: security org, policies, training cadence.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controls: MFA, JML, privileged-access management.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Crypto: at-rest/in-transit standards, key management, HSM use.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SDLC: SAST/DAST/SCA, code review, secret scanning, dependency management.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logging, monitoring, alert response times, on-call.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Incident history: last 24 months of reportable incidents + remediation.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Sub-processors: list, DPA status, ownership chain.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Transfer safeguards: if outside EEA, mechanism (SCC/adequacy/BCR).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Continuity: RTO/RPO, DR exercises, last test date.</w:t>
      </w:r>
    </w:p>
    <w:p w:rsidR="00000000" w:rsidDel="00000000" w:rsidP="00000000" w:rsidRDefault="00000000" w:rsidRPr="00000000" w14:paraId="0000006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Decision Gate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 — no unmitigated Critical findings; High findings have accepted remediation plan.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 PASS with named remediation items on a schedule.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 — Critical finding or disqualifying incident history; vendor rejected or escalated.</w:t>
      </w:r>
    </w:p>
    <w:p w:rsidR="00000000" w:rsidDel="00000000" w:rsidP="00000000" w:rsidRDefault="00000000" w:rsidRPr="00000000" w14:paraId="0000006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Concentration Controls</w:t>
      </w:r>
      <w:r w:rsidDel="00000000" w:rsidR="00000000" w:rsidRPr="00000000">
        <w:rPr>
          <w:rtl w:val="0"/>
        </w:rPr>
      </w:r>
    </w:p>
    <w:p w:rsidR="00000000" w:rsidDel="00000000" w:rsidP="00000000" w:rsidRDefault="00000000" w:rsidRPr="00000000" w14:paraId="00000066">
      <w:pPr>
        <w:spacing w:after="100" w:lineRule="auto"/>
        <w:jc w:val="both"/>
        <w:rPr/>
      </w:pPr>
      <w:r w:rsidDel="00000000" w:rsidR="00000000" w:rsidRPr="00000000">
        <w:rPr>
          <w:rFonts w:ascii="Arial" w:cs="Arial" w:eastAsia="Arial" w:hAnsi="Arial"/>
          <w:sz w:val="20"/>
          <w:szCs w:val="20"/>
          <w:rtl w:val="0"/>
        </w:rPr>
        <w:t xml:space="preserve">No single Critical vendor may exceed 35% of any one service category (e.g., RPC, cloud). Concentration is tracked as KRI-14 in STD-110 and reviewed at the quarterly NOC meeting.</w:t>
      </w:r>
      <w:r w:rsidDel="00000000" w:rsidR="00000000" w:rsidRPr="00000000">
        <w:rPr>
          <w:rtl w:val="0"/>
        </w:rPr>
      </w:r>
    </w:p>
    <w:p w:rsidR="00000000" w:rsidDel="00000000" w:rsidP="00000000" w:rsidRDefault="00000000" w:rsidRPr="00000000" w14:paraId="0000006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sz w:val="18"/>
                <w:szCs w:val="18"/>
                <w:rtl w:val="0"/>
              </w:rPr>
              <w:t xml:space="preserve">How S-115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A.5.19 — A.5.23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Supplier management cluster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GV.SC-01..10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Supply-chain governance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Art. 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Processor engagement requirements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C17 Third-party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Defining standard</w:t>
            </w:r>
            <w:r w:rsidDel="00000000" w:rsidR="00000000" w:rsidRPr="00000000">
              <w:rPr>
                <w:rtl w:val="0"/>
              </w:rPr>
            </w:r>
          </w:p>
        </w:tc>
      </w:tr>
    </w:tbl>
    <w:p w:rsidR="00000000" w:rsidDel="00000000" w:rsidP="00000000" w:rsidRDefault="00000000" w:rsidRPr="00000000" w14:paraId="0000007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78">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79">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7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7B">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7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7D">
      <w:pPr>
        <w:spacing w:after="100" w:lineRule="auto"/>
        <w:jc w:val="both"/>
        <w:rPr/>
      </w:pPr>
      <w:r w:rsidDel="00000000" w:rsidR="00000000" w:rsidRPr="00000000">
        <w:rPr>
          <w:rFonts w:ascii="Arial" w:cs="Arial" w:eastAsia="Arial" w:hAnsi="Arial"/>
          <w:sz w:val="20"/>
          <w:szCs w:val="20"/>
          <w:rtl w:val="0"/>
        </w:rPr>
        <w:t xml:space="preserve">This document is reviewed on a annual + per onboarding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7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8B">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Fonts w:ascii="Arial" w:cs="Arial" w:eastAsia="Arial" w:hAnsi="Arial"/>
        <w:color w:val="808080"/>
        <w:sz w:val="16"/>
        <w:szCs w:val="16"/>
        <w:rtl w:val="0"/>
      </w:rPr>
      <w:t xml:space="preserve">Confidential — Internal    |    S-115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