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Delivery Security Standard (8-Stage)</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STD-101  •  L1 Standard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STD-101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Delivery Security Standard (8-Stage)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L1 — Standard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 + per gate-model change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POL-001; POL-006; CL-PHASE-001; gate-evidence-map; lifecycle-model; control-catalogue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Defines the mandatory security controls, evidence, signers and hard-stop checkpoints at each gate of the 8-stage Protofire delivery lifecycle. STD-101 is the operating spine that connects the lifecycle model to the Annex-A control catalogue and makes every gate decision auditable.</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All client and internal engagements governed by L2-DEL-101 — both Track A (Protofire-led) and Track B (client-led). Non-engagement activities (HR, finance) are out of scope.</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8-Gate Model (reference)</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800"/>
        <w:gridCol w:w="2400"/>
        <w:gridCol w:w="3400"/>
        <w:tblGridChange w:id="0">
          <w:tblGrid>
            <w:gridCol w:w="1400"/>
            <w:gridCol w:w="2800"/>
            <w:gridCol w:w="2400"/>
            <w:gridCol w:w="3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Gate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Focus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sz w:val="18"/>
                <w:szCs w:val="18"/>
                <w:rtl w:val="0"/>
              </w:rPr>
              <w:t xml:space="preserve">Signers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8"/>
                <w:szCs w:val="18"/>
                <w:rtl w:val="0"/>
              </w:rPr>
              <w:t xml:space="preserve">Key Evidence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sz w:val="18"/>
                <w:szCs w:val="18"/>
                <w:rtl w:val="0"/>
              </w:rPr>
              <w:t xml:space="preserve">G1-A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Pre-sales qualification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AM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Risk worksheet, OFAC screen, hard-stop check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G1-B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Proposal acknowledgement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AM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Written client ack (Track B), proposal with security section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G2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MSA execution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NO + Legal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Signed MSA with LEGAL-02 clauses, billing schedule setup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G3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Kickoff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PM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Named RACI-001, PSF initiated, kickoff minutes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G4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Design / threat 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TL + CISO (vCISO mandatory)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Threat model (all 4 categories), admin matrix, SAST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G5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Implementation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TL + QA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Internal audit, test coverage, change classification per POL-005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G6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Deployment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TL + DevOps + 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Runbook, two-person rule evidence, monitoring wired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G7-IRR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Irreversibility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NO + CISO + TL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Irreversibility Gate Checklist, Board informed if Tier&gt;=T3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G8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Closure / transition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NO + PM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Handover pack, monitoring transfer, lessons learned</w:t>
            </w:r>
            <w:r w:rsidDel="00000000" w:rsidR="00000000" w:rsidRPr="00000000">
              <w:rPr>
                <w:rtl w:val="0"/>
              </w:rPr>
            </w:r>
          </w:p>
        </w:tc>
      </w:tr>
    </w:tbl>
    <w:p w:rsidR="00000000" w:rsidDel="00000000" w:rsidP="00000000" w:rsidRDefault="00000000" w:rsidRPr="00000000" w14:paraId="0000004F">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Control-Timing Principles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Preventive controls MUST be applied before the gate (e.g., OFAC before G1-A, DPIA before G3).</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Detective controls MUST be applied after the gate (e.g., monitoring after G6, KRI thresholds after G8).</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Corrective controls are driven by the exception process (POL-009) or incident process (L2-INC-201).</w:t>
      </w:r>
    </w:p>
    <w:p w:rsidR="00000000" w:rsidDel="00000000" w:rsidP="00000000" w:rsidRDefault="00000000" w:rsidRPr="00000000" w14:paraId="0000005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Atomic Requirements</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6000"/>
        <w:gridCol w:w="2500"/>
        <w:tblGridChange w:id="0">
          <w:tblGrid>
            <w:gridCol w:w="1500"/>
            <w:gridCol w:w="6000"/>
            <w:gridCol w:w="25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1"/>
                <w:bCs w:val="1"/>
                <w:sz w:val="18"/>
                <w:szCs w:val="18"/>
                <w:rtl w:val="0"/>
              </w:rPr>
              <w:t xml:space="preserve">Req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1"/>
                <w:bCs w:val="1"/>
                <w:sz w:val="18"/>
                <w:szCs w:val="18"/>
                <w:rtl w:val="0"/>
              </w:rPr>
              <w:t xml:space="preserve">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1"/>
                <w:bCs w:val="1"/>
                <w:sz w:val="18"/>
                <w:szCs w:val="18"/>
                <w:rtl w:val="0"/>
              </w:rPr>
              <w:t xml:space="preserve">Enforcement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STD-R01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Each gate has mandatory controls, signers, and evidence per the gate-evidence map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IF evidence_missing THEN block(gate)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STD-R02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Preventive controls applied before the gate; detective after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control_timing(gate)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STD-R03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All gate decisions produce a record: decision, signers, timestamp, evidence links, conditions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create(gate_record)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STD-R04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Conditional approvals create automatic follow-up tickets with due dates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IF conditional THEN create_tasks(conditions)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STD-R05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Gate record immutable after sign-off; changes require new supersession record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immutability_after_signoff()</w:t>
            </w:r>
            <w:r w:rsidDel="00000000" w:rsidR="00000000" w:rsidRPr="00000000">
              <w:rPr>
                <w:rtl w:val="0"/>
              </w:rPr>
            </w:r>
          </w:p>
        </w:tc>
      </w:tr>
    </w:tbl>
    <w:p w:rsidR="00000000" w:rsidDel="00000000" w:rsidP="00000000" w:rsidRDefault="00000000" w:rsidRPr="00000000" w14:paraId="0000006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Hard Stops (HS-01..HS-07) — anchor points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HS-01 OFAC — verified at G1-A; unverifiable = block.</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HS-02 No MSA — no Phase 3 activity before G2.</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HS-03 TVL — above-tier TVL requires NO+CFO+Board at G4/G7-IRR.</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HS-04 Concentration — single-client revenue share &gt; 35% escalates to NOC.</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HS-05 Payment arrears &gt; 60 days — stop-work order at G5/G6.</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HS-06 Irreversibility — G7-IRR blocked without full checklist.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HS-07 Custody — Protofire does not hold client private keys except under signed key-custody addendum.</w:t>
      </w:r>
    </w:p>
    <w:p w:rsidR="00000000" w:rsidDel="00000000" w:rsidP="00000000" w:rsidRDefault="00000000" w:rsidRPr="00000000" w14:paraId="0000006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Evidence Production</w:t>
      </w:r>
      <w:r w:rsidDel="00000000" w:rsidR="00000000" w:rsidRPr="00000000">
        <w:rPr>
          <w:rtl w:val="0"/>
        </w:rPr>
      </w:r>
    </w:p>
    <w:p w:rsidR="00000000" w:rsidDel="00000000" w:rsidP="00000000" w:rsidRDefault="00000000" w:rsidRPr="00000000" w14:paraId="0000006F">
      <w:pPr>
        <w:spacing w:after="100" w:lineRule="auto"/>
        <w:jc w:val="both"/>
        <w:rPr/>
      </w:pPr>
      <w:r w:rsidDel="00000000" w:rsidR="00000000" w:rsidRPr="00000000">
        <w:rPr>
          <w:rFonts w:ascii="Arial" w:cs="Arial" w:eastAsia="Arial" w:hAnsi="Arial"/>
          <w:sz w:val="20"/>
          <w:szCs w:val="20"/>
          <w:rtl w:val="0"/>
        </w:rPr>
        <w:t xml:space="preserve">Every gate produces a gate record including: (a) decision, (b) signers + timestamp, (c) classification per S-109, (d) evidence URIs (immutable after sign-off), (e) conditions with owners and due dates. Records are stored per L1-EVID-004 in the evidence vault and indexed in REG-511.</w:t>
      </w:r>
      <w:r w:rsidDel="00000000" w:rsidR="00000000" w:rsidRPr="00000000">
        <w:rPr>
          <w:rtl w:val="0"/>
        </w:rPr>
      </w:r>
    </w:p>
    <w:p w:rsidR="00000000" w:rsidDel="00000000" w:rsidP="00000000" w:rsidRDefault="00000000" w:rsidRPr="00000000" w14:paraId="0000007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8. Control Mapping</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sz w:val="18"/>
                <w:szCs w:val="18"/>
                <w:rtl w:val="0"/>
              </w:rPr>
              <w:t xml:space="preserve">How STD-101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A.5.1, A.5.37, A.6.3, A.8.25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Policies, documented procedures, training, secure development lifecycle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GV, ID, PR, DE, RS, RC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Gate model operationalises all six functions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C01..C20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Gate-aligned application of full catalogue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sz w:val="18"/>
                <w:szCs w:val="18"/>
                <w:rtl w:val="0"/>
              </w:rPr>
              <w:t xml:space="preserve">SOC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sz w:val="18"/>
                <w:szCs w:val="18"/>
                <w:rtl w:val="0"/>
              </w:rPr>
              <w:t xml:space="preserve">CC1–CC9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Entity-level + activity-level controls</w:t>
            </w:r>
            <w:r w:rsidDel="00000000" w:rsidR="00000000" w:rsidRPr="00000000">
              <w:rPr>
                <w:rtl w:val="0"/>
              </w:rPr>
            </w:r>
          </w:p>
        </w:tc>
      </w:tr>
    </w:tbl>
    <w:p w:rsidR="00000000" w:rsidDel="00000000" w:rsidP="00000000" w:rsidRDefault="00000000" w:rsidRPr="00000000" w14:paraId="0000008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81">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82">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8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84">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85">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86">
      <w:pPr>
        <w:spacing w:after="100" w:lineRule="auto"/>
        <w:jc w:val="both"/>
        <w:rPr/>
      </w:pPr>
      <w:r w:rsidDel="00000000" w:rsidR="00000000" w:rsidRPr="00000000">
        <w:rPr>
          <w:rFonts w:ascii="Arial" w:cs="Arial" w:eastAsia="Arial" w:hAnsi="Arial"/>
          <w:sz w:val="20"/>
          <w:szCs w:val="20"/>
          <w:rtl w:val="0"/>
        </w:rPr>
        <w:t xml:space="preserve">This document is reviewed on a annual + on gate-model change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87">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9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jc w:val="right"/>
      <w:rPr/>
    </w:pPr>
    <w:r w:rsidDel="00000000" w:rsidR="00000000" w:rsidRPr="00000000">
      <w:rPr>
        <w:rFonts w:ascii="Arial" w:cs="Arial" w:eastAsia="Arial" w:hAnsi="Arial"/>
        <w:color w:val="808080"/>
        <w:sz w:val="16"/>
        <w:szCs w:val="16"/>
        <w:rtl w:val="0"/>
      </w:rPr>
      <w:t xml:space="preserve">Confidential — Internal    |    STD-101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