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left"/>
        <w:rPr/>
      </w:pPr>
      <w:r w:rsidDel="00000000" w:rsidR="00000000" w:rsidRPr="00000000">
        <w:rPr>
          <w:b w:val="1"/>
          <w:bCs w:val="1"/>
          <w:color w:val="2e75b6"/>
          <w:sz w:val="22"/>
          <w:szCs w:val="22"/>
          <w:rtl w:val="0"/>
        </w:rPr>
        <w:t xml:space="preserve">STD-110</w:t>
      </w:r>
      <w:r w:rsidDel="00000000" w:rsidR="00000000" w:rsidRPr="00000000">
        <w:rPr>
          <w:rtl w:val="0"/>
        </w:rPr>
      </w:r>
    </w:p>
    <w:p w:rsidR="00000000" w:rsidDel="00000000" w:rsidP="00000000" w:rsidRDefault="00000000" w:rsidRPr="00000000" w14:paraId="00000002">
      <w:pPr>
        <w:pStyle w:val="Title"/>
        <w:spacing w:after="120" w:lineRule="auto"/>
        <w:jc w:val="left"/>
        <w:rPr/>
      </w:pPr>
      <w:r w:rsidDel="00000000" w:rsidR="00000000" w:rsidRPr="00000000">
        <w:rPr>
          <w:b w:val="1"/>
          <w:bCs w:val="1"/>
          <w:color w:val="1f3864"/>
          <w:sz w:val="40"/>
          <w:szCs w:val="40"/>
          <w:rtl w:val="0"/>
        </w:rPr>
        <w:t xml:space="preserve">KRI Dashboard Specification</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080"/>
        <w:tblGridChange w:id="0">
          <w:tblGrid>
            <w:gridCol w:w="2000"/>
            <w:gridCol w:w="8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3">
            <w:pPr>
              <w:jc w:val="left"/>
              <w:rPr/>
            </w:pPr>
            <w:r w:rsidDel="00000000" w:rsidR="00000000" w:rsidRPr="00000000">
              <w:rPr>
                <w:b w:val="1"/>
                <w:bCs w:val="1"/>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04">
            <w:pPr>
              <w:jc w:val="left"/>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5">
            <w:pPr>
              <w:jc w:val="left"/>
              <w:rPr/>
            </w:pPr>
            <w:r w:rsidDel="00000000" w:rsidR="00000000" w:rsidRPr="00000000">
              <w:rPr>
                <w:b w:val="0"/>
                <w:bCs w:val="0"/>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b w:val="0"/>
                <w:bCs w:val="0"/>
                <w:rtl w:val="0"/>
              </w:rPr>
              <w:t xml:space="preserve">STD-110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b w:val="0"/>
                <w:bCs w:val="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b w:val="0"/>
                <w:bCs w:val="0"/>
                <w:rtl w:val="0"/>
              </w:rPr>
              <w:t xml:space="preserve">1.0-draft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b w:val="0"/>
                <w:bCs w:val="0"/>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b w:val="0"/>
                <w:bCs w:val="0"/>
                <w:rtl w:val="0"/>
              </w:rPr>
              <w:t xml:space="preserve">On approval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b w:val="0"/>
                <w:bCs w:val="0"/>
                <w:rtl w:val="0"/>
              </w:rPr>
              <w:t xml:space="preserve">Review cadence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b w:val="0"/>
                <w:bCs w:val="0"/>
                <w:rtl w:val="0"/>
              </w:rPr>
              <w:t xml:space="preserve">Annually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b w:val="0"/>
                <w:bCs w:val="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b w:val="0"/>
                <w:bCs w:val="0"/>
                <w:rtl w:val="0"/>
              </w:rPr>
              <w:t xml:space="preserve">CISO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b w:val="0"/>
                <w:bCs w:val="0"/>
                <w:rtl w:val="0"/>
              </w:rPr>
              <w:t xml:space="preserve">Approver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b w:val="0"/>
                <w:bCs w:val="0"/>
                <w:rtl w:val="0"/>
              </w:rPr>
              <w:t xml:space="preserve">CEO + 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b w:val="0"/>
                <w:bCs w:val="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b w:val="0"/>
                <w:bCs w:val="0"/>
                <w:rtl w:val="0"/>
              </w:rPr>
              <w:t xml:space="preserve">Confidential — 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b w:val="0"/>
                <w:bCs w:val="0"/>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b w:val="0"/>
                <w:bCs w:val="0"/>
                <w:rtl w:val="0"/>
              </w:rPr>
              <w:t xml:space="preserve">Draft — awaiting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b w:val="0"/>
                <w:bCs w:val="0"/>
                <w:rtl w:val="0"/>
              </w:rPr>
              <w:t xml:space="preserve">Issued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b w:val="0"/>
                <w:bCs w:val="0"/>
                <w:rtl w:val="0"/>
              </w:rPr>
              <w:t xml:space="preserve">2026-04-15</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Purpose</w:t>
      </w:r>
    </w:p>
    <w:p w:rsidR="00000000" w:rsidDel="00000000" w:rsidP="00000000" w:rsidRDefault="00000000" w:rsidRPr="00000000" w14:paraId="0000001A">
      <w:pPr>
        <w:spacing w:after="120" w:lineRule="auto"/>
        <w:rPr/>
      </w:pPr>
      <w:r w:rsidDel="00000000" w:rsidR="00000000" w:rsidRPr="00000000">
        <w:rPr>
          <w:rtl w:val="0"/>
        </w:rPr>
        <w:t xml:space="preserve">This specification defines the Key Risk Indicators (KRIs) that Protofire monitors to provide early warning of control failures, Hard Stop breaches, and emerging exposures. The KRI dashboard feeds the quarterly Board reporting, the Evidence Calendar, the Internal Audit Programme, and the CISO's Security 360 weekly review.</w:t>
      </w:r>
    </w:p>
    <w:p w:rsidR="00000000" w:rsidDel="00000000" w:rsidP="00000000" w:rsidRDefault="00000000" w:rsidRPr="00000000" w14:paraId="0000001B">
      <w:pPr>
        <w:pStyle w:val="Heading1"/>
        <w:rPr/>
      </w:pPr>
      <w:r w:rsidDel="00000000" w:rsidR="00000000" w:rsidRPr="00000000">
        <w:rPr>
          <w:rtl w:val="0"/>
        </w:rPr>
        <w:t xml:space="preserve">2. Design principles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KRI is computable from a machine-readable source (ticketing system, scan output, ledger, IdP) without manual aggregation.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KRI has two thresholds: Amber (investigate) and Red (escalate).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Red threshold that equates to a Hard Stop condition is annotated with the HS-xx reference and requires immediate escalation to CEO or CISO regardless of cadence.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KRIs are ordered from most time-sensitive (daily/per-deploy) to least (quarterly).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dashboard renders RAG (Red-Amber-Green) tiles plus a 13-week sparkline per KRI.</w:t>
      </w:r>
    </w:p>
    <w:p w:rsidR="00000000" w:rsidDel="00000000" w:rsidP="00000000" w:rsidRDefault="00000000" w:rsidRPr="00000000" w14:paraId="00000021">
      <w:pPr>
        <w:pStyle w:val="Heading1"/>
        <w:rPr/>
      </w:pPr>
      <w:r w:rsidDel="00000000" w:rsidR="00000000" w:rsidRPr="00000000">
        <w:rPr>
          <w:rtl w:val="0"/>
        </w:rPr>
        <w:t xml:space="preserve">3. KRI catalogue</w:t>
      </w:r>
    </w:p>
    <w:tbl>
      <w:tblPr>
        <w:tblStyle w:val="Table2"/>
        <w:tblW w:w="13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3600"/>
        <w:gridCol w:w="1400"/>
        <w:gridCol w:w="1600"/>
        <w:gridCol w:w="1400"/>
        <w:gridCol w:w="1440"/>
        <w:tblGridChange w:id="0">
          <w:tblGrid>
            <w:gridCol w:w="1000"/>
            <w:gridCol w:w="2600"/>
            <w:gridCol w:w="3600"/>
            <w:gridCol w:w="1400"/>
            <w:gridCol w:w="1600"/>
            <w:gridCol w:w="1400"/>
            <w:gridCol w:w="14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b w:val="1"/>
                <w:bCs w:val="1"/>
                <w:rtl w:val="0"/>
              </w:rPr>
              <w:t xml:space="preserve">KRI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b w:val="1"/>
                <w:bCs w:val="1"/>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b w:val="1"/>
                <w:bCs w:val="1"/>
                <w:rtl w:val="0"/>
              </w:rPr>
              <w:t xml:space="preserve">Formula /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b w:val="1"/>
                <w:bCs w:val="1"/>
                <w:rtl w:val="0"/>
              </w:rPr>
              <w:t xml:space="preserve">Amber threshold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b w:val="1"/>
                <w:bCs w:val="1"/>
                <w:rtl w:val="0"/>
              </w:rPr>
              <w:t xml:space="preserve">Red threshold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b w:val="1"/>
                <w:bCs w:val="1"/>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b w:val="1"/>
                <w:bCs w:val="1"/>
                <w:rtl w:val="0"/>
              </w:rPr>
              <w:t xml:space="preserve">Cadence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b w:val="0"/>
                <w:bCs w:val="0"/>
                <w:rtl w:val="0"/>
              </w:rPr>
              <w:t xml:space="preserve">KRI-001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b w:val="0"/>
                <w:bCs w:val="0"/>
                <w:rtl w:val="0"/>
              </w:rPr>
              <w:t xml:space="preserve">Open Critical findings &gt; 30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b w:val="0"/>
                <w:bCs w:val="0"/>
                <w:rtl w:val="0"/>
              </w:rPr>
              <w:t xml:space="preserve">count(findings where severity=Critical and age_days&gt;30)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Unicode MS" w:cs="Arial Unicode MS" w:eastAsia="Arial Unicode MS" w:hAnsi="Arial Unicode MS"/>
                <w:b w:val="0"/>
                <w:bCs w:val="0"/>
                <w:rtl w:val="0"/>
              </w:rPr>
              <w:t xml:space="preserv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Unicode MS" w:cs="Arial Unicode MS" w:eastAsia="Arial Unicode MS" w:hAnsi="Arial Unicode MS"/>
                <w:b w:val="0"/>
                <w:bCs w:val="0"/>
                <w:rtl w:val="0"/>
              </w:rPr>
              <w:t xml:space="preserv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b w:val="0"/>
                <w:bCs w:val="0"/>
                <w:rtl w:val="0"/>
              </w:rPr>
              <w:t xml:space="preserve">CISO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b w:val="0"/>
                <w:bCs w:val="0"/>
                <w:rtl w:val="0"/>
              </w:rPr>
              <w:t xml:space="preserve">Weekly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b w:val="0"/>
                <w:bCs w:val="0"/>
                <w:rtl w:val="0"/>
              </w:rPr>
              <w:t xml:space="preserve">KRI-002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b w:val="0"/>
                <w:bCs w:val="0"/>
                <w:rtl w:val="0"/>
              </w:rPr>
              <w:t xml:space="preserve">Engagements in T3/T4 without current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b w:val="0"/>
                <w:bCs w:val="0"/>
                <w:rtl w:val="0"/>
              </w:rPr>
              <w:t xml:space="preserve">count(engagements where tier in (T3,T4) and last_audit_days&gt;90)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Unicode MS" w:cs="Arial Unicode MS" w:eastAsia="Arial Unicode MS" w:hAnsi="Arial Unicode MS"/>
                <w:b w:val="0"/>
                <w:bCs w:val="0"/>
                <w:rtl w:val="0"/>
              </w:rPr>
              <w:t xml:space="preserv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Unicode MS" w:cs="Arial Unicode MS" w:eastAsia="Arial Unicode MS" w:hAnsi="Arial Unicode MS"/>
                <w:b w:val="0"/>
                <w:bCs w:val="0"/>
                <w:rtl w:val="0"/>
              </w:rPr>
              <w:t xml:space="preserv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b w:val="0"/>
                <w:bCs w:val="0"/>
                <w:rtl w:val="0"/>
              </w:rPr>
              <w:t xml:space="preserve">CISO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b w:val="0"/>
                <w:bCs w:val="0"/>
                <w:rtl w:val="0"/>
              </w:rPr>
              <w:t xml:space="preserve">Monthly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b w:val="0"/>
                <w:bCs w:val="0"/>
                <w:rtl w:val="0"/>
              </w:rPr>
              <w:t xml:space="preserve">KRI-003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b w:val="0"/>
                <w:bCs w:val="0"/>
                <w:rtl w:val="0"/>
              </w:rPr>
              <w:t xml:space="preserve">MFA coverage on admin accounts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b w:val="0"/>
                <w:bCs w:val="0"/>
                <w:rtl w:val="0"/>
              </w:rPr>
              <w:t xml:space="preserve">100 * mfa_enrolled_admins / total_admins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b w:val="0"/>
                <w:bCs w:val="0"/>
                <w:rtl w:val="0"/>
              </w:rPr>
              <w:t xml:space="preserve">&lt; 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b w:val="0"/>
                <w:bCs w:val="0"/>
                <w:rtl w:val="0"/>
              </w:rPr>
              <w:t xml:space="preserve">&lt; 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b w:val="0"/>
                <w:bCs w:val="0"/>
                <w:rtl w:val="0"/>
              </w:rPr>
              <w:t xml:space="preserve">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b w:val="0"/>
                <w:bCs w:val="0"/>
                <w:rtl w:val="0"/>
              </w:rPr>
              <w:t xml:space="preserve">Weekly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b w:val="0"/>
                <w:bCs w:val="0"/>
                <w:rtl w:val="0"/>
              </w:rPr>
              <w:t xml:space="preserve">KRI-004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b w:val="0"/>
                <w:bCs w:val="0"/>
                <w:rtl w:val="0"/>
              </w:rPr>
              <w:t xml:space="preserve">Cold-storage ratio of corporate assets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b w:val="0"/>
                <w:bCs w:val="0"/>
                <w:rtl w:val="0"/>
              </w:rPr>
              <w:t xml:space="preserve">100 * cold_wallet_value / total_treasury_value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b w:val="0"/>
                <w:bCs w:val="0"/>
                <w:rtl w:val="0"/>
              </w:rPr>
              <w:t xml:space="preserve">&lt; 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b w:val="0"/>
                <w:bCs w:val="0"/>
                <w:rtl w:val="0"/>
              </w:rPr>
              <w:t xml:space="preserve">&lt; 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b w:val="0"/>
                <w:bCs w:val="0"/>
                <w:rtl w:val="0"/>
              </w:rPr>
              <w:t xml:space="preserve">CFO + Treasury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b w:val="0"/>
                <w:bCs w:val="0"/>
                <w:rtl w:val="0"/>
              </w:rPr>
              <w:t xml:space="preserve">Daily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b w:val="0"/>
                <w:bCs w:val="0"/>
                <w:rtl w:val="0"/>
              </w:rPr>
              <w:t xml:space="preserve">KRI-005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b w:val="0"/>
                <w:bCs w:val="0"/>
                <w:rtl w:val="0"/>
              </w:rPr>
              <w:t xml:space="preserve">Open vulnerabilities rated 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b w:val="0"/>
                <w:bCs w:val="0"/>
                <w:rtl w:val="0"/>
              </w:rPr>
              <w:t xml:space="preserve">count(vulns where cvss&gt;=7 and status!=Closed)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Unicode MS" w:cs="Arial Unicode MS" w:eastAsia="Arial Unicode MS" w:hAnsi="Arial Unicode MS"/>
                <w:b w:val="0"/>
                <w:bCs w:val="0"/>
                <w:rtl w:val="0"/>
              </w:rPr>
              <w:t xml:space="preserve">≥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Unicode MS" w:cs="Arial Unicode MS" w:eastAsia="Arial Unicode MS" w:hAnsi="Arial Unicode MS"/>
                <w:b w:val="0"/>
                <w:bCs w:val="0"/>
                <w:rtl w:val="0"/>
              </w:rPr>
              <w:t xml:space="preserve">≥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b w:val="0"/>
                <w:bCs w:val="0"/>
                <w:rtl w:val="0"/>
              </w:rPr>
              <w:t xml:space="preserve">vCISO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b w:val="0"/>
                <w:bCs w:val="0"/>
                <w:rtl w:val="0"/>
              </w:rPr>
              <w:t xml:space="preserve">Weekly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b w:val="0"/>
                <w:bCs w:val="0"/>
                <w:rtl w:val="0"/>
              </w:rPr>
              <w:t xml:space="preserve">KRI-006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b w:val="0"/>
                <w:bCs w:val="0"/>
                <w:rtl w:val="0"/>
              </w:rPr>
              <w:t xml:space="preserve">Mean time to patch (MTTP) — 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b w:val="0"/>
                <w:bCs w:val="0"/>
                <w:rtl w:val="0"/>
              </w:rPr>
              <w:t xml:space="preserve">avg_days(close_date - detect_date) where cvss&gt;=9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b w:val="0"/>
                <w:bCs w:val="0"/>
                <w:rtl w:val="0"/>
              </w:rPr>
              <w:t xml:space="preserve">&gt; 7d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b w:val="0"/>
                <w:bCs w:val="0"/>
                <w:rtl w:val="0"/>
              </w:rPr>
              <w:t xml:space="preserve">&gt; 14d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b w:val="0"/>
                <w:bCs w:val="0"/>
                <w:rtl w:val="0"/>
              </w:rPr>
              <w:t xml:space="preserve">DevOps +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b w:val="0"/>
                <w:bCs w:val="0"/>
                <w:rtl w:val="0"/>
              </w:rPr>
              <w:t xml:space="preserve">Monthly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b w:val="0"/>
                <w:bCs w:val="0"/>
                <w:rtl w:val="0"/>
              </w:rPr>
              <w:t xml:space="preserve">KRI-007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b w:val="0"/>
                <w:bCs w:val="0"/>
                <w:rtl w:val="0"/>
              </w:rPr>
              <w:t xml:space="preserve">Payment arrears &gt; 30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b w:val="0"/>
                <w:bCs w:val="0"/>
                <w:rtl w:val="0"/>
              </w:rPr>
              <w:t xml:space="preserve">count(invoices where age_days&gt;30 and paid=false)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b w:val="0"/>
                <w:bCs w:val="0"/>
                <w:rtl w:val="0"/>
              </w:rPr>
              <w:t xml:space="preserv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Unicode MS" w:cs="Arial Unicode MS" w:eastAsia="Arial Unicode MS" w:hAnsi="Arial Unicode MS"/>
                <w:b w:val="0"/>
                <w:bCs w:val="0"/>
                <w:rtl w:val="0"/>
              </w:rPr>
              <w:t xml:space="preserve">≥ 3 (HS-05 at 60d)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b w:val="0"/>
                <w:bCs w:val="0"/>
                <w:rtl w:val="0"/>
              </w:rPr>
              <w:t xml:space="preserve">FIN +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b w:val="0"/>
                <w:bCs w:val="0"/>
                <w:rtl w:val="0"/>
              </w:rPr>
              <w:t xml:space="preserve">Weekly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b w:val="0"/>
                <w:bCs w:val="0"/>
                <w:rtl w:val="0"/>
              </w:rPr>
              <w:t xml:space="preserve">KRI-008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b w:val="0"/>
                <w:bCs w:val="0"/>
                <w:rtl w:val="0"/>
              </w:rPr>
              <w:t xml:space="preserve">Client concentration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b w:val="0"/>
                <w:bCs w:val="0"/>
                <w:rtl w:val="0"/>
              </w:rPr>
              <w:t xml:space="preserve">max_client_revenue_pct(trailing_12mo)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b w:val="0"/>
                <w:bCs w:val="0"/>
                <w:rtl w:val="0"/>
              </w:rPr>
              <w:t xml:space="preserve">&gt; 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b w:val="0"/>
                <w:bCs w:val="0"/>
                <w:rtl w:val="0"/>
              </w:rPr>
              <w:t xml:space="preserve">&gt; 60% (HS-04)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b w:val="0"/>
                <w:bCs w:val="0"/>
                <w:rtl w:val="0"/>
              </w:rPr>
              <w:t xml:space="preserve">CFO + CEO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b w:val="0"/>
                <w:bCs w:val="0"/>
                <w:rtl w:val="0"/>
              </w:rPr>
              <w:t xml:space="preserve">Monthly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b w:val="0"/>
                <w:bCs w:val="0"/>
                <w:rtl w:val="0"/>
              </w:rPr>
              <w:t xml:space="preserve">KRI-009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b w:val="0"/>
                <w:bCs w:val="0"/>
                <w:rtl w:val="0"/>
              </w:rPr>
              <w:t xml:space="preserve">Incidents SEV-1 or SEV-2 trailing 90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b w:val="0"/>
                <w:bCs w:val="0"/>
                <w:rtl w:val="0"/>
              </w:rPr>
              <w:t xml:space="preserve">count(incidents where sev in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Unicode MS" w:cs="Arial Unicode MS" w:eastAsia="Arial Unicode MS" w:hAnsi="Arial Unicode MS"/>
                <w:b w:val="0"/>
                <w:bCs w:val="0"/>
                <w:rtl w:val="0"/>
              </w:rPr>
              <w:t xml:space="preserv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Unicode MS" w:cs="Arial Unicode MS" w:eastAsia="Arial Unicode MS" w:hAnsi="Arial Unicode MS"/>
                <w:b w:val="0"/>
                <w:bCs w:val="0"/>
                <w:rtl w:val="0"/>
              </w:rPr>
              <w:t xml:space="preserv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b w:val="0"/>
                <w:bCs w:val="0"/>
                <w:rtl w:val="0"/>
              </w:rPr>
              <w:t xml:space="preserve">CISO + IR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b w:val="0"/>
                <w:bCs w:val="0"/>
                <w:rtl w:val="0"/>
              </w:rPr>
              <w:t xml:space="preserve">Weekly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b w:val="0"/>
                <w:bCs w:val="0"/>
                <w:rtl w:val="0"/>
              </w:rPr>
              <w:t xml:space="preserve">KRI-010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b w:val="0"/>
                <w:bCs w:val="0"/>
                <w:rtl w:val="0"/>
              </w:rPr>
              <w:t xml:space="preserve">Smart-contract deployments without 3rd-party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b w:val="0"/>
                <w:bCs w:val="0"/>
                <w:rtl w:val="0"/>
              </w:rPr>
              <w:t xml:space="preserve">count(mainnet_deploys where external_audit=none)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Unicode MS" w:cs="Arial Unicode MS" w:eastAsia="Arial Unicode MS" w:hAnsi="Arial Unicode MS"/>
                <w:b w:val="0"/>
                <w:bCs w:val="0"/>
                <w:rtl w:val="0"/>
              </w:rPr>
              <w:t xml:space="preserve">≥ 1 (any)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Unicode MS" w:cs="Arial Unicode MS" w:eastAsia="Arial Unicode MS" w:hAnsi="Arial Unicode MS"/>
                <w:b w:val="0"/>
                <w:bCs w:val="0"/>
                <w:rtl w:val="0"/>
              </w:rPr>
              <w:t xml:space="preserve">≥ 2 (HS-03)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b w:val="0"/>
                <w:bCs w:val="0"/>
                <w:rtl w:val="0"/>
              </w:rPr>
              <w:t xml:space="preserve">TL + vCISO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b w:val="0"/>
                <w:bCs w:val="0"/>
                <w:rtl w:val="0"/>
              </w:rPr>
              <w:t xml:space="preserve">Per deploy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b w:val="0"/>
                <w:bCs w:val="0"/>
                <w:rtl w:val="0"/>
              </w:rPr>
              <w:t xml:space="preserve">KRI-011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b w:val="0"/>
                <w:bCs w:val="0"/>
                <w:rtl w:val="0"/>
              </w:rPr>
              <w:t xml:space="preserve">Access reviews overdue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b w:val="0"/>
                <w:bCs w:val="0"/>
                <w:rtl w:val="0"/>
              </w:rPr>
              <w:t xml:space="preserve">count(nodes where monthly_access_review_overdue)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Unicode MS" w:cs="Arial Unicode MS" w:eastAsia="Arial Unicode MS" w:hAnsi="Arial Unicode MS"/>
                <w:b w:val="0"/>
                <w:bCs w:val="0"/>
                <w:rtl w:val="0"/>
              </w:rPr>
              <w:t xml:space="preserv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Unicode MS" w:cs="Arial Unicode MS" w:eastAsia="Arial Unicode MS" w:hAnsi="Arial Unicode MS"/>
                <w:b w:val="0"/>
                <w:bCs w:val="0"/>
                <w:rtl w:val="0"/>
              </w:rPr>
              <w:t xml:space="preserv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b w:val="0"/>
                <w:bCs w:val="0"/>
                <w:rtl w:val="0"/>
              </w:rPr>
              <w:t xml:space="preserve">IT + 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b w:val="0"/>
                <w:bCs w:val="0"/>
                <w:rtl w:val="0"/>
              </w:rPr>
              <w:t xml:space="preserve">Monthly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b w:val="0"/>
                <w:bCs w:val="0"/>
                <w:rtl w:val="0"/>
              </w:rPr>
              <w:t xml:space="preserve">KRI-012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b w:val="0"/>
                <w:bCs w:val="0"/>
                <w:rtl w:val="0"/>
              </w:rPr>
              <w:t xml:space="preserve">DPIA screenings overdue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b w:val="0"/>
                <w:bCs w:val="0"/>
                <w:rtl w:val="0"/>
              </w:rPr>
              <w:t xml:space="preserve">count(T2+ EU-PII engagements without CL-409 complete)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b w:val="0"/>
                <w:bCs w:val="0"/>
                <w:rtl w:val="0"/>
              </w:rPr>
              <w:t xml:space="preserv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b w:val="0"/>
                <w:bCs w:val="0"/>
                <w:rtl w:val="0"/>
              </w:rPr>
              <w:t xml:space="preserv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b w:val="0"/>
                <w:bCs w:val="0"/>
                <w:rtl w:val="0"/>
              </w:rPr>
              <w:t xml:space="preserve">DPO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b w:val="0"/>
                <w:bCs w:val="0"/>
                <w:rtl w:val="0"/>
              </w:rPr>
              <w:t xml:space="preserve">Monthly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b w:val="0"/>
                <w:bCs w:val="0"/>
                <w:rtl w:val="0"/>
              </w:rPr>
              <w:t xml:space="preserve">KRI-013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b w:val="0"/>
                <w:bCs w:val="0"/>
                <w:rtl w:val="0"/>
              </w:rPr>
              <w:t xml:space="preserve">Two-person rule violations (deploy)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b w:val="0"/>
                <w:bCs w:val="0"/>
                <w:rtl w:val="0"/>
              </w:rPr>
              <w:t xml:space="preserve">count(prod_deploys where deployer_id = reviewer_id)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Arial Unicode MS" w:cs="Arial Unicode MS" w:eastAsia="Arial Unicode MS" w:hAnsi="Arial Unicode MS"/>
                <w:b w:val="0"/>
                <w:bCs w:val="0"/>
                <w:rtl w:val="0"/>
              </w:rPr>
              <w:t xml:space="preserv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Unicode MS" w:cs="Arial Unicode MS" w:eastAsia="Arial Unicode MS" w:hAnsi="Arial Unicode MS"/>
                <w:b w:val="0"/>
                <w:bCs w:val="0"/>
                <w:rtl w:val="0"/>
              </w:rPr>
              <w:t xml:space="preserve">≥ 1 (zero-tolerance)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b w:val="0"/>
                <w:bCs w:val="0"/>
                <w:rtl w:val="0"/>
              </w:rPr>
              <w:t xml:space="preserve">CISO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b w:val="0"/>
                <w:bCs w:val="0"/>
                <w:rtl w:val="0"/>
              </w:rPr>
              <w:t xml:space="preserve">Per deploy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b w:val="0"/>
                <w:bCs w:val="0"/>
                <w:rtl w:val="0"/>
              </w:rPr>
              <w:t xml:space="preserve">KRI-014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b w:val="0"/>
                <w:bCs w:val="0"/>
                <w:rtl w:val="0"/>
              </w:rPr>
              <w:t xml:space="preserve">Policy spot-check non-conformance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b w:val="0"/>
                <w:bCs w:val="0"/>
                <w:rtl w:val="0"/>
              </w:rPr>
              <w:t xml:space="preserve">non_conformant / total_sampled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b w:val="0"/>
                <w:bCs w:val="0"/>
                <w:rtl w:val="0"/>
              </w:rPr>
              <w:t xml:space="preserve">&gt;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b w:val="0"/>
                <w:bCs w:val="0"/>
                <w:rtl w:val="0"/>
              </w:rPr>
              <w:t xml:space="preserve">&gt;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b w:val="0"/>
                <w:bCs w:val="0"/>
                <w:rtl w:val="0"/>
              </w:rPr>
              <w:t xml:space="preserve">GRC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b w:val="0"/>
                <w:bCs w:val="0"/>
                <w:rtl w:val="0"/>
              </w:rPr>
              <w:t xml:space="preserve">Quarterly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b w:val="0"/>
                <w:bCs w:val="0"/>
                <w:rtl w:val="0"/>
              </w:rPr>
              <w:t xml:space="preserve">KRI-015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b w:val="0"/>
                <w:bCs w:val="0"/>
                <w:rtl w:val="0"/>
              </w:rPr>
              <w:t xml:space="preserve">On-chain circuit-breaker (PAUSE) readiness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b w:val="0"/>
                <w:bCs w:val="0"/>
                <w:rtl w:val="0"/>
              </w:rPr>
              <w:t xml:space="preserve">count(prod_contracts where pause_role_assigned=false)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Unicode MS" w:cs="Arial Unicode MS" w:eastAsia="Arial Unicode MS" w:hAnsi="Arial Unicode MS"/>
                <w:b w:val="0"/>
                <w:bCs w:val="0"/>
                <w:rtl w:val="0"/>
              </w:rPr>
              <w:t xml:space="preserv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Unicode MS" w:cs="Arial Unicode MS" w:eastAsia="Arial Unicode MS" w:hAnsi="Arial Unicode MS"/>
                <w:b w:val="0"/>
                <w:bCs w:val="0"/>
                <w:rtl w:val="0"/>
              </w:rPr>
              <w:t xml:space="preserve">≥ 1 (zero-tolerance for DeFi)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b w:val="0"/>
                <w:bCs w:val="0"/>
                <w:rtl w:val="0"/>
              </w:rPr>
              <w:t xml:space="preserve">TL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b w:val="0"/>
                <w:bCs w:val="0"/>
                <w:rtl w:val="0"/>
              </w:rPr>
              <w:t xml:space="preserve">Monthly</w:t>
            </w:r>
            <w:r w:rsidDel="00000000" w:rsidR="00000000" w:rsidRPr="00000000">
              <w:rPr>
                <w:rtl w:val="0"/>
              </w:rPr>
            </w:r>
          </w:p>
        </w:tc>
      </w:tr>
    </w:tbl>
    <w:p w:rsidR="00000000" w:rsidDel="00000000" w:rsidP="00000000" w:rsidRDefault="00000000" w:rsidRPr="00000000" w14:paraId="00000092">
      <w:pPr>
        <w:pStyle w:val="Heading1"/>
        <w:rPr/>
      </w:pPr>
      <w:r w:rsidDel="00000000" w:rsidR="00000000" w:rsidRPr="00000000">
        <w:rPr>
          <w:rtl w:val="0"/>
        </w:rPr>
        <w:t xml:space="preserve">4. Data sources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Ticketing system: GRC work items, audit findings, incident tickets.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IdP (MFA, privileged access): directory export.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Vulnerability management tool: scan results.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Billing system: invoice age and paid status.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Treasury: multisig balances, cold/hot ratio.</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CI/CD: deployment metadata including deployer identity.</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Monitoring endpoints: Tenderly / OpenZeppelin Defender alerts.</w:t>
      </w:r>
    </w:p>
    <w:p w:rsidR="00000000" w:rsidDel="00000000" w:rsidP="00000000" w:rsidRDefault="00000000" w:rsidRPr="00000000" w14:paraId="0000009A">
      <w:pPr>
        <w:pStyle w:val="Heading1"/>
        <w:rPr/>
      </w:pPr>
      <w:r w:rsidDel="00000000" w:rsidR="00000000" w:rsidRPr="00000000">
        <w:rPr>
          <w:rtl w:val="0"/>
        </w:rPr>
        <w:t xml:space="preserve">5. Governance</w:t>
      </w:r>
    </w:p>
    <w:p w:rsidR="00000000" w:rsidDel="00000000" w:rsidP="00000000" w:rsidRDefault="00000000" w:rsidRPr="00000000" w14:paraId="0000009B">
      <w:pPr>
        <w:spacing w:after="120" w:lineRule="auto"/>
        <w:rPr/>
      </w:pPr>
      <w:r w:rsidDel="00000000" w:rsidR="00000000" w:rsidRPr="00000000">
        <w:rPr>
          <w:rtl w:val="0"/>
        </w:rPr>
        <w:t xml:space="preserve">The CISO is the KRI owner. The GRC Manager operates the dashboard. Amber breaches are reviewed at the weekly Security 360; Red breaches are escalated within one business day to the relevant Accountable role per RACI-001. A KRI that remains Red for two consecutive reporting cycles triggers a formal finding in the risk register (REG-501) with a remediation plan.</w:t>
      </w:r>
    </w:p>
    <w:p w:rsidR="00000000" w:rsidDel="00000000" w:rsidP="00000000" w:rsidRDefault="00000000" w:rsidRPr="00000000" w14:paraId="0000009C">
      <w:pPr>
        <w:pStyle w:val="Heading1"/>
        <w:rPr/>
      </w:pPr>
      <w:r w:rsidDel="00000000" w:rsidR="00000000" w:rsidRPr="00000000">
        <w:rPr>
          <w:rtl w:val="0"/>
        </w:rPr>
        <w:t xml:space="preserve">6. Change control</w:t>
      </w:r>
    </w:p>
    <w:p w:rsidR="00000000" w:rsidDel="00000000" w:rsidP="00000000" w:rsidRDefault="00000000" w:rsidRPr="00000000" w14:paraId="0000009D">
      <w:pPr>
        <w:spacing w:after="120" w:lineRule="auto"/>
        <w:rPr/>
      </w:pPr>
      <w:r w:rsidDel="00000000" w:rsidR="00000000" w:rsidRPr="00000000">
        <w:rPr>
          <w:rtl w:val="0"/>
        </w:rPr>
        <w:t xml:space="preserve">Adding, removing, or re-thresholding a KRI is a C2 change (POL-005): CISO-approved, Board-informed. Changing the data source or formula is a C3 change (requires independent validation against prior baseline).</w:t>
      </w:r>
    </w:p>
    <w:p w:rsidR="00000000" w:rsidDel="00000000" w:rsidP="00000000" w:rsidRDefault="00000000" w:rsidRPr="00000000" w14:paraId="0000009E">
      <w:pPr>
        <w:pStyle w:val="Heading1"/>
        <w:rPr/>
      </w:pPr>
      <w:r w:rsidDel="00000000" w:rsidR="00000000" w:rsidRPr="00000000">
        <w:rPr>
          <w:rtl w:val="0"/>
        </w:rPr>
        <w:t xml:space="preserve">7. Related documents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and Assurance Policy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REG-501 Risk Register</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REG-512 Evidence Calendar</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 Catalogue (Assurance Controls — KRI dashboards row)</w:t>
      </w:r>
    </w:p>
    <w:sectPr>
      <w:headerReference r:id="rId6" w:type="default"/>
      <w:footerReference r:id="rId7" w:type="default"/>
      <w:pgSz w:h="12240" w:w="15840" w:orient="landscape"/>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tabs>
        <w:tab w:val="right" w:leader="none" w:pos="14040"/>
      </w:tabs>
      <w:rPr/>
    </w:pPr>
    <w:r w:rsidDel="00000000" w:rsidR="00000000" w:rsidRPr="00000000">
      <w:rPr>
        <w:color w:val="595959"/>
        <w:sz w:val="16"/>
        <w:szCs w:val="16"/>
        <w:rtl w:val="0"/>
      </w:rPr>
      <w:t xml:space="preserve">Protofire GRC  •  v1.0-draft  •  2026-04-15Page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tabs>
        <w:tab w:val="right" w:leader="none" w:pos="14040"/>
      </w:tabs>
      <w:rPr/>
    </w:pPr>
    <w:r w:rsidDel="00000000" w:rsidR="00000000" w:rsidRPr="00000000">
      <w:rPr>
        <w:color w:val="595959"/>
        <w:sz w:val="16"/>
        <w:szCs w:val="16"/>
        <w:rtl w:val="0"/>
      </w:rPr>
      <w:t xml:space="preserve">STD-110  •  KRI Dashboard SpecificationConfidential — Internal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