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 w:cs="Arial"/>
          <w:b/>
          <w:color w:val="212833"/>
          <w:sz w:val="48"/>
        </w:rPr>
        <w:t>Yaroslavna Soldatova</w:t>
      </w:r>
    </w:p>
    <w:p>
      <w:pPr>
        <w:spacing w:after="120"/>
      </w:pPr>
      <w:r>
        <w:rPr>
          <w:rFonts w:ascii="Arial" w:hAnsi="Arial" w:eastAsia="Arial" w:cs="Arial"/>
          <w:b/>
          <w:color w:val="BC5F3A"/>
          <w:sz w:val="23"/>
        </w:rPr>
        <w:t>Senior Product Manager / Product Strategist</w:t>
      </w:r>
    </w:p>
    <w:p>
      <w:pPr>
        <w:spacing w:after="200"/>
      </w:pPr>
      <w:r>
        <w:rPr>
          <w:rFonts w:ascii="Arial" w:hAnsi="Arial" w:eastAsia="Arial" w:cs="Arial"/>
          <w:color w:val="58677A"/>
          <w:sz w:val="20"/>
        </w:rPr>
        <w:t>Москва, Россия  |  Москва / Remote  |  yaroslavnaalexandrovna@gmail.com  |  +7 964 879 17 71  |  Telegram: protoptica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  <w:shd w:fill="F6EFEA"/>
          </w:tcPr>
          <w:p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/>
                <w:color w:val="BC5F3A"/>
                <w:sz w:val="19"/>
              </w:rPr>
              <w:t>5+ лет в product management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  <w:shd w:fill="F6EFEA"/>
          </w:tcPr>
          <w:p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/>
                <w:color w:val="BC5F3A"/>
                <w:sz w:val="19"/>
              </w:rPr>
              <w:t>AI / B2B / сложные системы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  <w:shd w:fill="F6EFEA"/>
          </w:tcPr>
          <w:p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/>
                <w:color w:val="BC5F3A"/>
                <w:sz w:val="19"/>
              </w:rPr>
              <w:t>Strategy + Roadmap + Execution</w:t>
            </w:r>
          </w:p>
        </w:tc>
      </w:tr>
    </w:tbl>
    <w:p>
      <w:pPr>
        <w:spacing w:before="200" w:after="280" w:line="283" w:lineRule="auto"/>
      </w:pPr>
      <w:r>
        <w:rPr>
          <w:rFonts w:ascii="Arial" w:hAnsi="Arial" w:eastAsia="Arial" w:cs="Arial"/>
          <w:color w:val="212833"/>
          <w:sz w:val="22"/>
        </w:rPr>
        <w:t>Веду B2B- и AI-продукты в сложной среде: формирую стратегию, расставляю приоритеты, запускаю новые направления и соединяю продукт, коммерцию и операционные процессы в одну рабочую систему. Сильнее всего работаю там, где нужно разобраться в сложном контуре, принять stop/go-решения и довести их до результата.</w:t>
      </w:r>
    </w:p>
    <w:p>
      <w:pPr>
        <w:spacing w:after="80"/>
      </w:pPr>
      <w:r>
        <w:rPr>
          <w:rFonts w:ascii="Arial" w:hAnsi="Arial" w:eastAsia="Arial" w:cs="Arial"/>
          <w:b/>
          <w:color w:val="BC5F3A"/>
          <w:sz w:val="17"/>
        </w:rPr>
        <w:t>ОПЫТ</w:t>
      </w:r>
    </w:p>
    <w:p>
      <w:pPr>
        <w:spacing w:after="160"/>
      </w:pPr>
      <w:r>
        <w:rPr>
          <w:rFonts w:ascii="Arial" w:hAnsi="Arial" w:eastAsia="Arial" w:cs="Arial"/>
          <w:b/>
          <w:color w:val="212833"/>
          <w:sz w:val="30"/>
        </w:rPr>
        <w:t>Профессиональный опыт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304"/>
      </w:tblGrid>
      <w:tr>
        <w:tc>
          <w:tcPr>
            <w:tcW w:type="dxa" w:w="49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12833"/>
                <w:sz w:val="25"/>
              </w:rPr>
              <w:t>Частная стоматология</w:t>
            </w:r>
          </w:p>
          <w:p>
            <w:pPr>
              <w:spacing w:after="0"/>
            </w:pPr>
            <w:r>
              <w:rPr>
                <w:rFonts w:ascii="Arial" w:hAnsi="Arial" w:eastAsia="Arial" w:cs="Arial"/>
                <w:color w:val="58677A"/>
                <w:sz w:val="21"/>
              </w:rPr>
              <w:t>Product Manager · внутреннюю платформу перевожу в потенциальный внешний продукт</w:t>
            </w:r>
          </w:p>
        </w:tc>
        <w:tc>
          <w:tcPr>
            <w:tcW w:type="dxa" w:w="496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color w:val="BC5F3A"/>
                <w:sz w:val="20"/>
              </w:rPr>
              <w:t>01.2026 — н.в.</w:t>
            </w:r>
          </w:p>
        </w:tc>
      </w:tr>
    </w:tbl>
    <w:p/>
    <w:p>
      <w:pPr>
        <w:spacing w:after="80" w:line="283" w:lineRule="auto"/>
      </w:pPr>
      <w:r>
        <w:rPr>
          <w:rFonts w:ascii="Arial" w:hAnsi="Arial" w:eastAsia="Arial" w:cs="Arial"/>
          <w:color w:val="212833"/>
          <w:sz w:val="21"/>
        </w:rPr>
        <w:t>Веду проект на стыке продуктового аудита, стратегии и legacy-трансформации: от разбора критического сбоя в коммуникациях до оценки рыночного потенциала платформы.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Перевела проблему с WhatsApp-каналом в измеримую модель потерь: retention, no-show и операционные затраты.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Собрала multi-channel схему коммуникаций: Telegram, MAX, SMS и fallback-сценарии.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Проверила сценарий перехода на SaaS, оценила объем доработок legacy-платформы и подготовила ТЗ с учетом окупаемости.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Снизила риски зависимости от single developer и нестабильных интеграций.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Оценила рентабельность вывода решения на внешний рынок, сроки окупаемости и составила roadmap.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304"/>
      </w:tblGrid>
      <w:tr>
        <w:tc>
          <w:tcPr>
            <w:tcW w:type="dxa" w:w="49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12833"/>
                <w:sz w:val="25"/>
              </w:rPr>
              <w:t>TeamLeaders</w:t>
            </w:r>
          </w:p>
          <w:p>
            <w:pPr>
              <w:spacing w:after="0"/>
            </w:pPr>
            <w:r>
              <w:rPr>
                <w:rFonts w:ascii="Arial" w:hAnsi="Arial" w:eastAsia="Arial" w:cs="Arial"/>
                <w:color w:val="58677A"/>
                <w:sz w:val="21"/>
              </w:rPr>
              <w:t>Strategic Consultant</w:t>
            </w:r>
          </w:p>
        </w:tc>
        <w:tc>
          <w:tcPr>
            <w:tcW w:type="dxa" w:w="496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color w:val="BC5F3A"/>
                <w:sz w:val="20"/>
              </w:rPr>
              <w:t>10.2024 — 03.2026</w:t>
            </w:r>
          </w:p>
        </w:tc>
      </w:tr>
    </w:tbl>
    <w:p/>
    <w:p>
      <w:pPr>
        <w:spacing w:after="80" w:line="283" w:lineRule="auto"/>
      </w:pPr>
      <w:r>
        <w:rPr>
          <w:rFonts w:ascii="Arial" w:hAnsi="Arial" w:eastAsia="Arial" w:cs="Arial"/>
          <w:color w:val="212833"/>
          <w:sz w:val="21"/>
        </w:rPr>
        <w:t>Работала с фаундерами и C-level компаний с оборотом 1 млрд+ над продуктовой стратегией, приоритетами роста и системой принятия решений.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Собирала из разрозненных инициатив ясный контур решений и приоритетов.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Переводила обсуждения с фаундерами и C-level в гипотезы, аналитические задачи и roadmap.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Помогала командам принимать stop/go-решения на основе данных.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Структурировала стратегию роста через оценку направлений, клиентских сегментов, метрик и ресурсных ограничений.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304"/>
      </w:tblGrid>
      <w:tr>
        <w:tc>
          <w:tcPr>
            <w:tcW w:type="dxa" w:w="49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12833"/>
                <w:sz w:val="25"/>
              </w:rPr>
              <w:t>Третье Мнение</w:t>
            </w:r>
          </w:p>
          <w:p>
            <w:pPr>
              <w:spacing w:after="0"/>
            </w:pPr>
            <w:r>
              <w:rPr>
                <w:rFonts w:ascii="Arial" w:hAnsi="Arial" w:eastAsia="Arial" w:cs="Arial"/>
                <w:color w:val="58677A"/>
                <w:sz w:val="21"/>
              </w:rPr>
              <w:t>Senior Product Owner</w:t>
            </w:r>
          </w:p>
        </w:tc>
        <w:tc>
          <w:tcPr>
            <w:tcW w:type="dxa" w:w="496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color w:val="BC5F3A"/>
                <w:sz w:val="20"/>
              </w:rPr>
              <w:t>12.2023 — 10.2024</w:t>
            </w:r>
          </w:p>
        </w:tc>
      </w:tr>
    </w:tbl>
    <w:p/>
    <w:p>
      <w:pPr>
        <w:spacing w:after="80" w:line="283" w:lineRule="auto"/>
      </w:pPr>
      <w:r>
        <w:rPr>
          <w:rFonts w:ascii="Arial" w:hAnsi="Arial" w:eastAsia="Arial" w:cs="Arial"/>
          <w:color w:val="212833"/>
          <w:sz w:val="21"/>
        </w:rPr>
        <w:t>Отвечала за логику развития направления, продуктовую стратегию, roadmap, интеграции, UX, внедрение и техподдержку AI-продуктов для клиник. Работала напрямую с CEO и CPO, принимала решения по развитию направления и соединяла коммерческую, продуктовую и операционную части в единый рабочий поток.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Пересобрала один продукт с несколькими модулями в два отдельных продуктовых контура.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Запустила новый AI-модуль с нуля до бета-тестирования за 1 месяц.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Задавала приоритеты и требования для data engineering, чтобы выстроить понятную систему данных, дашбордов и e2e-процессов.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Снизила обращения в поддержку в 5 раз за счет улучшения UX, онбординга и стабильности продукта.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Сократила время поиска нужного видео в 15 раз после перезапуска ключевых UX-сценариев.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Построила модель масштабирования на базе LTV, оттока и конверсии с пилотов.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Остановила одно из нерентабельных направлений видеоаналитики, обосновав решение через рынок, конкуренцию и отсутствие потенциала роста.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Обеспечила рост числа инсталляций в 4 раза.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304"/>
      </w:tblGrid>
      <w:tr>
        <w:tc>
          <w:tcPr>
            <w:tcW w:type="dxa" w:w="49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12833"/>
                <w:sz w:val="25"/>
              </w:rPr>
              <w:t>BIOCAD</w:t>
            </w:r>
          </w:p>
          <w:p>
            <w:pPr>
              <w:spacing w:after="0"/>
            </w:pPr>
            <w:r>
              <w:rPr>
                <w:rFonts w:ascii="Arial" w:hAnsi="Arial" w:eastAsia="Arial" w:cs="Arial"/>
                <w:color w:val="58677A"/>
                <w:sz w:val="21"/>
              </w:rPr>
              <w:t>Product Owner</w:t>
            </w:r>
          </w:p>
        </w:tc>
        <w:tc>
          <w:tcPr>
            <w:tcW w:type="dxa" w:w="496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color w:val="BC5F3A"/>
                <w:sz w:val="20"/>
              </w:rPr>
              <w:t>07.2017 — 11.2023</w:t>
            </w:r>
          </w:p>
        </w:tc>
      </w:tr>
    </w:tbl>
    <w:p/>
    <w:p>
      <w:pPr>
        <w:spacing w:after="80" w:line="283" w:lineRule="auto"/>
      </w:pPr>
      <w:r>
        <w:rPr>
          <w:rFonts w:ascii="Arial" w:hAnsi="Arial" w:eastAsia="Arial" w:cs="Arial"/>
          <w:color w:val="212833"/>
          <w:sz w:val="21"/>
        </w:rPr>
        <w:t>Вела R&amp;D-продукты на стыке науки, данных и работы лабораторий: превращала исследовательские задачи в управляемый продуктовый контур с обоснованными приоритетами и сроками.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Завершили один из проектов на 3 месяца раньше плана.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Снизила простой лабораторий на 50% благодаря чек-листам и перестройке процессов.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Участвовала в Agile-трансформации департамента R&amp;D, что помогло сократить сроки реализации проектов на 50–60%.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Собрала кросс-функциональную группу по риск-менеджменту и помогла избежать 20% крупных рисков в проектах.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304"/>
      </w:tblGrid>
      <w:tr>
        <w:tc>
          <w:tcPr>
            <w:tcW w:type="dxa" w:w="49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12833"/>
                <w:sz w:val="25"/>
              </w:rPr>
              <w:t>Self-employed</w:t>
            </w:r>
          </w:p>
          <w:p>
            <w:pPr>
              <w:spacing w:after="0"/>
            </w:pPr>
            <w:r>
              <w:rPr>
                <w:rFonts w:ascii="Arial" w:hAnsi="Arial" w:eastAsia="Arial" w:cs="Arial"/>
                <w:color w:val="58677A"/>
                <w:sz w:val="21"/>
              </w:rPr>
              <w:t>Founder · AI-ассистент для психотерапевтов и психологов</w:t>
            </w:r>
          </w:p>
        </w:tc>
        <w:tc>
          <w:tcPr>
            <w:tcW w:type="dxa" w:w="496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Arial" w:hAnsi="Arial" w:eastAsia="Arial" w:cs="Arial"/>
                <w:b/>
                <w:color w:val="BC5F3A"/>
                <w:sz w:val="20"/>
              </w:rPr>
              <w:t>2023 — 2024</w:t>
            </w:r>
          </w:p>
        </w:tc>
      </w:tr>
    </w:tbl>
    <w:p/>
    <w:p>
      <w:pPr>
        <w:spacing w:after="80" w:line="283" w:lineRule="auto"/>
      </w:pPr>
      <w:r>
        <w:rPr>
          <w:rFonts w:ascii="Arial" w:hAnsi="Arial" w:eastAsia="Arial" w:cs="Arial"/>
          <w:color w:val="212833"/>
          <w:sz w:val="21"/>
        </w:rPr>
        <w:t>Запускала собственный AI-продукт для анализа терапевтических сессий и генерации саммари, рекомендаций и домашних заданий.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Провела рынок, конкурентный анализ и JTBD-исследование.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Сформировала концепцию MVP, пользовательские сценарии и ключевые метрики.</w:t>
      </w:r>
    </w:p>
    <w:p>
      <w:pPr>
        <w:pStyle w:val="ListBullet"/>
        <w:spacing w:after="40" w:line="276" w:lineRule="auto"/>
      </w:pPr>
      <w:r>
        <w:rPr>
          <w:rFonts w:ascii="Arial" w:hAnsi="Arial" w:eastAsia="Arial" w:cs="Arial"/>
          <w:color w:val="212833"/>
          <w:sz w:val="21"/>
        </w:rPr>
        <w:t>Проверяла гипотезы через интервью, прототипирование и тестирование с потенциальными пользователями.</w:t>
      </w:r>
    </w:p>
    <w:p>
      <w:pPr>
        <w:spacing w:after="160"/>
      </w:pPr>
    </w:p>
    <w:p>
      <w:pPr>
        <w:spacing w:after="80"/>
      </w:pPr>
      <w:r>
        <w:rPr>
          <w:rFonts w:ascii="Arial" w:hAnsi="Arial" w:eastAsia="Arial" w:cs="Arial"/>
          <w:b/>
          <w:color w:val="BC5F3A"/>
          <w:sz w:val="17"/>
        </w:rPr>
        <w:t>НАВЫКИ</w:t>
      </w:r>
    </w:p>
    <w:p>
      <w:pPr>
        <w:spacing w:after="160"/>
      </w:pPr>
      <w:r>
        <w:rPr>
          <w:rFonts w:ascii="Arial" w:hAnsi="Arial" w:eastAsia="Arial" w:cs="Arial"/>
          <w:b/>
          <w:color w:val="212833"/>
          <w:sz w:val="30"/>
        </w:rPr>
        <w:t>Ключевые навыки</w:t>
      </w:r>
    </w:p>
    <w:p>
      <w:pPr>
        <w:spacing w:after="200"/>
      </w:pPr>
      <w:r>
        <w:rPr>
          <w:rFonts w:ascii="Arial" w:hAnsi="Arial" w:eastAsia="Arial" w:cs="Arial"/>
          <w:color w:val="212833"/>
          <w:sz w:val="21"/>
        </w:rPr>
        <w:t>Product strategy, Product management, Prioritization, Roadmap, Discovery, JTBD, Customer Development, Stakeholder management, AI / B2B / legacy-системы, stop/go-оценка направлений, риск-менеджмент.</w:t>
      </w:r>
    </w:p>
    <w:p>
      <w:pPr>
        <w:spacing w:after="80"/>
      </w:pPr>
      <w:r>
        <w:rPr>
          <w:rFonts w:ascii="Arial" w:hAnsi="Arial" w:eastAsia="Arial" w:cs="Arial"/>
          <w:b/>
          <w:color w:val="BC5F3A"/>
          <w:sz w:val="17"/>
        </w:rPr>
        <w:t>ОБРАЗОВАНИЕ</w:t>
      </w:r>
    </w:p>
    <w:p>
      <w:pPr>
        <w:spacing w:after="160"/>
      </w:pPr>
      <w:r>
        <w:rPr>
          <w:rFonts w:ascii="Arial" w:hAnsi="Arial" w:eastAsia="Arial" w:cs="Arial"/>
          <w:b/>
          <w:color w:val="212833"/>
          <w:sz w:val="30"/>
        </w:rPr>
        <w:t>Образование</w:t>
      </w:r>
    </w:p>
    <w:p>
      <w:pPr>
        <w:spacing w:after="40"/>
      </w:pPr>
      <w:r>
        <w:rPr>
          <w:rFonts w:ascii="Arial" w:hAnsi="Arial" w:eastAsia="Arial" w:cs="Arial"/>
          <w:color w:val="212833"/>
          <w:sz w:val="21"/>
        </w:rPr>
        <w:t>Университет современной психологии — психолог-консультант</w:t>
      </w:r>
    </w:p>
    <w:p>
      <w:pPr>
        <w:spacing w:after="40"/>
      </w:pPr>
      <w:r>
        <w:rPr>
          <w:rFonts w:ascii="Arial" w:hAnsi="Arial" w:eastAsia="Arial" w:cs="Arial"/>
          <w:color w:val="212833"/>
          <w:sz w:val="21"/>
        </w:rPr>
        <w:t>Межотраслевой институт госаттестации — клинический психолог</w:t>
      </w:r>
    </w:p>
    <w:p>
      <w:pPr>
        <w:spacing w:after="40"/>
      </w:pPr>
      <w:r>
        <w:rPr>
          <w:rFonts w:ascii="Arial" w:hAnsi="Arial" w:eastAsia="Arial" w:cs="Arial"/>
          <w:color w:val="212833"/>
          <w:sz w:val="21"/>
        </w:rPr>
        <w:t>Московский государственный университет тонких химических технологий им. М.В. Ломоносова</w:t>
      </w:r>
    </w:p>
    <w:p>
      <w:pPr>
        <w:spacing w:after="40"/>
      </w:pPr>
      <w:r>
        <w:rPr>
          <w:rFonts w:ascii="Arial" w:hAnsi="Arial" w:eastAsia="Arial" w:cs="Arial"/>
          <w:color w:val="212833"/>
          <w:sz w:val="21"/>
        </w:rPr>
        <w:t>Саратовский государственный университет им. Н.Г. Чернышевского</w:t>
      </w:r>
    </w:p>
    <w:p>
      <w:pPr>
        <w:spacing w:after="80"/>
      </w:pPr>
      <w:r>
        <w:rPr>
          <w:rFonts w:ascii="Arial" w:hAnsi="Arial" w:eastAsia="Arial" w:cs="Arial"/>
          <w:b/>
          <w:color w:val="BC5F3A"/>
          <w:sz w:val="17"/>
        </w:rPr>
        <w:t>ЯЗЫКИ</w:t>
      </w:r>
    </w:p>
    <w:p>
      <w:pPr>
        <w:spacing w:after="160"/>
      </w:pPr>
      <w:r>
        <w:rPr>
          <w:rFonts w:ascii="Arial" w:hAnsi="Arial" w:eastAsia="Arial" w:cs="Arial"/>
          <w:b/>
          <w:color w:val="212833"/>
          <w:sz w:val="30"/>
        </w:rPr>
        <w:t>Языки</w:t>
      </w:r>
    </w:p>
    <w:p>
      <w:r>
        <w:rPr>
          <w:rFonts w:ascii="Arial" w:hAnsi="Arial" w:eastAsia="Arial" w:cs="Arial"/>
          <w:color w:val="212833"/>
          <w:sz w:val="21"/>
        </w:rPr>
        <w:t>Английский — B1 (Intermediate)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128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