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A3C5E"/>
          <w:sz w:val="56"/>
        </w:rPr>
        <w:t>Loan Approval Prediction</w:t>
      </w:r>
    </w:p>
    <w:p>
      <w:pPr>
        <w:spacing w:before="0" w:after="80"/>
        <w:jc w:val="center"/>
      </w:pPr>
      <w:r>
        <w:rPr>
          <w:b w:val="0"/>
          <w:color w:val="555555"/>
          <w:sz w:val="26"/>
        </w:rPr>
        <w:t>Data Analytics &amp; Machine Learning Project Report</w:t>
      </w:r>
    </w:p>
    <w:p>
      <w:pPr>
        <w:spacing w:before="0" w:after="80"/>
        <w:jc w:val="center"/>
      </w:pPr>
      <w:r>
        <w:rPr>
          <w:b w:val="0"/>
          <w:color w:val="888888"/>
          <w:sz w:val="20"/>
        </w:rPr>
        <w:t>Dataset: loan_approval_dataset.csv   |   Records: 4,269   |   Best Model: Random Forest (98.24% Accuracy)</w:t>
      </w:r>
    </w:p>
    <w:p>
      <w:pPr>
        <w:spacing w:before="0" w:after="400"/>
        <w:jc w:val="center"/>
      </w:pPr>
      <w:r>
        <w:rPr>
          <w:b w:val="0"/>
          <w:color w:val="888888"/>
          <w:sz w:val="20"/>
        </w:rPr>
        <w:t>September 2026</w:t>
      </w:r>
    </w:p>
    <w:p>
      <w:pPr>
        <w:pStyle w:val="Heading1"/>
        <w:spacing w:before="280" w:after="160"/>
      </w:pPr>
      <w:r>
        <w:rPr>
          <w:b/>
          <w:color w:val="1A3C5E"/>
          <w:sz w:val="36"/>
        </w:rPr>
        <w:t>Table of Contents</w:t>
      </w:r>
    </w:p>
    <w:p>
      <w:pPr>
        <w:spacing w:before="0" w:after="60"/>
        <w:jc w:val="left"/>
      </w:pPr>
      <w:r>
        <w:rPr>
          <w:b w:val="0"/>
          <w:sz w:val="22"/>
        </w:rPr>
        <w:t>1. Problem Statement</w:t>
      </w:r>
    </w:p>
    <w:p>
      <w:pPr>
        <w:spacing w:before="0" w:after="60"/>
        <w:jc w:val="left"/>
      </w:pPr>
      <w:r>
        <w:rPr>
          <w:b w:val="0"/>
          <w:sz w:val="22"/>
        </w:rPr>
        <w:t>2. Dataset Overview</w:t>
      </w:r>
    </w:p>
    <w:p>
      <w:pPr>
        <w:spacing w:before="0" w:after="60"/>
        <w:jc w:val="left"/>
      </w:pPr>
      <w:r>
        <w:rPr>
          <w:b w:val="0"/>
          <w:sz w:val="22"/>
        </w:rPr>
        <w:t>3. Data Cleaning &amp; Preprocessing</w:t>
      </w:r>
    </w:p>
    <w:p>
      <w:pPr>
        <w:spacing w:before="0" w:after="60"/>
        <w:jc w:val="left"/>
      </w:pPr>
      <w:r>
        <w:rPr>
          <w:b w:val="0"/>
          <w:sz w:val="22"/>
        </w:rPr>
        <w:t>4. Exploratory Data Analysis (EDA) — with Charts</w:t>
      </w:r>
    </w:p>
    <w:p>
      <w:pPr>
        <w:spacing w:before="0" w:after="60"/>
        <w:jc w:val="left"/>
      </w:pPr>
      <w:r>
        <w:rPr>
          <w:b w:val="0"/>
          <w:sz w:val="22"/>
        </w:rPr>
        <w:t>5. Machine Learning Models — with Charts</w:t>
      </w:r>
    </w:p>
    <w:p>
      <w:pPr>
        <w:spacing w:before="0" w:after="60"/>
        <w:jc w:val="left"/>
      </w:pPr>
      <w:r>
        <w:rPr>
          <w:b w:val="0"/>
          <w:sz w:val="22"/>
        </w:rPr>
        <w:t>6. Feature Importance — with Chart</w:t>
      </w:r>
    </w:p>
    <w:p>
      <w:pPr>
        <w:spacing w:before="0" w:after="60"/>
        <w:jc w:val="left"/>
      </w:pPr>
      <w:r>
        <w:rPr>
          <w:b w:val="0"/>
          <w:sz w:val="22"/>
        </w:rPr>
        <w:t>7. Business Decisions</w:t>
      </w:r>
    </w:p>
    <w:p>
      <w:pPr>
        <w:spacing w:before="0" w:after="60"/>
        <w:jc w:val="left"/>
      </w:pPr>
      <w:r>
        <w:rPr>
          <w:b w:val="0"/>
          <w:sz w:val="22"/>
        </w:rPr>
        <w:t>8. Conclusion &amp; Recommendations</w:t>
      </w:r>
    </w:p>
    <w:p/>
    <w:p>
      <w:pPr>
        <w:pStyle w:val="Heading1"/>
        <w:spacing w:before="280" w:after="160"/>
      </w:pPr>
      <w:r>
        <w:rPr>
          <w:b/>
          <w:color w:val="1A3C5E"/>
          <w:sz w:val="36"/>
        </w:rPr>
        <w:t>1. Problem Statement</w:t>
      </w:r>
    </w:p>
    <w:p>
      <w:pPr>
        <w:spacing w:before="0" w:after="160"/>
        <w:jc w:val="left"/>
      </w:pPr>
      <w:r>
        <w:rPr>
          <w:b w:val="0"/>
          <w:sz w:val="22"/>
        </w:rPr>
        <w:t>Financial institutions process thousands of loan applications each year. Deciding which applicants to approve or reject is critical and high-stakes. Manual review is slow, expensive, and inconsistent due to human bias. A data-driven automated system enables banks to make faster, fairer, and more accurate decisions — reducing the risk of bad loans while minimising unnecessary rejections.</w:t>
      </w:r>
    </w:p>
    <w:p>
      <w:pPr>
        <w:pStyle w:val="Heading2"/>
        <w:spacing w:before="200" w:after="120"/>
      </w:pPr>
      <w:r>
        <w:rPr>
          <w:b/>
          <w:color w:val="2E86DE"/>
          <w:sz w:val="28"/>
        </w:rPr>
        <w:t>Objectives</w:t>
      </w:r>
    </w:p>
    <w:p>
      <w:pPr>
        <w:pStyle w:val="ListBullet"/>
        <w:spacing w:after="60"/>
      </w:pPr>
      <w:r>
        <w:rPr>
          <w:sz w:val="22"/>
        </w:rPr>
        <w:t>Analyze the key factors that influence loan approval decisions using real applicant data.</w:t>
      </w:r>
    </w:p>
    <w:p>
      <w:pPr>
        <w:pStyle w:val="ListBullet"/>
        <w:spacing w:after="60"/>
      </w:pPr>
      <w:r>
        <w:rPr>
          <w:sz w:val="22"/>
        </w:rPr>
        <w:t>Build and compare multiple machine learning classification models for predicting loan outcomes.</w:t>
      </w:r>
    </w:p>
    <w:p>
      <w:pPr>
        <w:pStyle w:val="ListBullet"/>
        <w:spacing w:after="60"/>
      </w:pPr>
      <w:r>
        <w:rPr>
          <w:sz w:val="22"/>
        </w:rPr>
        <w:t>Identify the most important features driving approval or rejection.</w:t>
      </w:r>
    </w:p>
    <w:p>
      <w:pPr>
        <w:pStyle w:val="ListBullet"/>
        <w:spacing w:after="60"/>
      </w:pPr>
      <w:r>
        <w:rPr>
          <w:sz w:val="22"/>
        </w:rPr>
        <w:t>Provide actionable, data-backed business recommendations to the lending institution.</w:t>
      </w:r>
    </w:p>
    <w:p>
      <w:pPr>
        <w:pStyle w:val="ListBullet"/>
        <w:spacing w:after="60"/>
      </w:pPr>
      <w:r>
        <w:rPr>
          <w:sz w:val="22"/>
        </w:rPr>
        <w:t>Deploy an interactive prediction interface using Streamlit for real-time use by loan officers.</w:t>
      </w:r>
    </w:p>
    <w:p/>
    <w:p>
      <w:pPr>
        <w:pStyle w:val="Heading1"/>
        <w:spacing w:before="280" w:after="160"/>
      </w:pPr>
      <w:r>
        <w:rPr>
          <w:b/>
          <w:color w:val="1A3C5E"/>
          <w:sz w:val="36"/>
        </w:rPr>
        <w:t>2. Dataset Overview</w:t>
      </w:r>
    </w:p>
    <w:p>
      <w:pPr>
        <w:spacing w:before="0" w:after="160"/>
        <w:jc w:val="left"/>
      </w:pPr>
      <w:r>
        <w:rPr>
          <w:b w:val="0"/>
          <w:sz w:val="22"/>
        </w:rPr>
        <w:t>The dataset loan_approval_dataset.csv contains 4,269 loan application records with 13 columns covering applicant demographics, financial details, asset information, credit score, and the final loan status. The dataset has no missing values and no duplicate rows.</w:t>
      </w:r>
    </w:p>
    <w:p>
      <w:pPr>
        <w:pStyle w:val="Heading2"/>
        <w:spacing w:before="200" w:after="120"/>
      </w:pPr>
      <w:r>
        <w:rPr>
          <w:b/>
          <w:color w:val="2E86DE"/>
          <w:sz w:val="28"/>
        </w:rPr>
        <w:t>Dataset Summary</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a3c5e"/>
          </w:tcPr>
          <w:p>
            <w:pPr>
              <w:jc w:val="center"/>
            </w:pPr>
            <w:r>
              <w:rPr>
                <w:b/>
                <w:color w:val="FFFFFF"/>
                <w:sz w:val="20"/>
              </w:rPr>
              <w:t>Metric</w:t>
            </w:r>
          </w:p>
        </w:tc>
        <w:tc>
          <w:tcPr>
            <w:tcW w:type="dxa" w:w="2268"/>
            <w:shd w:val="clear" w:color="auto" w:fill="1a3c5e"/>
          </w:tcPr>
          <w:p>
            <w:pPr>
              <w:jc w:val="center"/>
            </w:pPr>
            <w:r>
              <w:rPr>
                <w:b/>
                <w:color w:val="FFFFFF"/>
                <w:sz w:val="20"/>
              </w:rPr>
              <w:t>Value</w:t>
            </w:r>
          </w:p>
        </w:tc>
        <w:tc>
          <w:tcPr>
            <w:tcW w:type="dxa" w:w="4535"/>
            <w:shd w:val="clear" w:color="auto" w:fill="1a3c5e"/>
          </w:tcPr>
          <w:p>
            <w:pPr>
              <w:jc w:val="center"/>
            </w:pPr>
            <w:r>
              <w:rPr>
                <w:b/>
                <w:color w:val="FFFFFF"/>
                <w:sz w:val="20"/>
              </w:rPr>
              <w:t>Notes</w:t>
            </w:r>
          </w:p>
        </w:tc>
      </w:tr>
      <w:tr>
        <w:tc>
          <w:tcPr>
            <w:tcW w:type="dxa" w:w="2835"/>
            <w:shd w:val="clear" w:color="auto" w:fill="f0f4fa"/>
          </w:tcPr>
          <w:p>
            <w:pPr>
              <w:jc w:val="center"/>
            </w:pPr>
            <w:r>
              <w:rPr>
                <w:sz w:val="20"/>
              </w:rPr>
              <w:t>Total Records</w:t>
            </w:r>
          </w:p>
        </w:tc>
        <w:tc>
          <w:tcPr>
            <w:tcW w:type="dxa" w:w="2268"/>
            <w:shd w:val="clear" w:color="auto" w:fill="f0f4fa"/>
          </w:tcPr>
          <w:p>
            <w:pPr>
              <w:jc w:val="center"/>
            </w:pPr>
            <w:r>
              <w:rPr>
                <w:sz w:val="20"/>
              </w:rPr>
              <w:t>4,269</w:t>
            </w:r>
          </w:p>
        </w:tc>
        <w:tc>
          <w:tcPr>
            <w:tcW w:type="dxa" w:w="4535"/>
            <w:shd w:val="clear" w:color="auto" w:fill="f0f4fa"/>
          </w:tcPr>
          <w:p>
            <w:pPr>
              <w:jc w:val="center"/>
            </w:pPr>
            <w:r>
              <w:rPr>
                <w:sz w:val="20"/>
              </w:rPr>
              <w:t>Loan applications</w:t>
            </w:r>
          </w:p>
        </w:tc>
      </w:tr>
      <w:tr>
        <w:tc>
          <w:tcPr>
            <w:tcW w:type="dxa" w:w="2835"/>
            <w:shd w:val="clear" w:color="auto" w:fill="ffffff"/>
          </w:tcPr>
          <w:p>
            <w:pPr>
              <w:jc w:val="center"/>
            </w:pPr>
            <w:r>
              <w:rPr>
                <w:sz w:val="20"/>
              </w:rPr>
              <w:t>Approved</w:t>
            </w:r>
          </w:p>
        </w:tc>
        <w:tc>
          <w:tcPr>
            <w:tcW w:type="dxa" w:w="2268"/>
            <w:shd w:val="clear" w:color="auto" w:fill="ffffff"/>
          </w:tcPr>
          <w:p>
            <w:pPr>
              <w:jc w:val="center"/>
            </w:pPr>
            <w:r>
              <w:rPr>
                <w:sz w:val="20"/>
              </w:rPr>
              <w:t>2,656 (62.2%)</w:t>
            </w:r>
          </w:p>
        </w:tc>
        <w:tc>
          <w:tcPr>
            <w:tcW w:type="dxa" w:w="4535"/>
            <w:shd w:val="clear" w:color="auto" w:fill="ffffff"/>
          </w:tcPr>
          <w:p>
            <w:pPr>
              <w:jc w:val="center"/>
            </w:pPr>
            <w:r>
              <w:rPr>
                <w:sz w:val="20"/>
              </w:rPr>
              <w:t>Positive class</w:t>
            </w:r>
          </w:p>
        </w:tc>
      </w:tr>
      <w:tr>
        <w:tc>
          <w:tcPr>
            <w:tcW w:type="dxa" w:w="2835"/>
            <w:shd w:val="clear" w:color="auto" w:fill="f0f4fa"/>
          </w:tcPr>
          <w:p>
            <w:pPr>
              <w:jc w:val="center"/>
            </w:pPr>
            <w:r>
              <w:rPr>
                <w:sz w:val="20"/>
              </w:rPr>
              <w:t>Rejected</w:t>
            </w:r>
          </w:p>
        </w:tc>
        <w:tc>
          <w:tcPr>
            <w:tcW w:type="dxa" w:w="2268"/>
            <w:shd w:val="clear" w:color="auto" w:fill="f0f4fa"/>
          </w:tcPr>
          <w:p>
            <w:pPr>
              <w:jc w:val="center"/>
            </w:pPr>
            <w:r>
              <w:rPr>
                <w:sz w:val="20"/>
              </w:rPr>
              <w:t>1,613 (37.8%)</w:t>
            </w:r>
          </w:p>
        </w:tc>
        <w:tc>
          <w:tcPr>
            <w:tcW w:type="dxa" w:w="4535"/>
            <w:shd w:val="clear" w:color="auto" w:fill="f0f4fa"/>
          </w:tcPr>
          <w:p>
            <w:pPr>
              <w:jc w:val="center"/>
            </w:pPr>
            <w:r>
              <w:rPr>
                <w:sz w:val="20"/>
              </w:rPr>
              <w:t>Negative class</w:t>
            </w:r>
          </w:p>
        </w:tc>
      </w:tr>
      <w:tr>
        <w:tc>
          <w:tcPr>
            <w:tcW w:type="dxa" w:w="2835"/>
            <w:shd w:val="clear" w:color="auto" w:fill="ffffff"/>
          </w:tcPr>
          <w:p>
            <w:pPr>
              <w:jc w:val="center"/>
            </w:pPr>
            <w:r>
              <w:rPr>
                <w:sz w:val="20"/>
              </w:rPr>
              <w:t>Feature Variables</w:t>
            </w:r>
          </w:p>
        </w:tc>
        <w:tc>
          <w:tcPr>
            <w:tcW w:type="dxa" w:w="2268"/>
            <w:shd w:val="clear" w:color="auto" w:fill="ffffff"/>
          </w:tcPr>
          <w:p>
            <w:pPr>
              <w:jc w:val="center"/>
            </w:pPr>
            <w:r>
              <w:rPr>
                <w:sz w:val="20"/>
              </w:rPr>
              <w:t>11</w:t>
            </w:r>
          </w:p>
        </w:tc>
        <w:tc>
          <w:tcPr>
            <w:tcW w:type="dxa" w:w="4535"/>
            <w:shd w:val="clear" w:color="auto" w:fill="ffffff"/>
          </w:tcPr>
          <w:p>
            <w:pPr>
              <w:jc w:val="center"/>
            </w:pPr>
            <w:r>
              <w:rPr>
                <w:sz w:val="20"/>
              </w:rPr>
              <w:t>After removing loan_id</w:t>
            </w:r>
          </w:p>
        </w:tc>
      </w:tr>
    </w:tbl>
    <w:p/>
    <w:p>
      <w:pPr>
        <w:pStyle w:val="Heading2"/>
        <w:spacing w:before="200" w:after="120"/>
      </w:pPr>
      <w:r>
        <w:rPr>
          <w:b/>
          <w:color w:val="2E86DE"/>
          <w:sz w:val="28"/>
        </w:rPr>
        <w:t>Column Descriptions</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1a3c5e"/>
          </w:tcPr>
          <w:p>
            <w:pPr>
              <w:jc w:val="center"/>
            </w:pPr>
            <w:r>
              <w:rPr>
                <w:b/>
                <w:color w:val="FFFFFF"/>
                <w:sz w:val="20"/>
              </w:rPr>
              <w:t>Column Name</w:t>
            </w:r>
          </w:p>
        </w:tc>
        <w:tc>
          <w:tcPr>
            <w:tcW w:type="dxa" w:w="1701"/>
            <w:shd w:val="clear" w:color="auto" w:fill="1a3c5e"/>
          </w:tcPr>
          <w:p>
            <w:pPr>
              <w:jc w:val="center"/>
            </w:pPr>
            <w:r>
              <w:rPr>
                <w:b/>
                <w:color w:val="FFFFFF"/>
                <w:sz w:val="20"/>
              </w:rPr>
              <w:t>Data Type</w:t>
            </w:r>
          </w:p>
        </w:tc>
        <w:tc>
          <w:tcPr>
            <w:tcW w:type="dxa" w:w="4819"/>
            <w:shd w:val="clear" w:color="auto" w:fill="1a3c5e"/>
          </w:tcPr>
          <w:p>
            <w:pPr>
              <w:jc w:val="center"/>
            </w:pPr>
            <w:r>
              <w:rPr>
                <w:b/>
                <w:color w:val="FFFFFF"/>
                <w:sz w:val="20"/>
              </w:rPr>
              <w:t>Description</w:t>
            </w:r>
          </w:p>
        </w:tc>
      </w:tr>
      <w:tr>
        <w:tc>
          <w:tcPr>
            <w:tcW w:type="dxa" w:w="3118"/>
            <w:shd w:val="clear" w:color="auto" w:fill="f0f4fa"/>
          </w:tcPr>
          <w:p>
            <w:pPr>
              <w:jc w:val="center"/>
            </w:pPr>
            <w:r>
              <w:rPr>
                <w:sz w:val="20"/>
              </w:rPr>
              <w:t>loan_id</w:t>
            </w:r>
          </w:p>
        </w:tc>
        <w:tc>
          <w:tcPr>
            <w:tcW w:type="dxa" w:w="1701"/>
            <w:shd w:val="clear" w:color="auto" w:fill="f0f4fa"/>
          </w:tcPr>
          <w:p>
            <w:pPr>
              <w:jc w:val="center"/>
            </w:pPr>
            <w:r>
              <w:rPr>
                <w:sz w:val="20"/>
              </w:rPr>
              <w:t>Integer</w:t>
            </w:r>
          </w:p>
        </w:tc>
        <w:tc>
          <w:tcPr>
            <w:tcW w:type="dxa" w:w="4819"/>
            <w:shd w:val="clear" w:color="auto" w:fill="f0f4fa"/>
          </w:tcPr>
          <w:p>
            <w:pPr>
              <w:jc w:val="center"/>
            </w:pPr>
            <w:r>
              <w:rPr>
                <w:sz w:val="20"/>
              </w:rPr>
              <w:t>Unique identifier — excluded from modeling</w:t>
            </w:r>
          </w:p>
        </w:tc>
      </w:tr>
      <w:tr>
        <w:tc>
          <w:tcPr>
            <w:tcW w:type="dxa" w:w="3118"/>
            <w:shd w:val="clear" w:color="auto" w:fill="ffffff"/>
          </w:tcPr>
          <w:p>
            <w:pPr>
              <w:jc w:val="center"/>
            </w:pPr>
            <w:r>
              <w:rPr>
                <w:sz w:val="20"/>
              </w:rPr>
              <w:t>no_of_dependents</w:t>
            </w:r>
          </w:p>
        </w:tc>
        <w:tc>
          <w:tcPr>
            <w:tcW w:type="dxa" w:w="1701"/>
            <w:shd w:val="clear" w:color="auto" w:fill="ffffff"/>
          </w:tcPr>
          <w:p>
            <w:pPr>
              <w:jc w:val="center"/>
            </w:pPr>
            <w:r>
              <w:rPr>
                <w:sz w:val="20"/>
              </w:rPr>
              <w:t>Integer</w:t>
            </w:r>
          </w:p>
        </w:tc>
        <w:tc>
          <w:tcPr>
            <w:tcW w:type="dxa" w:w="4819"/>
            <w:shd w:val="clear" w:color="auto" w:fill="ffffff"/>
          </w:tcPr>
          <w:p>
            <w:pPr>
              <w:jc w:val="center"/>
            </w:pPr>
            <w:r>
              <w:rPr>
                <w:sz w:val="20"/>
              </w:rPr>
              <w:t>Number of financial dependents (0 to 5)</w:t>
            </w:r>
          </w:p>
        </w:tc>
      </w:tr>
      <w:tr>
        <w:tc>
          <w:tcPr>
            <w:tcW w:type="dxa" w:w="3118"/>
            <w:shd w:val="clear" w:color="auto" w:fill="f0f4fa"/>
          </w:tcPr>
          <w:p>
            <w:pPr>
              <w:jc w:val="center"/>
            </w:pPr>
            <w:r>
              <w:rPr>
                <w:sz w:val="20"/>
              </w:rPr>
              <w:t>education</w:t>
            </w:r>
          </w:p>
        </w:tc>
        <w:tc>
          <w:tcPr>
            <w:tcW w:type="dxa" w:w="1701"/>
            <w:shd w:val="clear" w:color="auto" w:fill="f0f4fa"/>
          </w:tcPr>
          <w:p>
            <w:pPr>
              <w:jc w:val="center"/>
            </w:pPr>
            <w:r>
              <w:rPr>
                <w:sz w:val="20"/>
              </w:rPr>
              <w:t>Categorical</w:t>
            </w:r>
          </w:p>
        </w:tc>
        <w:tc>
          <w:tcPr>
            <w:tcW w:type="dxa" w:w="4819"/>
            <w:shd w:val="clear" w:color="auto" w:fill="f0f4fa"/>
          </w:tcPr>
          <w:p>
            <w:pPr>
              <w:jc w:val="center"/>
            </w:pPr>
            <w:r>
              <w:rPr>
                <w:sz w:val="20"/>
              </w:rPr>
              <w:t>Graduate or Not Graduate</w:t>
            </w:r>
          </w:p>
        </w:tc>
      </w:tr>
      <w:tr>
        <w:tc>
          <w:tcPr>
            <w:tcW w:type="dxa" w:w="3118"/>
            <w:shd w:val="clear" w:color="auto" w:fill="ffffff"/>
          </w:tcPr>
          <w:p>
            <w:pPr>
              <w:jc w:val="center"/>
            </w:pPr>
            <w:r>
              <w:rPr>
                <w:sz w:val="20"/>
              </w:rPr>
              <w:t>self_employed</w:t>
            </w:r>
          </w:p>
        </w:tc>
        <w:tc>
          <w:tcPr>
            <w:tcW w:type="dxa" w:w="1701"/>
            <w:shd w:val="clear" w:color="auto" w:fill="ffffff"/>
          </w:tcPr>
          <w:p>
            <w:pPr>
              <w:jc w:val="center"/>
            </w:pPr>
            <w:r>
              <w:rPr>
                <w:sz w:val="20"/>
              </w:rPr>
              <w:t>Categorical</w:t>
            </w:r>
          </w:p>
        </w:tc>
        <w:tc>
          <w:tcPr>
            <w:tcW w:type="dxa" w:w="4819"/>
            <w:shd w:val="clear" w:color="auto" w:fill="ffffff"/>
          </w:tcPr>
          <w:p>
            <w:pPr>
              <w:jc w:val="center"/>
            </w:pPr>
            <w:r>
              <w:rPr>
                <w:sz w:val="20"/>
              </w:rPr>
              <w:t>Whether the applicant is self-employed (Yes/No)</w:t>
            </w:r>
          </w:p>
        </w:tc>
      </w:tr>
      <w:tr>
        <w:tc>
          <w:tcPr>
            <w:tcW w:type="dxa" w:w="3118"/>
            <w:shd w:val="clear" w:color="auto" w:fill="f0f4fa"/>
          </w:tcPr>
          <w:p>
            <w:pPr>
              <w:jc w:val="center"/>
            </w:pPr>
            <w:r>
              <w:rPr>
                <w:sz w:val="20"/>
              </w:rPr>
              <w:t>income_annum</w:t>
            </w:r>
          </w:p>
        </w:tc>
        <w:tc>
          <w:tcPr>
            <w:tcW w:type="dxa" w:w="1701"/>
            <w:shd w:val="clear" w:color="auto" w:fill="f0f4fa"/>
          </w:tcPr>
          <w:p>
            <w:pPr>
              <w:jc w:val="center"/>
            </w:pPr>
            <w:r>
              <w:rPr>
                <w:sz w:val="20"/>
              </w:rPr>
              <w:t>Integer</w:t>
            </w:r>
          </w:p>
        </w:tc>
        <w:tc>
          <w:tcPr>
            <w:tcW w:type="dxa" w:w="4819"/>
            <w:shd w:val="clear" w:color="auto" w:fill="f0f4fa"/>
          </w:tcPr>
          <w:p>
            <w:pPr>
              <w:jc w:val="center"/>
            </w:pPr>
            <w:r>
              <w:rPr>
                <w:sz w:val="20"/>
              </w:rPr>
              <w:t>Annual income in Indian Rupees</w:t>
            </w:r>
          </w:p>
        </w:tc>
      </w:tr>
      <w:tr>
        <w:tc>
          <w:tcPr>
            <w:tcW w:type="dxa" w:w="3118"/>
            <w:shd w:val="clear" w:color="auto" w:fill="ffffff"/>
          </w:tcPr>
          <w:p>
            <w:pPr>
              <w:jc w:val="center"/>
            </w:pPr>
            <w:r>
              <w:rPr>
                <w:sz w:val="20"/>
              </w:rPr>
              <w:t>loan_amount</w:t>
            </w:r>
          </w:p>
        </w:tc>
        <w:tc>
          <w:tcPr>
            <w:tcW w:type="dxa" w:w="1701"/>
            <w:shd w:val="clear" w:color="auto" w:fill="ffffff"/>
          </w:tcPr>
          <w:p>
            <w:pPr>
              <w:jc w:val="center"/>
            </w:pPr>
            <w:r>
              <w:rPr>
                <w:sz w:val="20"/>
              </w:rPr>
              <w:t>Integer</w:t>
            </w:r>
          </w:p>
        </w:tc>
        <w:tc>
          <w:tcPr>
            <w:tcW w:type="dxa" w:w="4819"/>
            <w:shd w:val="clear" w:color="auto" w:fill="ffffff"/>
          </w:tcPr>
          <w:p>
            <w:pPr>
              <w:jc w:val="center"/>
            </w:pPr>
            <w:r>
              <w:rPr>
                <w:sz w:val="20"/>
              </w:rPr>
              <w:t>Requested loan amount in Indian Rupees</w:t>
            </w:r>
          </w:p>
        </w:tc>
      </w:tr>
      <w:tr>
        <w:tc>
          <w:tcPr>
            <w:tcW w:type="dxa" w:w="3118"/>
            <w:shd w:val="clear" w:color="auto" w:fill="f0f4fa"/>
          </w:tcPr>
          <w:p>
            <w:pPr>
              <w:jc w:val="center"/>
            </w:pPr>
            <w:r>
              <w:rPr>
                <w:sz w:val="20"/>
              </w:rPr>
              <w:t>loan_term</w:t>
            </w:r>
          </w:p>
        </w:tc>
        <w:tc>
          <w:tcPr>
            <w:tcW w:type="dxa" w:w="1701"/>
            <w:shd w:val="clear" w:color="auto" w:fill="f0f4fa"/>
          </w:tcPr>
          <w:p>
            <w:pPr>
              <w:jc w:val="center"/>
            </w:pPr>
            <w:r>
              <w:rPr>
                <w:sz w:val="20"/>
              </w:rPr>
              <w:t>Integer</w:t>
            </w:r>
          </w:p>
        </w:tc>
        <w:tc>
          <w:tcPr>
            <w:tcW w:type="dxa" w:w="4819"/>
            <w:shd w:val="clear" w:color="auto" w:fill="f0f4fa"/>
          </w:tcPr>
          <w:p>
            <w:pPr>
              <w:jc w:val="center"/>
            </w:pPr>
            <w:r>
              <w:rPr>
                <w:sz w:val="20"/>
              </w:rPr>
              <w:t>Loan repayment term in years (2–20, even values)</w:t>
            </w:r>
          </w:p>
        </w:tc>
      </w:tr>
      <w:tr>
        <w:tc>
          <w:tcPr>
            <w:tcW w:type="dxa" w:w="3118"/>
            <w:shd w:val="clear" w:color="auto" w:fill="ffffff"/>
          </w:tcPr>
          <w:p>
            <w:pPr>
              <w:jc w:val="center"/>
            </w:pPr>
            <w:r>
              <w:rPr>
                <w:sz w:val="20"/>
              </w:rPr>
              <w:t>cibil_score</w:t>
            </w:r>
          </w:p>
        </w:tc>
        <w:tc>
          <w:tcPr>
            <w:tcW w:type="dxa" w:w="1701"/>
            <w:shd w:val="clear" w:color="auto" w:fill="ffffff"/>
          </w:tcPr>
          <w:p>
            <w:pPr>
              <w:jc w:val="center"/>
            </w:pPr>
            <w:r>
              <w:rPr>
                <w:sz w:val="20"/>
              </w:rPr>
              <w:t>Integer</w:t>
            </w:r>
          </w:p>
        </w:tc>
        <w:tc>
          <w:tcPr>
            <w:tcW w:type="dxa" w:w="4819"/>
            <w:shd w:val="clear" w:color="auto" w:fill="ffffff"/>
          </w:tcPr>
          <w:p>
            <w:pPr>
              <w:jc w:val="center"/>
            </w:pPr>
            <w:r>
              <w:rPr>
                <w:sz w:val="20"/>
              </w:rPr>
              <w:t>Credit bureau score (300–900)</w:t>
            </w:r>
          </w:p>
        </w:tc>
      </w:tr>
      <w:tr>
        <w:tc>
          <w:tcPr>
            <w:tcW w:type="dxa" w:w="3118"/>
            <w:shd w:val="clear" w:color="auto" w:fill="f0f4fa"/>
          </w:tcPr>
          <w:p>
            <w:pPr>
              <w:jc w:val="center"/>
            </w:pPr>
            <w:r>
              <w:rPr>
                <w:sz w:val="20"/>
              </w:rPr>
              <w:t>residential_assets_value</w:t>
            </w:r>
          </w:p>
        </w:tc>
        <w:tc>
          <w:tcPr>
            <w:tcW w:type="dxa" w:w="1701"/>
            <w:shd w:val="clear" w:color="auto" w:fill="f0f4fa"/>
          </w:tcPr>
          <w:p>
            <w:pPr>
              <w:jc w:val="center"/>
            </w:pPr>
            <w:r>
              <w:rPr>
                <w:sz w:val="20"/>
              </w:rPr>
              <w:t>Integer</w:t>
            </w:r>
          </w:p>
        </w:tc>
        <w:tc>
          <w:tcPr>
            <w:tcW w:type="dxa" w:w="4819"/>
            <w:shd w:val="clear" w:color="auto" w:fill="f0f4fa"/>
          </w:tcPr>
          <w:p>
            <w:pPr>
              <w:jc w:val="center"/>
            </w:pPr>
            <w:r>
              <w:rPr>
                <w:sz w:val="20"/>
              </w:rPr>
              <w:t>Value of residential property owned</w:t>
            </w:r>
          </w:p>
        </w:tc>
      </w:tr>
      <w:tr>
        <w:tc>
          <w:tcPr>
            <w:tcW w:type="dxa" w:w="3118"/>
            <w:shd w:val="clear" w:color="auto" w:fill="ffffff"/>
          </w:tcPr>
          <w:p>
            <w:pPr>
              <w:jc w:val="center"/>
            </w:pPr>
            <w:r>
              <w:rPr>
                <w:sz w:val="20"/>
              </w:rPr>
              <w:t>commercial_assets_value</w:t>
            </w:r>
          </w:p>
        </w:tc>
        <w:tc>
          <w:tcPr>
            <w:tcW w:type="dxa" w:w="1701"/>
            <w:shd w:val="clear" w:color="auto" w:fill="ffffff"/>
          </w:tcPr>
          <w:p>
            <w:pPr>
              <w:jc w:val="center"/>
            </w:pPr>
            <w:r>
              <w:rPr>
                <w:sz w:val="20"/>
              </w:rPr>
              <w:t>Integer</w:t>
            </w:r>
          </w:p>
        </w:tc>
        <w:tc>
          <w:tcPr>
            <w:tcW w:type="dxa" w:w="4819"/>
            <w:shd w:val="clear" w:color="auto" w:fill="ffffff"/>
          </w:tcPr>
          <w:p>
            <w:pPr>
              <w:jc w:val="center"/>
            </w:pPr>
            <w:r>
              <w:rPr>
                <w:sz w:val="20"/>
              </w:rPr>
              <w:t>Value of commercial property owned</w:t>
            </w:r>
          </w:p>
        </w:tc>
      </w:tr>
      <w:tr>
        <w:tc>
          <w:tcPr>
            <w:tcW w:type="dxa" w:w="3118"/>
            <w:shd w:val="clear" w:color="auto" w:fill="f0f4fa"/>
          </w:tcPr>
          <w:p>
            <w:pPr>
              <w:jc w:val="center"/>
            </w:pPr>
            <w:r>
              <w:rPr>
                <w:sz w:val="20"/>
              </w:rPr>
              <w:t>luxury_assets_value</w:t>
            </w:r>
          </w:p>
        </w:tc>
        <w:tc>
          <w:tcPr>
            <w:tcW w:type="dxa" w:w="1701"/>
            <w:shd w:val="clear" w:color="auto" w:fill="f0f4fa"/>
          </w:tcPr>
          <w:p>
            <w:pPr>
              <w:jc w:val="center"/>
            </w:pPr>
            <w:r>
              <w:rPr>
                <w:sz w:val="20"/>
              </w:rPr>
              <w:t>Integer</w:t>
            </w:r>
          </w:p>
        </w:tc>
        <w:tc>
          <w:tcPr>
            <w:tcW w:type="dxa" w:w="4819"/>
            <w:shd w:val="clear" w:color="auto" w:fill="f0f4fa"/>
          </w:tcPr>
          <w:p>
            <w:pPr>
              <w:jc w:val="center"/>
            </w:pPr>
            <w:r>
              <w:rPr>
                <w:sz w:val="20"/>
              </w:rPr>
              <w:t>Value of luxury assets owned</w:t>
            </w:r>
          </w:p>
        </w:tc>
      </w:tr>
      <w:tr>
        <w:tc>
          <w:tcPr>
            <w:tcW w:type="dxa" w:w="3118"/>
            <w:shd w:val="clear" w:color="auto" w:fill="ffffff"/>
          </w:tcPr>
          <w:p>
            <w:pPr>
              <w:jc w:val="center"/>
            </w:pPr>
            <w:r>
              <w:rPr>
                <w:sz w:val="20"/>
              </w:rPr>
              <w:t>bank_asset_value</w:t>
            </w:r>
          </w:p>
        </w:tc>
        <w:tc>
          <w:tcPr>
            <w:tcW w:type="dxa" w:w="1701"/>
            <w:shd w:val="clear" w:color="auto" w:fill="ffffff"/>
          </w:tcPr>
          <w:p>
            <w:pPr>
              <w:jc w:val="center"/>
            </w:pPr>
            <w:r>
              <w:rPr>
                <w:sz w:val="20"/>
              </w:rPr>
              <w:t>Integer</w:t>
            </w:r>
          </w:p>
        </w:tc>
        <w:tc>
          <w:tcPr>
            <w:tcW w:type="dxa" w:w="4819"/>
            <w:shd w:val="clear" w:color="auto" w:fill="ffffff"/>
          </w:tcPr>
          <w:p>
            <w:pPr>
              <w:jc w:val="center"/>
            </w:pPr>
            <w:r>
              <w:rPr>
                <w:sz w:val="20"/>
              </w:rPr>
              <w:t>Value of bank savings and deposits</w:t>
            </w:r>
          </w:p>
        </w:tc>
      </w:tr>
      <w:tr>
        <w:tc>
          <w:tcPr>
            <w:tcW w:type="dxa" w:w="3118"/>
            <w:shd w:val="clear" w:color="auto" w:fill="f0f4fa"/>
          </w:tcPr>
          <w:p>
            <w:pPr>
              <w:jc w:val="center"/>
            </w:pPr>
            <w:r>
              <w:rPr>
                <w:sz w:val="20"/>
              </w:rPr>
              <w:t>loan_status</w:t>
            </w:r>
          </w:p>
        </w:tc>
        <w:tc>
          <w:tcPr>
            <w:tcW w:type="dxa" w:w="1701"/>
            <w:shd w:val="clear" w:color="auto" w:fill="f0f4fa"/>
          </w:tcPr>
          <w:p>
            <w:pPr>
              <w:jc w:val="center"/>
            </w:pPr>
            <w:r>
              <w:rPr>
                <w:sz w:val="20"/>
              </w:rPr>
              <w:t>Categorical</w:t>
            </w:r>
          </w:p>
        </w:tc>
        <w:tc>
          <w:tcPr>
            <w:tcW w:type="dxa" w:w="4819"/>
            <w:shd w:val="clear" w:color="auto" w:fill="f0f4fa"/>
          </w:tcPr>
          <w:p>
            <w:pPr>
              <w:jc w:val="center"/>
            </w:pPr>
            <w:r>
              <w:rPr>
                <w:sz w:val="20"/>
              </w:rPr>
              <w:t>TARGET — Approved or Rejected</w:t>
            </w:r>
          </w:p>
        </w:tc>
      </w:tr>
    </w:tbl>
    <w:p/>
    <w:p>
      <w:pPr>
        <w:pStyle w:val="Heading1"/>
        <w:spacing w:before="280" w:after="160"/>
      </w:pPr>
      <w:r>
        <w:rPr>
          <w:b/>
          <w:color w:val="1A3C5E"/>
          <w:sz w:val="36"/>
        </w:rPr>
        <w:t>3. Data Cleaning &amp; Preprocessing</w:t>
      </w:r>
    </w:p>
    <w:p>
      <w:pPr>
        <w:spacing w:before="0" w:after="120"/>
        <w:jc w:val="left"/>
      </w:pPr>
      <w:r>
        <w:rPr>
          <w:b w:val="0"/>
          <w:sz w:val="22"/>
        </w:rPr>
        <w:t>The following 7 steps were applied before analysis and model training:</w:t>
      </w:r>
    </w:p>
    <w:p>
      <w:pPr>
        <w:spacing w:after="80"/>
      </w:pPr>
      <w:r>
        <w:rPr>
          <w:b/>
          <w:sz w:val="22"/>
        </w:rPr>
        <w:t xml:space="preserve">Step 1 — Column &amp; String Stripping: </w:t>
      </w:r>
      <w:r>
        <w:rPr>
          <w:sz w:val="22"/>
        </w:rPr>
        <w:t>All column names and string values were stripped of leading/trailing whitespace (e.g. ' Graduate' → 'Graduate').</w:t>
      </w:r>
    </w:p>
    <w:p>
      <w:pPr>
        <w:spacing w:after="80"/>
      </w:pPr>
      <w:r>
        <w:rPr>
          <w:b/>
          <w:sz w:val="22"/>
        </w:rPr>
        <w:t xml:space="preserve">Step 2 — Missing Values: </w:t>
      </w:r>
      <w:r>
        <w:rPr>
          <w:sz w:val="22"/>
        </w:rPr>
        <w:t>No missing values found across all 4,269 rows and 13 columns (0 nulls).</w:t>
      </w:r>
    </w:p>
    <w:p>
      <w:pPr>
        <w:spacing w:after="80"/>
      </w:pPr>
      <w:r>
        <w:rPr>
          <w:b/>
          <w:sz w:val="22"/>
        </w:rPr>
        <w:t xml:space="preserve">Step 3 — Duplicates: </w:t>
      </w:r>
      <w:r>
        <w:rPr>
          <w:sz w:val="22"/>
        </w:rPr>
        <w:t>No duplicate rows found in the dataset.</w:t>
      </w:r>
    </w:p>
    <w:p>
      <w:pPr>
        <w:spacing w:after="80"/>
      </w:pPr>
      <w:r>
        <w:rPr>
          <w:b/>
          <w:sz w:val="22"/>
        </w:rPr>
        <w:t xml:space="preserve">Step 4 — Feature Removal: </w:t>
      </w:r>
      <w:r>
        <w:rPr>
          <w:sz w:val="22"/>
        </w:rPr>
        <w:t>loan_id was dropped from features — it is a unique row identifier with no predictive value.</w:t>
      </w:r>
    </w:p>
    <w:p>
      <w:pPr>
        <w:spacing w:after="80"/>
      </w:pPr>
      <w:r>
        <w:rPr>
          <w:b/>
          <w:sz w:val="22"/>
        </w:rPr>
        <w:t xml:space="preserve">Step 5 — Label Encoding: </w:t>
      </w:r>
      <w:r>
        <w:rPr>
          <w:sz w:val="22"/>
        </w:rPr>
        <w:t>education (Graduate=0, Not Graduate=1), self_employed (No=0, Yes=1), loan_status (Approved=0, Rejected=1).</w:t>
      </w:r>
    </w:p>
    <w:p>
      <w:pPr>
        <w:spacing w:after="80"/>
      </w:pPr>
      <w:r>
        <w:rPr>
          <w:b/>
          <w:sz w:val="22"/>
        </w:rPr>
        <w:t xml:space="preserve">Step 6 — Stratified Train/Test Split: </w:t>
      </w:r>
      <w:r>
        <w:rPr>
          <w:sz w:val="22"/>
        </w:rPr>
        <w:t>80% training (3,415 records) and 20% testing (854 records), random_state=42. Class proportions preserved in both sets.</w:t>
      </w:r>
    </w:p>
    <w:p>
      <w:pPr>
        <w:spacing w:after="80"/>
      </w:pPr>
      <w:r>
        <w:rPr>
          <w:b/>
          <w:sz w:val="22"/>
        </w:rPr>
        <w:t xml:space="preserve">Step 7 — Feature Scaling: </w:t>
      </w:r>
      <w:r>
        <w:rPr>
          <w:sz w:val="22"/>
        </w:rPr>
        <w:t>StandardScaler applied only to Logistic Regression (sensitive to scale). Decision Tree, Random Forest, and XGBoost received raw values.</w:t>
      </w:r>
    </w:p>
    <w:p/>
    <w:p>
      <w:pPr>
        <w:pStyle w:val="Heading1"/>
        <w:spacing w:before="280" w:after="160"/>
      </w:pPr>
      <w:r>
        <w:rPr>
          <w:b/>
          <w:color w:val="1A3C5E"/>
          <w:sz w:val="36"/>
        </w:rPr>
        <w:t>4. Exploratory Data Analysis (EDA)</w:t>
      </w:r>
    </w:p>
    <w:p>
      <w:pPr>
        <w:pStyle w:val="Heading2"/>
        <w:spacing w:before="200" w:after="120"/>
      </w:pPr>
      <w:r>
        <w:rPr>
          <w:b/>
          <w:color w:val="2E86DE"/>
          <w:sz w:val="28"/>
        </w:rPr>
        <w:t>4.1 Overall Approval and Rejection Rates</w:t>
      </w:r>
    </w:p>
    <w:p>
      <w:pPr>
        <w:spacing w:before="0" w:after="160"/>
        <w:jc w:val="left"/>
      </w:pPr>
      <w:r>
        <w:rPr>
          <w:b w:val="0"/>
          <w:sz w:val="22"/>
        </w:rPr>
        <w:t>Out of 4,269 total applications, 2,656 were approved (62.2%) and 1,613 were rejected (37.8%). The dataset is moderately imbalanced — approvals outnumber rejections by approximately 1.65 to 1. This class distribution was preserved in both training and test sets via stratified splitting.</w:t>
      </w:r>
    </w:p>
    <w:p>
      <w:pPr>
        <w:spacing w:after="40"/>
        <w:jc w:val="center"/>
      </w:pPr>
      <w:r>
        <w:drawing>
          <wp:inline xmlns:a="http://schemas.openxmlformats.org/drawingml/2006/main" xmlns:pic="http://schemas.openxmlformats.org/drawingml/2006/picture">
            <wp:extent cx="3240000" cy="2568078"/>
            <wp:docPr id="1" name="Picture 1"/>
            <wp:cNvGraphicFramePr>
              <a:graphicFrameLocks noChangeAspect="1"/>
            </wp:cNvGraphicFramePr>
            <a:graphic>
              <a:graphicData uri="http://schemas.openxmlformats.org/drawingml/2006/picture">
                <pic:pic>
                  <pic:nvPicPr>
                    <pic:cNvPr id="0" name="chart1_approval_pie.png"/>
                    <pic:cNvPicPr/>
                  </pic:nvPicPr>
                  <pic:blipFill>
                    <a:blip r:embed="rId9"/>
                    <a:stretch>
                      <a:fillRect/>
                    </a:stretch>
                  </pic:blipFill>
                  <pic:spPr>
                    <a:xfrm>
                      <a:off x="0" y="0"/>
                      <a:ext cx="3240000" cy="2568078"/>
                    </a:xfrm>
                    <a:prstGeom prst="rect"/>
                  </pic:spPr>
                </pic:pic>
              </a:graphicData>
            </a:graphic>
          </wp:inline>
        </w:drawing>
      </w:r>
    </w:p>
    <w:p>
      <w:pPr>
        <w:spacing w:after="200"/>
        <w:jc w:val="center"/>
      </w:pPr>
      <w:r>
        <w:rPr>
          <w:b/>
          <w:color w:val="555555"/>
          <w:sz w:val="20"/>
        </w:rPr>
        <w:t>Chart 1: Overall Loan Approval Distribution (N = 4,269)</w:t>
      </w:r>
    </w:p>
    <w:p>
      <w:pPr>
        <w:spacing w:before="80" w:after="200"/>
        <w:ind w:left="283"/>
      </w:pPr>
      <w:r>
        <w:rPr>
          <w:b w:val="0"/>
          <w:i/>
          <w:color w:val="1A3C5E"/>
          <w:sz w:val="20"/>
        </w:rPr>
        <w:t>Key Finding: 62.2% of applicants were approved. The approval-to-rejection ratio is 1.65:1.</w:t>
      </w:r>
    </w:p>
    <w:p>
      <w:pPr>
        <w:pStyle w:val="Heading2"/>
        <w:spacing w:before="200" w:after="120"/>
      </w:pPr>
      <w:r>
        <w:rPr>
          <w:b/>
          <w:color w:val="2E86DE"/>
          <w:sz w:val="28"/>
        </w:rPr>
        <w:t>4.2 CIBIL Score Analysis</w:t>
      </w:r>
    </w:p>
    <w:p>
      <w:pPr>
        <w:spacing w:before="0" w:after="120"/>
        <w:jc w:val="left"/>
      </w:pPr>
      <w:r>
        <w:rPr>
          <w:b w:val="0"/>
          <w:sz w:val="22"/>
        </w:rPr>
        <w:t>CIBIL score (India's credit bureau score, range 300–900) is the single most powerful predictor in this dataset. The distributions differ dramatically between approved and rejected applicants: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3c5e"/>
          </w:tcPr>
          <w:p>
            <w:pPr>
              <w:jc w:val="center"/>
            </w:pPr>
            <w:r>
              <w:rPr>
                <w:b/>
                <w:color w:val="FFFFFF"/>
                <w:sz w:val="20"/>
              </w:rPr>
              <w:t>Loan Status</w:t>
            </w:r>
          </w:p>
        </w:tc>
        <w:tc>
          <w:tcPr>
            <w:tcW w:type="dxa" w:w="2268"/>
            <w:shd w:val="clear" w:color="auto" w:fill="1a3c5e"/>
          </w:tcPr>
          <w:p>
            <w:pPr>
              <w:jc w:val="center"/>
            </w:pPr>
            <w:r>
              <w:rPr>
                <w:b/>
                <w:color w:val="FFFFFF"/>
                <w:sz w:val="20"/>
              </w:rPr>
              <w:t>Mean CIBIL Score</w:t>
            </w:r>
          </w:p>
        </w:tc>
        <w:tc>
          <w:tcPr>
            <w:tcW w:type="dxa" w:w="5102"/>
            <w:shd w:val="clear" w:color="auto" w:fill="1a3c5e"/>
          </w:tcPr>
          <w:p>
            <w:pPr>
              <w:jc w:val="center"/>
            </w:pPr>
            <w:r>
              <w:rPr>
                <w:b/>
                <w:color w:val="FFFFFF"/>
                <w:sz w:val="20"/>
              </w:rPr>
              <w:t>Observation</w:t>
            </w:r>
          </w:p>
        </w:tc>
      </w:tr>
      <w:tr>
        <w:tc>
          <w:tcPr>
            <w:tcW w:type="dxa" w:w="2268"/>
            <w:shd w:val="clear" w:color="auto" w:fill="f0f4fa"/>
          </w:tcPr>
          <w:p>
            <w:pPr>
              <w:jc w:val="center"/>
            </w:pPr>
            <w:r>
              <w:rPr>
                <w:sz w:val="20"/>
              </w:rPr>
              <w:t>Approved</w:t>
            </w:r>
          </w:p>
        </w:tc>
        <w:tc>
          <w:tcPr>
            <w:tcW w:type="dxa" w:w="2268"/>
            <w:shd w:val="clear" w:color="auto" w:fill="f0f4fa"/>
          </w:tcPr>
          <w:p>
            <w:pPr>
              <w:jc w:val="center"/>
            </w:pPr>
            <w:r>
              <w:rPr>
                <w:sz w:val="20"/>
              </w:rPr>
              <w:t>703.5</w:t>
            </w:r>
          </w:p>
        </w:tc>
        <w:tc>
          <w:tcPr>
            <w:tcW w:type="dxa" w:w="5102"/>
            <w:shd w:val="clear" w:color="auto" w:fill="f0f4fa"/>
          </w:tcPr>
          <w:p>
            <w:pPr>
              <w:jc w:val="center"/>
            </w:pPr>
            <w:r>
              <w:rPr>
                <w:sz w:val="20"/>
              </w:rPr>
              <w:t>Consistently in high-credit range (600–900)</w:t>
            </w:r>
          </w:p>
        </w:tc>
      </w:tr>
      <w:tr>
        <w:tc>
          <w:tcPr>
            <w:tcW w:type="dxa" w:w="2268"/>
            <w:shd w:val="clear" w:color="auto" w:fill="ffffff"/>
          </w:tcPr>
          <w:p>
            <w:pPr>
              <w:jc w:val="center"/>
            </w:pPr>
            <w:r>
              <w:rPr>
                <w:sz w:val="20"/>
              </w:rPr>
              <w:t>Rejected</w:t>
            </w:r>
          </w:p>
        </w:tc>
        <w:tc>
          <w:tcPr>
            <w:tcW w:type="dxa" w:w="2268"/>
            <w:shd w:val="clear" w:color="auto" w:fill="ffffff"/>
          </w:tcPr>
          <w:p>
            <w:pPr>
              <w:jc w:val="center"/>
            </w:pPr>
            <w:r>
              <w:rPr>
                <w:sz w:val="20"/>
              </w:rPr>
              <w:t>429.5</w:t>
            </w:r>
          </w:p>
        </w:tc>
        <w:tc>
          <w:tcPr>
            <w:tcW w:type="dxa" w:w="5102"/>
            <w:shd w:val="clear" w:color="auto" w:fill="ffffff"/>
          </w:tcPr>
          <w:p>
            <w:pPr>
              <w:jc w:val="center"/>
            </w:pPr>
            <w:r>
              <w:rPr>
                <w:sz w:val="20"/>
              </w:rPr>
              <w:t>Consistently in poor-credit range (300–500)</w:t>
            </w:r>
          </w:p>
        </w:tc>
      </w:tr>
    </w:tbl>
    <w:p/>
    <w:p>
      <w:pPr>
        <w:spacing w:after="40"/>
        <w:jc w:val="center"/>
      </w:pPr>
      <w:r>
        <w:drawing>
          <wp:inline xmlns:a="http://schemas.openxmlformats.org/drawingml/2006/main" xmlns:pic="http://schemas.openxmlformats.org/drawingml/2006/picture">
            <wp:extent cx="5760000" cy="2274155"/>
            <wp:docPr id="2" name="Picture 2"/>
            <wp:cNvGraphicFramePr>
              <a:graphicFrameLocks noChangeAspect="1"/>
            </wp:cNvGraphicFramePr>
            <a:graphic>
              <a:graphicData uri="http://schemas.openxmlformats.org/drawingml/2006/picture">
                <pic:pic>
                  <pic:nvPicPr>
                    <pic:cNvPr id="0" name="chart2_cibil.png"/>
                    <pic:cNvPicPr/>
                  </pic:nvPicPr>
                  <pic:blipFill>
                    <a:blip r:embed="rId10"/>
                    <a:stretch>
                      <a:fillRect/>
                    </a:stretch>
                  </pic:blipFill>
                  <pic:spPr>
                    <a:xfrm>
                      <a:off x="0" y="0"/>
                      <a:ext cx="5760000" cy="2274155"/>
                    </a:xfrm>
                    <a:prstGeom prst="rect"/>
                  </pic:spPr>
                </pic:pic>
              </a:graphicData>
            </a:graphic>
          </wp:inline>
        </w:drawing>
      </w:r>
    </w:p>
    <w:p>
      <w:pPr>
        <w:spacing w:after="200"/>
        <w:jc w:val="center"/>
      </w:pPr>
      <w:r>
        <w:rPr>
          <w:b/>
          <w:color w:val="555555"/>
          <w:sz w:val="20"/>
        </w:rPr>
        <w:t>Chart 2: CIBIL Score Distribution (left) and Mean by Loan Status (right)</w:t>
      </w:r>
    </w:p>
    <w:p>
      <w:pPr>
        <w:spacing w:before="80" w:after="200"/>
        <w:ind w:left="283"/>
      </w:pPr>
      <w:r>
        <w:rPr>
          <w:b w:val="0"/>
          <w:i/>
          <w:color w:val="1A3C5E"/>
          <w:sz w:val="20"/>
        </w:rPr>
        <w:t>Key Finding: Approved applicants average CIBIL 703.5 vs Rejected 429.5 — a gap of 274 points. CIBIL accounts for 80.16% of Random Forest's predictive power.</w:t>
      </w:r>
    </w:p>
    <w:p>
      <w:pPr>
        <w:pStyle w:val="Heading2"/>
        <w:spacing w:before="200" w:after="120"/>
      </w:pPr>
      <w:r>
        <w:rPr>
          <w:b/>
          <w:color w:val="2E86DE"/>
          <w:sz w:val="28"/>
        </w:rPr>
        <w:t>4.3 Annual Income Analysis</w:t>
      </w:r>
    </w:p>
    <w:p>
      <w:pPr>
        <w:spacing w:before="0" w:after="160"/>
        <w:jc w:val="left"/>
      </w:pPr>
      <w:r>
        <w:rPr>
          <w:b w:val="0"/>
          <w:sz w:val="22"/>
        </w:rPr>
        <w:t>Annual income shows a very marginal difference between approved and rejected applicants. Approved applicants average Rs.5.03M per year vs Rs.5.11M for rejected — almost identical. Income alone does not determine approval; CIBIL and financial structure matter more.</w:t>
      </w:r>
    </w:p>
    <w:p>
      <w:pPr>
        <w:spacing w:after="40"/>
        <w:jc w:val="center"/>
      </w:pPr>
      <w:r>
        <w:drawing>
          <wp:inline xmlns:a="http://schemas.openxmlformats.org/drawingml/2006/main" xmlns:pic="http://schemas.openxmlformats.org/drawingml/2006/picture">
            <wp:extent cx="5760000" cy="2274155"/>
            <wp:docPr id="3" name="Picture 3"/>
            <wp:cNvGraphicFramePr>
              <a:graphicFrameLocks noChangeAspect="1"/>
            </wp:cNvGraphicFramePr>
            <a:graphic>
              <a:graphicData uri="http://schemas.openxmlformats.org/drawingml/2006/picture">
                <pic:pic>
                  <pic:nvPicPr>
                    <pic:cNvPr id="0" name="chart3_income.png"/>
                    <pic:cNvPicPr/>
                  </pic:nvPicPr>
                  <pic:blipFill>
                    <a:blip r:embed="rId11"/>
                    <a:stretch>
                      <a:fillRect/>
                    </a:stretch>
                  </pic:blipFill>
                  <pic:spPr>
                    <a:xfrm>
                      <a:off x="0" y="0"/>
                      <a:ext cx="5760000" cy="2274155"/>
                    </a:xfrm>
                    <a:prstGeom prst="rect"/>
                  </pic:spPr>
                </pic:pic>
              </a:graphicData>
            </a:graphic>
          </wp:inline>
        </w:drawing>
      </w:r>
    </w:p>
    <w:p>
      <w:pPr>
        <w:spacing w:after="200"/>
        <w:jc w:val="center"/>
      </w:pPr>
      <w:r>
        <w:rPr>
          <w:b/>
          <w:color w:val="555555"/>
          <w:sz w:val="20"/>
        </w:rPr>
        <w:t>Chart 3: Annual Income Distribution (left) and Mean by Loan Status (right)</w:t>
      </w:r>
    </w:p>
    <w:p>
      <w:pPr>
        <w:spacing w:before="80" w:after="200"/>
        <w:ind w:left="283"/>
      </w:pPr>
      <w:r>
        <w:rPr>
          <w:b w:val="0"/>
          <w:i/>
          <w:color w:val="1A3C5E"/>
          <w:sz w:val="20"/>
        </w:rPr>
        <w:t>Key Finding: Income difference between approved and rejected is negligible (Rs.5.03M vs Rs.5.11M). Income is the 4th most important feature at 2.0% importance.</w:t>
      </w:r>
    </w:p>
    <w:p>
      <w:pPr>
        <w:pStyle w:val="Heading2"/>
        <w:spacing w:before="200" w:after="120"/>
      </w:pPr>
      <w:r>
        <w:rPr>
          <w:b/>
          <w:color w:val="2E86DE"/>
          <w:sz w:val="28"/>
        </w:rPr>
        <w:t>4.4 Education and Employment Analysis</w:t>
      </w:r>
    </w:p>
    <w:p>
      <w:pPr>
        <w:spacing w:before="0" w:after="120"/>
        <w:jc w:val="left"/>
      </w:pPr>
      <w:r>
        <w:rPr>
          <w:b w:val="0"/>
          <w:sz w:val="22"/>
        </w:rPr>
        <w:t>Both education and employment type show virtually no difference in approval rates across groups. This is a key finding — these demographic factors have almost no direct influence on loan approval.</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3c5e"/>
          </w:tcPr>
          <w:p>
            <w:pPr>
              <w:jc w:val="center"/>
            </w:pPr>
            <w:r>
              <w:rPr>
                <w:b/>
                <w:color w:val="FFFFFF"/>
                <w:sz w:val="20"/>
              </w:rPr>
              <w:t>Feature</w:t>
            </w:r>
          </w:p>
        </w:tc>
        <w:tc>
          <w:tcPr>
            <w:tcW w:type="dxa" w:w="3402"/>
            <w:shd w:val="clear" w:color="auto" w:fill="1a3c5e"/>
          </w:tcPr>
          <w:p>
            <w:pPr>
              <w:jc w:val="center"/>
            </w:pPr>
            <w:r>
              <w:rPr>
                <w:b/>
                <w:color w:val="FFFFFF"/>
                <w:sz w:val="20"/>
              </w:rPr>
              <w:t>Category</w:t>
            </w:r>
          </w:p>
        </w:tc>
        <w:tc>
          <w:tcPr>
            <w:tcW w:type="dxa" w:w="2268"/>
            <w:shd w:val="clear" w:color="auto" w:fill="1a3c5e"/>
          </w:tcPr>
          <w:p>
            <w:pPr>
              <w:jc w:val="center"/>
            </w:pPr>
            <w:r>
              <w:rPr>
                <w:b/>
                <w:color w:val="FFFFFF"/>
                <w:sz w:val="20"/>
              </w:rPr>
              <w:t>Approval Rate</w:t>
            </w:r>
          </w:p>
        </w:tc>
      </w:tr>
      <w:tr>
        <w:tc>
          <w:tcPr>
            <w:tcW w:type="dxa" w:w="2268"/>
            <w:shd w:val="clear" w:color="auto" w:fill="f0f4fa"/>
          </w:tcPr>
          <w:p>
            <w:pPr>
              <w:jc w:val="center"/>
            </w:pPr>
            <w:r>
              <w:rPr>
                <w:sz w:val="20"/>
              </w:rPr>
              <w:t>Education</w:t>
            </w:r>
          </w:p>
        </w:tc>
        <w:tc>
          <w:tcPr>
            <w:tcW w:type="dxa" w:w="3402"/>
            <w:shd w:val="clear" w:color="auto" w:fill="f0f4fa"/>
          </w:tcPr>
          <w:p>
            <w:pPr>
              <w:jc w:val="center"/>
            </w:pPr>
            <w:r>
              <w:rPr>
                <w:sz w:val="20"/>
              </w:rPr>
              <w:t>Graduate</w:t>
            </w:r>
          </w:p>
        </w:tc>
        <w:tc>
          <w:tcPr>
            <w:tcW w:type="dxa" w:w="2268"/>
            <w:shd w:val="clear" w:color="auto" w:fill="f0f4fa"/>
          </w:tcPr>
          <w:p>
            <w:pPr>
              <w:jc w:val="center"/>
            </w:pPr>
            <w:r>
              <w:rPr>
                <w:sz w:val="20"/>
              </w:rPr>
              <w:t>62.5%</w:t>
            </w:r>
          </w:p>
        </w:tc>
      </w:tr>
      <w:tr>
        <w:tc>
          <w:tcPr>
            <w:tcW w:type="dxa" w:w="2268"/>
            <w:shd w:val="clear" w:color="auto" w:fill="ffffff"/>
          </w:tcPr>
          <w:p>
            <w:pPr>
              <w:jc w:val="center"/>
            </w:pPr>
            <w:r>
              <w:rPr>
                <w:sz w:val="20"/>
              </w:rPr>
              <w:t>Education</w:t>
            </w:r>
          </w:p>
        </w:tc>
        <w:tc>
          <w:tcPr>
            <w:tcW w:type="dxa" w:w="3402"/>
            <w:shd w:val="clear" w:color="auto" w:fill="ffffff"/>
          </w:tcPr>
          <w:p>
            <w:pPr>
              <w:jc w:val="center"/>
            </w:pPr>
            <w:r>
              <w:rPr>
                <w:sz w:val="20"/>
              </w:rPr>
              <w:t>Not Graduate</w:t>
            </w:r>
          </w:p>
        </w:tc>
        <w:tc>
          <w:tcPr>
            <w:tcW w:type="dxa" w:w="2268"/>
            <w:shd w:val="clear" w:color="auto" w:fill="ffffff"/>
          </w:tcPr>
          <w:p>
            <w:pPr>
              <w:jc w:val="center"/>
            </w:pPr>
            <w:r>
              <w:rPr>
                <w:sz w:val="20"/>
              </w:rPr>
              <w:t>62.0%</w:t>
            </w:r>
          </w:p>
        </w:tc>
      </w:tr>
      <w:tr>
        <w:tc>
          <w:tcPr>
            <w:tcW w:type="dxa" w:w="2268"/>
            <w:shd w:val="clear" w:color="auto" w:fill="f0f4fa"/>
          </w:tcPr>
          <w:p>
            <w:pPr>
              <w:jc w:val="center"/>
            </w:pPr>
            <w:r>
              <w:rPr>
                <w:sz w:val="20"/>
              </w:rPr>
              <w:t>Employment</w:t>
            </w:r>
          </w:p>
        </w:tc>
        <w:tc>
          <w:tcPr>
            <w:tcW w:type="dxa" w:w="3402"/>
            <w:shd w:val="clear" w:color="auto" w:fill="f0f4fa"/>
          </w:tcPr>
          <w:p>
            <w:pPr>
              <w:jc w:val="center"/>
            </w:pPr>
            <w:r>
              <w:rPr>
                <w:sz w:val="20"/>
              </w:rPr>
              <w:t>Salaried (Not Self-Emp.)</w:t>
            </w:r>
          </w:p>
        </w:tc>
        <w:tc>
          <w:tcPr>
            <w:tcW w:type="dxa" w:w="2268"/>
            <w:shd w:val="clear" w:color="auto" w:fill="f0f4fa"/>
          </w:tcPr>
          <w:p>
            <w:pPr>
              <w:jc w:val="center"/>
            </w:pPr>
            <w:r>
              <w:rPr>
                <w:sz w:val="20"/>
              </w:rPr>
              <w:t>62.2%</w:t>
            </w:r>
          </w:p>
        </w:tc>
      </w:tr>
      <w:tr>
        <w:tc>
          <w:tcPr>
            <w:tcW w:type="dxa" w:w="2268"/>
            <w:shd w:val="clear" w:color="auto" w:fill="ffffff"/>
          </w:tcPr>
          <w:p>
            <w:pPr>
              <w:jc w:val="center"/>
            </w:pPr>
            <w:r>
              <w:rPr>
                <w:sz w:val="20"/>
              </w:rPr>
              <w:t>Employment</w:t>
            </w:r>
          </w:p>
        </w:tc>
        <w:tc>
          <w:tcPr>
            <w:tcW w:type="dxa" w:w="3402"/>
            <w:shd w:val="clear" w:color="auto" w:fill="ffffff"/>
          </w:tcPr>
          <w:p>
            <w:pPr>
              <w:jc w:val="center"/>
            </w:pPr>
            <w:r>
              <w:rPr>
                <w:sz w:val="20"/>
              </w:rPr>
              <w:t>Self-Employed</w:t>
            </w:r>
          </w:p>
        </w:tc>
        <w:tc>
          <w:tcPr>
            <w:tcW w:type="dxa" w:w="2268"/>
            <w:shd w:val="clear" w:color="auto" w:fill="ffffff"/>
          </w:tcPr>
          <w:p>
            <w:pPr>
              <w:jc w:val="center"/>
            </w:pPr>
            <w:r>
              <w:rPr>
                <w:sz w:val="20"/>
              </w:rPr>
              <w:t>62.2%</w:t>
            </w:r>
          </w:p>
        </w:tc>
      </w:tr>
    </w:tbl>
    <w:p/>
    <w:p>
      <w:pPr>
        <w:spacing w:after="40"/>
        <w:jc w:val="center"/>
      </w:pPr>
      <w:r>
        <w:drawing>
          <wp:inline xmlns:a="http://schemas.openxmlformats.org/drawingml/2006/main" xmlns:pic="http://schemas.openxmlformats.org/drawingml/2006/picture">
            <wp:extent cx="5760000" cy="2274155"/>
            <wp:docPr id="4" name="Picture 4"/>
            <wp:cNvGraphicFramePr>
              <a:graphicFrameLocks noChangeAspect="1"/>
            </wp:cNvGraphicFramePr>
            <a:graphic>
              <a:graphicData uri="http://schemas.openxmlformats.org/drawingml/2006/picture">
                <pic:pic>
                  <pic:nvPicPr>
                    <pic:cNvPr id="0" name="chart4_edu_emp.png"/>
                    <pic:cNvPicPr/>
                  </pic:nvPicPr>
                  <pic:blipFill>
                    <a:blip r:embed="rId12"/>
                    <a:stretch>
                      <a:fillRect/>
                    </a:stretch>
                  </pic:blipFill>
                  <pic:spPr>
                    <a:xfrm>
                      <a:off x="0" y="0"/>
                      <a:ext cx="5760000" cy="2274155"/>
                    </a:xfrm>
                    <a:prstGeom prst="rect"/>
                  </pic:spPr>
                </pic:pic>
              </a:graphicData>
            </a:graphic>
          </wp:inline>
        </w:drawing>
      </w:r>
    </w:p>
    <w:p>
      <w:pPr>
        <w:spacing w:after="200"/>
        <w:jc w:val="center"/>
      </w:pPr>
      <w:r>
        <w:rPr>
          <w:b/>
          <w:color w:val="555555"/>
          <w:sz w:val="20"/>
        </w:rPr>
        <w:t>Chart 4: Approval Rates by Education (left) and Employment Type (right)</w:t>
      </w:r>
    </w:p>
    <w:p>
      <w:pPr>
        <w:spacing w:before="80" w:after="200"/>
        <w:ind w:left="283"/>
      </w:pPr>
      <w:r>
        <w:rPr>
          <w:b w:val="0"/>
          <w:i/>
          <w:color w:val="1A3C5E"/>
          <w:sz w:val="20"/>
        </w:rPr>
        <w:t>Key Finding: Education and employment type have near-zero impact on approval (feature importance &lt;0.3% each). Using these as criteria would constitute discriminatory lending with no predictive benefit.</w:t>
      </w:r>
    </w:p>
    <w:p>
      <w:pPr>
        <w:pStyle w:val="Heading2"/>
        <w:spacing w:before="200" w:after="120"/>
      </w:pPr>
      <w:r>
        <w:rPr>
          <w:b/>
          <w:color w:val="2E86DE"/>
          <w:sz w:val="28"/>
        </w:rPr>
        <w:t>4.5 Number of Dependents Analysis</w:t>
      </w:r>
    </w:p>
    <w:p>
      <w:pPr>
        <w:spacing w:before="0" w:after="120"/>
        <w:jc w:val="left"/>
      </w:pPr>
      <w:r>
        <w:rPr>
          <w:b w:val="0"/>
          <w:sz w:val="22"/>
        </w:rPr>
        <w:t>Applicants with zero dependents have the highest approval rate (64.2%), while those with 5 dependents have the lowest (60.3%). The spread is only 3.9 percentage points — a mild effect.</w:t>
      </w:r>
    </w:p>
    <w:tbl>
      <w:tblPr>
        <w:tblStyle w:val="TableGrid"/>
        <w:tblW w:type="auto" w:w="0"/>
        <w:jc w:val="left"/>
        <w:tblLook w:firstColumn="1" w:firstRow="1" w:lastColumn="0" w:lastRow="0" w:noHBand="0" w:noVBand="1" w:val="04A0"/>
      </w:tblPr>
      <w:tblGrid>
        <w:gridCol w:w="4703"/>
        <w:gridCol w:w="4703"/>
      </w:tblGrid>
      <w:tr>
        <w:tc>
          <w:tcPr>
            <w:tcW w:type="dxa" w:w="3969"/>
            <w:shd w:val="clear" w:color="auto" w:fill="1a3c5e"/>
          </w:tcPr>
          <w:p>
            <w:pPr>
              <w:jc w:val="center"/>
            </w:pPr>
            <w:r>
              <w:rPr>
                <w:b/>
                <w:color w:val="FFFFFF"/>
                <w:sz w:val="20"/>
              </w:rPr>
              <w:t>Number of Dependents</w:t>
            </w:r>
          </w:p>
        </w:tc>
        <w:tc>
          <w:tcPr>
            <w:tcW w:type="dxa" w:w="3969"/>
            <w:shd w:val="clear" w:color="auto" w:fill="1a3c5e"/>
          </w:tcPr>
          <w:p>
            <w:pPr>
              <w:jc w:val="center"/>
            </w:pPr>
            <w:r>
              <w:rPr>
                <w:b/>
                <w:color w:val="FFFFFF"/>
                <w:sz w:val="20"/>
              </w:rPr>
              <w:t>Approval Rate</w:t>
            </w:r>
          </w:p>
        </w:tc>
      </w:tr>
      <w:tr>
        <w:tc>
          <w:tcPr>
            <w:tcW w:type="dxa" w:w="3969"/>
            <w:shd w:val="clear" w:color="auto" w:fill="f0f4fa"/>
          </w:tcPr>
          <w:p>
            <w:pPr>
              <w:jc w:val="center"/>
            </w:pPr>
            <w:r>
              <w:rPr>
                <w:sz w:val="20"/>
              </w:rPr>
              <w:t>0</w:t>
            </w:r>
          </w:p>
        </w:tc>
        <w:tc>
          <w:tcPr>
            <w:tcW w:type="dxa" w:w="3969"/>
            <w:shd w:val="clear" w:color="auto" w:fill="f0f4fa"/>
          </w:tcPr>
          <w:p>
            <w:pPr>
              <w:jc w:val="center"/>
            </w:pPr>
            <w:r>
              <w:rPr>
                <w:sz w:val="20"/>
              </w:rPr>
              <w:t>64.2%</w:t>
            </w:r>
          </w:p>
        </w:tc>
      </w:tr>
      <w:tr>
        <w:tc>
          <w:tcPr>
            <w:tcW w:type="dxa" w:w="3969"/>
            <w:shd w:val="clear" w:color="auto" w:fill="ffffff"/>
          </w:tcPr>
          <w:p>
            <w:pPr>
              <w:jc w:val="center"/>
            </w:pPr>
            <w:r>
              <w:rPr>
                <w:sz w:val="20"/>
              </w:rPr>
              <w:t>1</w:t>
            </w:r>
          </w:p>
        </w:tc>
        <w:tc>
          <w:tcPr>
            <w:tcW w:type="dxa" w:w="3969"/>
            <w:shd w:val="clear" w:color="auto" w:fill="ffffff"/>
          </w:tcPr>
          <w:p>
            <w:pPr>
              <w:jc w:val="center"/>
            </w:pPr>
            <w:r>
              <w:rPr>
                <w:sz w:val="20"/>
              </w:rPr>
              <w:t>61.7%</w:t>
            </w:r>
          </w:p>
        </w:tc>
      </w:tr>
      <w:tr>
        <w:tc>
          <w:tcPr>
            <w:tcW w:type="dxa" w:w="3969"/>
            <w:shd w:val="clear" w:color="auto" w:fill="f0f4fa"/>
          </w:tcPr>
          <w:p>
            <w:pPr>
              <w:jc w:val="center"/>
            </w:pPr>
            <w:r>
              <w:rPr>
                <w:sz w:val="20"/>
              </w:rPr>
              <w:t>2</w:t>
            </w:r>
          </w:p>
        </w:tc>
        <w:tc>
          <w:tcPr>
            <w:tcW w:type="dxa" w:w="3969"/>
            <w:shd w:val="clear" w:color="auto" w:fill="f0f4fa"/>
          </w:tcPr>
          <w:p>
            <w:pPr>
              <w:jc w:val="center"/>
            </w:pPr>
            <w:r>
              <w:rPr>
                <w:sz w:val="20"/>
              </w:rPr>
              <w:t>62.3%</w:t>
            </w:r>
          </w:p>
        </w:tc>
      </w:tr>
      <w:tr>
        <w:tc>
          <w:tcPr>
            <w:tcW w:type="dxa" w:w="3969"/>
            <w:shd w:val="clear" w:color="auto" w:fill="ffffff"/>
          </w:tcPr>
          <w:p>
            <w:pPr>
              <w:jc w:val="center"/>
            </w:pPr>
            <w:r>
              <w:rPr>
                <w:sz w:val="20"/>
              </w:rPr>
              <w:t>3</w:t>
            </w:r>
          </w:p>
        </w:tc>
        <w:tc>
          <w:tcPr>
            <w:tcW w:type="dxa" w:w="3969"/>
            <w:shd w:val="clear" w:color="auto" w:fill="ffffff"/>
          </w:tcPr>
          <w:p>
            <w:pPr>
              <w:jc w:val="center"/>
            </w:pPr>
            <w:r>
              <w:rPr>
                <w:sz w:val="20"/>
              </w:rPr>
              <w:t>62.9%</w:t>
            </w:r>
          </w:p>
        </w:tc>
      </w:tr>
      <w:tr>
        <w:tc>
          <w:tcPr>
            <w:tcW w:type="dxa" w:w="3969"/>
            <w:shd w:val="clear" w:color="auto" w:fill="f0f4fa"/>
          </w:tcPr>
          <w:p>
            <w:pPr>
              <w:jc w:val="center"/>
            </w:pPr>
            <w:r>
              <w:rPr>
                <w:sz w:val="20"/>
              </w:rPr>
              <w:t>4</w:t>
            </w:r>
          </w:p>
        </w:tc>
        <w:tc>
          <w:tcPr>
            <w:tcW w:type="dxa" w:w="3969"/>
            <w:shd w:val="clear" w:color="auto" w:fill="f0f4fa"/>
          </w:tcPr>
          <w:p>
            <w:pPr>
              <w:jc w:val="center"/>
            </w:pPr>
            <w:r>
              <w:rPr>
                <w:sz w:val="20"/>
              </w:rPr>
              <w:t>61.8%</w:t>
            </w:r>
          </w:p>
        </w:tc>
      </w:tr>
      <w:tr>
        <w:tc>
          <w:tcPr>
            <w:tcW w:type="dxa" w:w="3969"/>
            <w:shd w:val="clear" w:color="auto" w:fill="ffffff"/>
          </w:tcPr>
          <w:p>
            <w:pPr>
              <w:jc w:val="center"/>
            </w:pPr>
            <w:r>
              <w:rPr>
                <w:sz w:val="20"/>
              </w:rPr>
              <w:t>5</w:t>
            </w:r>
          </w:p>
        </w:tc>
        <w:tc>
          <w:tcPr>
            <w:tcW w:type="dxa" w:w="3969"/>
            <w:shd w:val="clear" w:color="auto" w:fill="ffffff"/>
          </w:tcPr>
          <w:p>
            <w:pPr>
              <w:jc w:val="center"/>
            </w:pPr>
            <w:r>
              <w:rPr>
                <w:sz w:val="20"/>
              </w:rPr>
              <w:t>60.3%</w:t>
            </w:r>
          </w:p>
        </w:tc>
      </w:tr>
      <w:tr>
        <w:tc>
          <w:tcPr>
            <w:tcW w:type="dxa" w:w="3969"/>
            <w:shd w:val="clear" w:color="auto" w:fill="f0f4fa"/>
          </w:tcPr>
          <w:p>
            <w:pPr>
              <w:jc w:val="center"/>
            </w:pPr>
            <w:r>
              <w:rPr>
                <w:sz w:val="20"/>
              </w:rPr>
              <w:t>Overall</w:t>
            </w:r>
          </w:p>
        </w:tc>
        <w:tc>
          <w:tcPr>
            <w:tcW w:type="dxa" w:w="3969"/>
            <w:shd w:val="clear" w:color="auto" w:fill="f0f4fa"/>
          </w:tcPr>
          <w:p>
            <w:pPr>
              <w:jc w:val="center"/>
            </w:pPr>
            <w:r>
              <w:rPr>
                <w:sz w:val="20"/>
              </w:rPr>
              <w:t>62.2%</w:t>
            </w:r>
          </w:p>
        </w:tc>
      </w:tr>
    </w:tbl>
    <w:p/>
    <w:p>
      <w:pPr>
        <w:spacing w:after="40"/>
        <w:jc w:val="center"/>
      </w:pPr>
      <w:r>
        <w:drawing>
          <wp:inline xmlns:a="http://schemas.openxmlformats.org/drawingml/2006/main" xmlns:pic="http://schemas.openxmlformats.org/drawingml/2006/picture">
            <wp:extent cx="4680000" cy="2895254"/>
            <wp:docPr id="5" name="Picture 5"/>
            <wp:cNvGraphicFramePr>
              <a:graphicFrameLocks noChangeAspect="1"/>
            </wp:cNvGraphicFramePr>
            <a:graphic>
              <a:graphicData uri="http://schemas.openxmlformats.org/drawingml/2006/picture">
                <pic:pic>
                  <pic:nvPicPr>
                    <pic:cNvPr id="0" name="chart5_dependents.png"/>
                    <pic:cNvPicPr/>
                  </pic:nvPicPr>
                  <pic:blipFill>
                    <a:blip r:embed="rId13"/>
                    <a:stretch>
                      <a:fillRect/>
                    </a:stretch>
                  </pic:blipFill>
                  <pic:spPr>
                    <a:xfrm>
                      <a:off x="0" y="0"/>
                      <a:ext cx="4680000" cy="2895254"/>
                    </a:xfrm>
                    <a:prstGeom prst="rect"/>
                  </pic:spPr>
                </pic:pic>
              </a:graphicData>
            </a:graphic>
          </wp:inline>
        </w:drawing>
      </w:r>
    </w:p>
    <w:p>
      <w:pPr>
        <w:spacing w:after="200"/>
        <w:jc w:val="center"/>
      </w:pPr>
      <w:r>
        <w:rPr>
          <w:b/>
          <w:color w:val="555555"/>
          <w:sz w:val="20"/>
        </w:rPr>
        <w:t>Chart 5: Approval Rate by Number of Dependents (red dashed = overall rate 62.2%)</w:t>
      </w:r>
    </w:p>
    <w:p>
      <w:pPr>
        <w:spacing w:before="80" w:after="200"/>
        <w:ind w:left="283"/>
      </w:pPr>
      <w:r>
        <w:rPr>
          <w:b w:val="0"/>
          <w:i/>
          <w:color w:val="1A3C5E"/>
          <w:sz w:val="20"/>
        </w:rPr>
        <w:t>Key Finding: Dependents have a mild negative effect. Feature importance: 0.84% — notable but not dominant.</w:t>
      </w:r>
    </w:p>
    <w:p>
      <w:pPr>
        <w:pStyle w:val="Heading2"/>
        <w:spacing w:before="200" w:after="120"/>
      </w:pPr>
      <w:r>
        <w:rPr>
          <w:b/>
          <w:color w:val="2E86DE"/>
          <w:sz w:val="28"/>
        </w:rPr>
        <w:t>4.6 Asset Value Analysis</w:t>
      </w:r>
    </w:p>
    <w:p>
      <w:pPr>
        <w:spacing w:before="0" w:after="120"/>
        <w:jc w:val="left"/>
      </w:pPr>
      <w:r>
        <w:rPr>
          <w:b w:val="0"/>
          <w:sz w:val="22"/>
        </w:rPr>
        <w:t>Asset values show almost no difference between approved and rejected applicants. Rejected applicants even show marginally higher average residential, luxury, and bank assets. This confirms that raw asset values are not primary drivers — CIBIL dominates.</w:t>
      </w:r>
    </w:p>
    <w:tbl>
      <w:tblPr>
        <w:tblStyle w:val="TableGrid"/>
        <w:tblW w:type="auto" w:w="0"/>
        <w:jc w:val="left"/>
        <w:tblLook w:firstColumn="1" w:firstRow="1" w:lastColumn="0" w:lastRow="0" w:noHBand="0" w:noVBand="1" w:val="04A0"/>
      </w:tblPr>
      <w:tblGrid>
        <w:gridCol w:w="3135"/>
        <w:gridCol w:w="3135"/>
        <w:gridCol w:w="3135"/>
      </w:tblGrid>
      <w:tr>
        <w:tc>
          <w:tcPr>
            <w:tcW w:type="dxa" w:w="3402"/>
            <w:shd w:val="clear" w:color="auto" w:fill="1a3c5e"/>
          </w:tcPr>
          <w:p>
            <w:pPr>
              <w:jc w:val="center"/>
            </w:pPr>
            <w:r>
              <w:rPr>
                <w:b/>
                <w:color w:val="FFFFFF"/>
                <w:sz w:val="20"/>
              </w:rPr>
              <w:t>Asset Type</w:t>
            </w:r>
          </w:p>
        </w:tc>
        <w:tc>
          <w:tcPr>
            <w:tcW w:type="dxa" w:w="2835"/>
            <w:shd w:val="clear" w:color="auto" w:fill="1a3c5e"/>
          </w:tcPr>
          <w:p>
            <w:pPr>
              <w:jc w:val="center"/>
            </w:pPr>
            <w:r>
              <w:rPr>
                <w:b/>
                <w:color w:val="FFFFFF"/>
                <w:sz w:val="20"/>
              </w:rPr>
              <w:t>Approved Mean (Rs.M)</w:t>
            </w:r>
          </w:p>
        </w:tc>
        <w:tc>
          <w:tcPr>
            <w:tcW w:type="dxa" w:w="2835"/>
            <w:shd w:val="clear" w:color="auto" w:fill="1a3c5e"/>
          </w:tcPr>
          <w:p>
            <w:pPr>
              <w:jc w:val="center"/>
            </w:pPr>
            <w:r>
              <w:rPr>
                <w:b/>
                <w:color w:val="FFFFFF"/>
                <w:sz w:val="20"/>
              </w:rPr>
              <w:t>Rejected Mean (Rs.M)</w:t>
            </w:r>
          </w:p>
        </w:tc>
      </w:tr>
      <w:tr>
        <w:tc>
          <w:tcPr>
            <w:tcW w:type="dxa" w:w="3402"/>
            <w:shd w:val="clear" w:color="auto" w:fill="f0f4fa"/>
          </w:tcPr>
          <w:p>
            <w:pPr>
              <w:jc w:val="center"/>
            </w:pPr>
            <w:r>
              <w:rPr>
                <w:sz w:val="20"/>
              </w:rPr>
              <w:t>Residential Assets</w:t>
            </w:r>
          </w:p>
        </w:tc>
        <w:tc>
          <w:tcPr>
            <w:tcW w:type="dxa" w:w="2835"/>
            <w:shd w:val="clear" w:color="auto" w:fill="f0f4fa"/>
          </w:tcPr>
          <w:p>
            <w:pPr>
              <w:jc w:val="center"/>
            </w:pPr>
            <w:r>
              <w:rPr>
                <w:sz w:val="20"/>
              </w:rPr>
              <w:t>7.40</w:t>
            </w:r>
          </w:p>
        </w:tc>
        <w:tc>
          <w:tcPr>
            <w:tcW w:type="dxa" w:w="2835"/>
            <w:shd w:val="clear" w:color="auto" w:fill="f0f4fa"/>
          </w:tcPr>
          <w:p>
            <w:pPr>
              <w:jc w:val="center"/>
            </w:pPr>
            <w:r>
              <w:rPr>
                <w:sz w:val="20"/>
              </w:rPr>
              <w:t>7.59</w:t>
            </w:r>
          </w:p>
        </w:tc>
      </w:tr>
      <w:tr>
        <w:tc>
          <w:tcPr>
            <w:tcW w:type="dxa" w:w="3402"/>
            <w:shd w:val="clear" w:color="auto" w:fill="ffffff"/>
          </w:tcPr>
          <w:p>
            <w:pPr>
              <w:jc w:val="center"/>
            </w:pPr>
            <w:r>
              <w:rPr>
                <w:sz w:val="20"/>
              </w:rPr>
              <w:t>Commercial Assets</w:t>
            </w:r>
          </w:p>
        </w:tc>
        <w:tc>
          <w:tcPr>
            <w:tcW w:type="dxa" w:w="2835"/>
            <w:shd w:val="clear" w:color="auto" w:fill="ffffff"/>
          </w:tcPr>
          <w:p>
            <w:pPr>
              <w:jc w:val="center"/>
            </w:pPr>
            <w:r>
              <w:rPr>
                <w:sz w:val="20"/>
              </w:rPr>
              <w:t>5.00</w:t>
            </w:r>
          </w:p>
        </w:tc>
        <w:tc>
          <w:tcPr>
            <w:tcW w:type="dxa" w:w="2835"/>
            <w:shd w:val="clear" w:color="auto" w:fill="ffffff"/>
          </w:tcPr>
          <w:p>
            <w:pPr>
              <w:jc w:val="center"/>
            </w:pPr>
            <w:r>
              <w:rPr>
                <w:sz w:val="20"/>
              </w:rPr>
              <w:t>4.93</w:t>
            </w:r>
          </w:p>
        </w:tc>
      </w:tr>
      <w:tr>
        <w:tc>
          <w:tcPr>
            <w:tcW w:type="dxa" w:w="3402"/>
            <w:shd w:val="clear" w:color="auto" w:fill="f0f4fa"/>
          </w:tcPr>
          <w:p>
            <w:pPr>
              <w:jc w:val="center"/>
            </w:pPr>
            <w:r>
              <w:rPr>
                <w:sz w:val="20"/>
              </w:rPr>
              <w:t>Luxury Assets</w:t>
            </w:r>
          </w:p>
        </w:tc>
        <w:tc>
          <w:tcPr>
            <w:tcW w:type="dxa" w:w="2835"/>
            <w:shd w:val="clear" w:color="auto" w:fill="f0f4fa"/>
          </w:tcPr>
          <w:p>
            <w:pPr>
              <w:jc w:val="center"/>
            </w:pPr>
            <w:r>
              <w:rPr>
                <w:sz w:val="20"/>
              </w:rPr>
              <w:t>15.02</w:t>
            </w:r>
          </w:p>
        </w:tc>
        <w:tc>
          <w:tcPr>
            <w:tcW w:type="dxa" w:w="2835"/>
            <w:shd w:val="clear" w:color="auto" w:fill="f0f4fa"/>
          </w:tcPr>
          <w:p>
            <w:pPr>
              <w:jc w:val="center"/>
            </w:pPr>
            <w:r>
              <w:rPr>
                <w:sz w:val="20"/>
              </w:rPr>
              <w:t>15.31</w:t>
            </w:r>
          </w:p>
        </w:tc>
      </w:tr>
      <w:tr>
        <w:tc>
          <w:tcPr>
            <w:tcW w:type="dxa" w:w="3402"/>
            <w:shd w:val="clear" w:color="auto" w:fill="ffffff"/>
          </w:tcPr>
          <w:p>
            <w:pPr>
              <w:jc w:val="center"/>
            </w:pPr>
            <w:r>
              <w:rPr>
                <w:sz w:val="20"/>
              </w:rPr>
              <w:t>Bank Assets</w:t>
            </w:r>
          </w:p>
        </w:tc>
        <w:tc>
          <w:tcPr>
            <w:tcW w:type="dxa" w:w="2835"/>
            <w:shd w:val="clear" w:color="auto" w:fill="ffffff"/>
          </w:tcPr>
          <w:p>
            <w:pPr>
              <w:jc w:val="center"/>
            </w:pPr>
            <w:r>
              <w:rPr>
                <w:sz w:val="20"/>
              </w:rPr>
              <w:t>4.96</w:t>
            </w:r>
          </w:p>
        </w:tc>
        <w:tc>
          <w:tcPr>
            <w:tcW w:type="dxa" w:w="2835"/>
            <w:shd w:val="clear" w:color="auto" w:fill="ffffff"/>
          </w:tcPr>
          <w:p>
            <w:pPr>
              <w:jc w:val="center"/>
            </w:pPr>
            <w:r>
              <w:rPr>
                <w:sz w:val="20"/>
              </w:rPr>
              <w:t>5.00</w:t>
            </w:r>
          </w:p>
        </w:tc>
      </w:tr>
      <w:tr>
        <w:tc>
          <w:tcPr>
            <w:tcW w:type="dxa" w:w="3402"/>
            <w:shd w:val="clear" w:color="auto" w:fill="f0f4fa"/>
          </w:tcPr>
          <w:p>
            <w:pPr>
              <w:jc w:val="center"/>
            </w:pPr>
            <w:r>
              <w:rPr>
                <w:sz w:val="20"/>
              </w:rPr>
              <w:t>Total (All Assets)</w:t>
            </w:r>
          </w:p>
        </w:tc>
        <w:tc>
          <w:tcPr>
            <w:tcW w:type="dxa" w:w="2835"/>
            <w:shd w:val="clear" w:color="auto" w:fill="f0f4fa"/>
          </w:tcPr>
          <w:p>
            <w:pPr>
              <w:jc w:val="center"/>
            </w:pPr>
            <w:r>
              <w:rPr>
                <w:sz w:val="20"/>
              </w:rPr>
              <w:t>32.38</w:t>
            </w:r>
          </w:p>
        </w:tc>
        <w:tc>
          <w:tcPr>
            <w:tcW w:type="dxa" w:w="2835"/>
            <w:shd w:val="clear" w:color="auto" w:fill="f0f4fa"/>
          </w:tcPr>
          <w:p>
            <w:pPr>
              <w:jc w:val="center"/>
            </w:pPr>
            <w:r>
              <w:rPr>
                <w:sz w:val="20"/>
              </w:rPr>
              <w:t>32.83</w:t>
            </w:r>
          </w:p>
        </w:tc>
      </w:tr>
    </w:tbl>
    <w:p/>
    <w:p>
      <w:pPr>
        <w:spacing w:after="40"/>
        <w:jc w:val="center"/>
      </w:pPr>
      <w:r>
        <w:drawing>
          <wp:inline xmlns:a="http://schemas.openxmlformats.org/drawingml/2006/main" xmlns:pic="http://schemas.openxmlformats.org/drawingml/2006/picture">
            <wp:extent cx="5760000" cy="2841081"/>
            <wp:docPr id="6" name="Picture 6"/>
            <wp:cNvGraphicFramePr>
              <a:graphicFrameLocks noChangeAspect="1"/>
            </wp:cNvGraphicFramePr>
            <a:graphic>
              <a:graphicData uri="http://schemas.openxmlformats.org/drawingml/2006/picture">
                <pic:pic>
                  <pic:nvPicPr>
                    <pic:cNvPr id="0" name="chart9_assets.png"/>
                    <pic:cNvPicPr/>
                  </pic:nvPicPr>
                  <pic:blipFill>
                    <a:blip r:embed="rId14"/>
                    <a:stretch>
                      <a:fillRect/>
                    </a:stretch>
                  </pic:blipFill>
                  <pic:spPr>
                    <a:xfrm>
                      <a:off x="0" y="0"/>
                      <a:ext cx="5760000" cy="2841081"/>
                    </a:xfrm>
                    <a:prstGeom prst="rect"/>
                  </pic:spPr>
                </pic:pic>
              </a:graphicData>
            </a:graphic>
          </wp:inline>
        </w:drawing>
      </w:r>
    </w:p>
    <w:p>
      <w:pPr>
        <w:spacing w:after="200"/>
        <w:jc w:val="center"/>
      </w:pPr>
      <w:r>
        <w:rPr>
          <w:b/>
          <w:color w:val="555555"/>
          <w:sz w:val="20"/>
        </w:rPr>
        <w:t>Chart 6: Average Asset Values by Loan Status (Rs. Millions)</w:t>
      </w:r>
    </w:p>
    <w:p>
      <w:pPr>
        <w:spacing w:before="80" w:after="200"/>
        <w:ind w:left="283"/>
      </w:pPr>
      <w:r>
        <w:rPr>
          <w:b w:val="0"/>
          <w:i/>
          <w:color w:val="1A3C5E"/>
          <w:sz w:val="20"/>
        </w:rPr>
        <w:t>Key Finding: Asset values are nearly identical between approved and rejected. CIBIL score overrides asset wealth as a predictor.</w:t>
      </w:r>
    </w:p>
    <w:p>
      <w:pPr>
        <w:pStyle w:val="Heading1"/>
        <w:spacing w:before="280" w:after="160"/>
      </w:pPr>
      <w:r>
        <w:rPr>
          <w:b/>
          <w:color w:val="1A3C5E"/>
          <w:sz w:val="36"/>
        </w:rPr>
        <w:t>5. Machine Learning Models</w:t>
      </w:r>
    </w:p>
    <w:p>
      <w:pPr>
        <w:spacing w:before="0" w:after="160"/>
        <w:jc w:val="left"/>
      </w:pPr>
      <w:r>
        <w:rPr>
          <w:b w:val="0"/>
          <w:sz w:val="22"/>
        </w:rPr>
        <w:t>Four classification models were trained and evaluated on the same 80/20 stratified split. All evaluation metrics are from the held-out 20% test set (854 records) only.</w:t>
      </w:r>
    </w:p>
    <w:p>
      <w:pPr>
        <w:pStyle w:val="Heading2"/>
        <w:spacing w:before="200" w:after="120"/>
      </w:pPr>
      <w:r>
        <w:rPr>
          <w:b/>
          <w:color w:val="2E86DE"/>
          <w:sz w:val="28"/>
        </w:rPr>
        <w:t>5.1 Model Descriptions</w:t>
      </w:r>
    </w:p>
    <w:p>
      <w:pPr>
        <w:spacing w:after="80"/>
      </w:pPr>
      <w:r>
        <w:rPr>
          <w:b/>
          <w:sz w:val="22"/>
        </w:rPr>
        <w:t xml:space="preserve">Logistic Regression: </w:t>
      </w:r>
      <w:r>
        <w:rPr>
          <w:sz w:val="22"/>
        </w:rPr>
        <w:t>Linear baseline model. Requires StandardScaler. Provides probability estimates and interpretable coefficients. Max iterations: 1,000.</w:t>
      </w:r>
    </w:p>
    <w:p>
      <w:pPr>
        <w:spacing w:after="80"/>
      </w:pPr>
      <w:r>
        <w:rPr>
          <w:b/>
          <w:sz w:val="22"/>
        </w:rPr>
        <w:t xml:space="preserve">Decision Tree: </w:t>
      </w:r>
      <w:r>
        <w:rPr>
          <w:sz w:val="22"/>
        </w:rPr>
        <w:t>Rule-based non-linear classifier. Max depth: 8 to prevent overfitting. Scale-invariant. Produces human-readable decision rules.</w:t>
      </w:r>
    </w:p>
    <w:p>
      <w:pPr>
        <w:spacing w:after="80"/>
      </w:pPr>
      <w:r>
        <w:rPr>
          <w:b/>
          <w:sz w:val="22"/>
        </w:rPr>
        <w:t xml:space="preserve">Random Forest (Best): </w:t>
      </w:r>
      <w:r>
        <w:rPr>
          <w:sz w:val="22"/>
        </w:rPr>
        <w:t>Ensemble of 200 decision trees using bagging. Scale-invariant, handles non-linear patterns, provides feature importances. Selected as best model.</w:t>
      </w:r>
    </w:p>
    <w:p>
      <w:pPr>
        <w:spacing w:after="80"/>
      </w:pPr>
      <w:r>
        <w:rPr>
          <w:b/>
          <w:sz w:val="22"/>
        </w:rPr>
        <w:t xml:space="preserve">XGBoost: </w:t>
      </w:r>
      <w:r>
        <w:rPr>
          <w:sz w:val="22"/>
        </w:rPr>
        <w:t>Gradient-boosted ensemble of 200 trees. Highly accurate, robust to outliers, handles complex patterns. Second best overall.</w:t>
      </w:r>
    </w:p>
    <w:p/>
    <w:p>
      <w:pPr>
        <w:pStyle w:val="Heading2"/>
        <w:spacing w:before="200" w:after="120"/>
      </w:pPr>
      <w:r>
        <w:rPr>
          <w:b/>
          <w:color w:val="2E86DE"/>
          <w:sz w:val="28"/>
        </w:rPr>
        <w:t>5.2 Model Performance Results</w:t>
      </w:r>
    </w:p>
    <w:p>
      <w:pPr>
        <w:spacing w:before="0" w:after="120"/>
        <w:jc w:val="left"/>
      </w:pPr>
      <w:r>
        <w:rPr>
          <w:b w:val="0"/>
          <w:color w:val="555555"/>
          <w:sz w:val="20"/>
        </w:rPr>
        <w:t>All scores evaluated on the 854-record test set. Green row = best model.</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3402"/>
            <w:shd w:val="clear" w:color="auto" w:fill="1a3c5e"/>
          </w:tcPr>
          <w:p>
            <w:pPr>
              <w:jc w:val="center"/>
            </w:pPr>
            <w:r>
              <w:rPr>
                <w:b/>
                <w:color w:val="FFFFFF"/>
                <w:sz w:val="20"/>
              </w:rPr>
              <w:t>Model</w:t>
            </w:r>
          </w:p>
        </w:tc>
        <w:tc>
          <w:tcPr>
            <w:tcW w:type="dxa" w:w="1701"/>
            <w:shd w:val="clear" w:color="auto" w:fill="1a3c5e"/>
          </w:tcPr>
          <w:p>
            <w:pPr>
              <w:jc w:val="center"/>
            </w:pPr>
            <w:r>
              <w:rPr>
                <w:b/>
                <w:color w:val="FFFFFF"/>
                <w:sz w:val="20"/>
              </w:rPr>
              <w:t>Accuracy</w:t>
            </w:r>
          </w:p>
        </w:tc>
        <w:tc>
          <w:tcPr>
            <w:tcW w:type="dxa" w:w="1701"/>
            <w:shd w:val="clear" w:color="auto" w:fill="1a3c5e"/>
          </w:tcPr>
          <w:p>
            <w:pPr>
              <w:jc w:val="center"/>
            </w:pPr>
            <w:r>
              <w:rPr>
                <w:b/>
                <w:color w:val="FFFFFF"/>
                <w:sz w:val="20"/>
              </w:rPr>
              <w:t>Precision</w:t>
            </w:r>
          </w:p>
        </w:tc>
        <w:tc>
          <w:tcPr>
            <w:tcW w:type="dxa" w:w="1701"/>
            <w:shd w:val="clear" w:color="auto" w:fill="1a3c5e"/>
          </w:tcPr>
          <w:p>
            <w:pPr>
              <w:jc w:val="center"/>
            </w:pPr>
            <w:r>
              <w:rPr>
                <w:b/>
                <w:color w:val="FFFFFF"/>
                <w:sz w:val="20"/>
              </w:rPr>
              <w:t>Recall</w:t>
            </w:r>
          </w:p>
        </w:tc>
        <w:tc>
          <w:tcPr>
            <w:tcW w:type="dxa" w:w="1701"/>
            <w:shd w:val="clear" w:color="auto" w:fill="1a3c5e"/>
          </w:tcPr>
          <w:p>
            <w:pPr>
              <w:jc w:val="center"/>
            </w:pPr>
            <w:r>
              <w:rPr>
                <w:b/>
                <w:color w:val="FFFFFF"/>
                <w:sz w:val="20"/>
              </w:rPr>
              <w:t>F1-Score</w:t>
            </w:r>
          </w:p>
        </w:tc>
      </w:tr>
      <w:tr>
        <w:tc>
          <w:tcPr>
            <w:tcW w:type="dxa" w:w="3402"/>
            <w:shd w:val="clear" w:color="auto" w:fill="f0f4fa"/>
          </w:tcPr>
          <w:p>
            <w:pPr>
              <w:jc w:val="center"/>
            </w:pPr>
            <w:r>
              <w:rPr>
                <w:color w:val="1A3C5E"/>
                <w:sz w:val="20"/>
              </w:rPr>
              <w:t>Logistic Regression</w:t>
            </w:r>
          </w:p>
        </w:tc>
        <w:tc>
          <w:tcPr>
            <w:tcW w:type="dxa" w:w="1701"/>
            <w:shd w:val="clear" w:color="auto" w:fill="f0f4fa"/>
          </w:tcPr>
          <w:p>
            <w:pPr>
              <w:jc w:val="center"/>
            </w:pPr>
            <w:r>
              <w:rPr>
                <w:color w:val="1A3C5E"/>
                <w:sz w:val="20"/>
              </w:rPr>
              <w:t>92.27%</w:t>
            </w:r>
          </w:p>
        </w:tc>
        <w:tc>
          <w:tcPr>
            <w:tcW w:type="dxa" w:w="1701"/>
            <w:shd w:val="clear" w:color="auto" w:fill="f0f4fa"/>
          </w:tcPr>
          <w:p>
            <w:pPr>
              <w:jc w:val="center"/>
            </w:pPr>
            <w:r>
              <w:rPr>
                <w:color w:val="1A3C5E"/>
                <w:sz w:val="20"/>
              </w:rPr>
              <w:t>91.59%</w:t>
            </w:r>
          </w:p>
        </w:tc>
        <w:tc>
          <w:tcPr>
            <w:tcW w:type="dxa" w:w="1701"/>
            <w:shd w:val="clear" w:color="auto" w:fill="f0f4fa"/>
          </w:tcPr>
          <w:p>
            <w:pPr>
              <w:jc w:val="center"/>
            </w:pPr>
            <w:r>
              <w:rPr>
                <w:color w:val="1A3C5E"/>
                <w:sz w:val="20"/>
              </w:rPr>
              <w:t>87.62%</w:t>
            </w:r>
          </w:p>
        </w:tc>
        <w:tc>
          <w:tcPr>
            <w:tcW w:type="dxa" w:w="1701"/>
            <w:shd w:val="clear" w:color="auto" w:fill="f0f4fa"/>
          </w:tcPr>
          <w:p>
            <w:pPr>
              <w:jc w:val="center"/>
            </w:pPr>
            <w:r>
              <w:rPr>
                <w:color w:val="1A3C5E"/>
                <w:sz w:val="20"/>
              </w:rPr>
              <w:t>89.56%</w:t>
            </w:r>
          </w:p>
        </w:tc>
      </w:tr>
      <w:tr>
        <w:tc>
          <w:tcPr>
            <w:tcW w:type="dxa" w:w="3402"/>
            <w:shd w:val="clear" w:color="auto" w:fill="ffffff"/>
          </w:tcPr>
          <w:p>
            <w:pPr>
              <w:jc w:val="center"/>
            </w:pPr>
            <w:r>
              <w:rPr>
                <w:color w:val="1A3C5E"/>
                <w:sz w:val="20"/>
              </w:rPr>
              <w:t>Decision Tree</w:t>
            </w:r>
          </w:p>
        </w:tc>
        <w:tc>
          <w:tcPr>
            <w:tcW w:type="dxa" w:w="1701"/>
            <w:shd w:val="clear" w:color="auto" w:fill="ffffff"/>
          </w:tcPr>
          <w:p>
            <w:pPr>
              <w:jc w:val="center"/>
            </w:pPr>
            <w:r>
              <w:rPr>
                <w:color w:val="1A3C5E"/>
                <w:sz w:val="20"/>
              </w:rPr>
              <w:t>97.89%</w:t>
            </w:r>
          </w:p>
        </w:tc>
        <w:tc>
          <w:tcPr>
            <w:tcW w:type="dxa" w:w="1701"/>
            <w:shd w:val="clear" w:color="auto" w:fill="ffffff"/>
          </w:tcPr>
          <w:p>
            <w:pPr>
              <w:jc w:val="center"/>
            </w:pPr>
            <w:r>
              <w:rPr>
                <w:color w:val="1A3C5E"/>
                <w:sz w:val="20"/>
              </w:rPr>
              <w:t>99.35%</w:t>
            </w:r>
          </w:p>
        </w:tc>
        <w:tc>
          <w:tcPr>
            <w:tcW w:type="dxa" w:w="1701"/>
            <w:shd w:val="clear" w:color="auto" w:fill="ffffff"/>
          </w:tcPr>
          <w:p>
            <w:pPr>
              <w:jc w:val="center"/>
            </w:pPr>
            <w:r>
              <w:rPr>
                <w:color w:val="1A3C5E"/>
                <w:sz w:val="20"/>
              </w:rPr>
              <w:t>95.05%</w:t>
            </w:r>
          </w:p>
        </w:tc>
        <w:tc>
          <w:tcPr>
            <w:tcW w:type="dxa" w:w="1701"/>
            <w:shd w:val="clear" w:color="auto" w:fill="ffffff"/>
          </w:tcPr>
          <w:p>
            <w:pPr>
              <w:jc w:val="center"/>
            </w:pPr>
            <w:r>
              <w:rPr>
                <w:color w:val="1A3C5E"/>
                <w:sz w:val="20"/>
              </w:rPr>
              <w:t>97.15%</w:t>
            </w:r>
          </w:p>
        </w:tc>
      </w:tr>
      <w:tr>
        <w:tc>
          <w:tcPr>
            <w:tcW w:type="dxa" w:w="3402"/>
            <w:shd w:val="clear" w:color="auto" w:fill="d4edda"/>
          </w:tcPr>
          <w:p>
            <w:pPr>
              <w:jc w:val="center"/>
            </w:pPr>
            <w:r>
              <w:rPr>
                <w:b/>
                <w:color w:val="155724"/>
                <w:sz w:val="20"/>
              </w:rPr>
              <w:t>Random Forest ★ BEST</w:t>
            </w:r>
          </w:p>
        </w:tc>
        <w:tc>
          <w:tcPr>
            <w:tcW w:type="dxa" w:w="1701"/>
            <w:shd w:val="clear" w:color="auto" w:fill="d4edda"/>
          </w:tcPr>
          <w:p>
            <w:pPr>
              <w:jc w:val="center"/>
            </w:pPr>
            <w:r>
              <w:rPr>
                <w:b/>
                <w:color w:val="155724"/>
                <w:sz w:val="20"/>
              </w:rPr>
              <w:t>98.24%</w:t>
            </w:r>
          </w:p>
        </w:tc>
        <w:tc>
          <w:tcPr>
            <w:tcW w:type="dxa" w:w="1701"/>
            <w:shd w:val="clear" w:color="auto" w:fill="d4edda"/>
          </w:tcPr>
          <w:p>
            <w:pPr>
              <w:jc w:val="center"/>
            </w:pPr>
            <w:r>
              <w:rPr>
                <w:b/>
                <w:color w:val="155724"/>
                <w:sz w:val="20"/>
              </w:rPr>
              <w:t>99.04%</w:t>
            </w:r>
          </w:p>
        </w:tc>
        <w:tc>
          <w:tcPr>
            <w:tcW w:type="dxa" w:w="1701"/>
            <w:shd w:val="clear" w:color="auto" w:fill="d4edda"/>
          </w:tcPr>
          <w:p>
            <w:pPr>
              <w:jc w:val="center"/>
            </w:pPr>
            <w:r>
              <w:rPr>
                <w:b/>
                <w:color w:val="155724"/>
                <w:sz w:val="20"/>
              </w:rPr>
              <w:t>96.28%</w:t>
            </w:r>
          </w:p>
        </w:tc>
        <w:tc>
          <w:tcPr>
            <w:tcW w:type="dxa" w:w="1701"/>
            <w:shd w:val="clear" w:color="auto" w:fill="d4edda"/>
          </w:tcPr>
          <w:p>
            <w:pPr>
              <w:jc w:val="center"/>
            </w:pPr>
            <w:r>
              <w:rPr>
                <w:b/>
                <w:color w:val="155724"/>
                <w:sz w:val="20"/>
              </w:rPr>
              <w:t>97.65%</w:t>
            </w:r>
          </w:p>
        </w:tc>
      </w:tr>
      <w:tr>
        <w:tc>
          <w:tcPr>
            <w:tcW w:type="dxa" w:w="3402"/>
            <w:shd w:val="clear" w:color="auto" w:fill="ffffff"/>
          </w:tcPr>
          <w:p>
            <w:pPr>
              <w:jc w:val="center"/>
            </w:pPr>
            <w:r>
              <w:rPr>
                <w:color w:val="1A3C5E"/>
                <w:sz w:val="20"/>
              </w:rPr>
              <w:t>XGBoost</w:t>
            </w:r>
          </w:p>
        </w:tc>
        <w:tc>
          <w:tcPr>
            <w:tcW w:type="dxa" w:w="1701"/>
            <w:shd w:val="clear" w:color="auto" w:fill="ffffff"/>
          </w:tcPr>
          <w:p>
            <w:pPr>
              <w:jc w:val="center"/>
            </w:pPr>
            <w:r>
              <w:rPr>
                <w:color w:val="1A3C5E"/>
                <w:sz w:val="20"/>
              </w:rPr>
              <w:t>98.01%</w:t>
            </w:r>
          </w:p>
        </w:tc>
        <w:tc>
          <w:tcPr>
            <w:tcW w:type="dxa" w:w="1701"/>
            <w:shd w:val="clear" w:color="auto" w:fill="ffffff"/>
          </w:tcPr>
          <w:p>
            <w:pPr>
              <w:jc w:val="center"/>
            </w:pPr>
            <w:r>
              <w:rPr>
                <w:color w:val="1A3C5E"/>
                <w:sz w:val="20"/>
              </w:rPr>
              <w:t>98.42%</w:t>
            </w:r>
          </w:p>
        </w:tc>
        <w:tc>
          <w:tcPr>
            <w:tcW w:type="dxa" w:w="1701"/>
            <w:shd w:val="clear" w:color="auto" w:fill="ffffff"/>
          </w:tcPr>
          <w:p>
            <w:pPr>
              <w:jc w:val="center"/>
            </w:pPr>
            <w:r>
              <w:rPr>
                <w:color w:val="1A3C5E"/>
                <w:sz w:val="20"/>
              </w:rPr>
              <w:t>96.28%</w:t>
            </w:r>
          </w:p>
        </w:tc>
        <w:tc>
          <w:tcPr>
            <w:tcW w:type="dxa" w:w="1701"/>
            <w:shd w:val="clear" w:color="auto" w:fill="ffffff"/>
          </w:tcPr>
          <w:p>
            <w:pPr>
              <w:jc w:val="center"/>
            </w:pPr>
            <w:r>
              <w:rPr>
                <w:color w:val="1A3C5E"/>
                <w:sz w:val="20"/>
              </w:rPr>
              <w:t>97.34%</w:t>
            </w:r>
          </w:p>
        </w:tc>
      </w:tr>
      <w:tr>
        <w:tc>
          <w:tcPr>
            <w:tcW w:type="dxa" w:w="3402"/>
          </w:tcPr>
          <w:p/>
        </w:tc>
        <w:tc>
          <w:tcPr>
            <w:tcW w:type="dxa" w:w="1701"/>
          </w:tcPr>
          <w:p/>
        </w:tc>
        <w:tc>
          <w:tcPr>
            <w:tcW w:type="dxa" w:w="1701"/>
          </w:tcPr>
          <w:p/>
        </w:tc>
        <w:tc>
          <w:tcPr>
            <w:tcW w:type="dxa" w:w="1701"/>
          </w:tcPr>
          <w:p/>
        </w:tc>
        <w:tc>
          <w:tcPr>
            <w:tcW w:type="dxa" w:w="1701"/>
          </w:tcPr>
          <w:p/>
        </w:tc>
      </w:tr>
    </w:tbl>
    <w:p/>
    <w:p>
      <w:pPr>
        <w:spacing w:after="40"/>
        <w:jc w:val="center"/>
      </w:pPr>
      <w:r>
        <w:drawing>
          <wp:inline xmlns:a="http://schemas.openxmlformats.org/drawingml/2006/main" xmlns:pic="http://schemas.openxmlformats.org/drawingml/2006/picture">
            <wp:extent cx="5760000" cy="2579632"/>
            <wp:docPr id="7" name="Picture 7"/>
            <wp:cNvGraphicFramePr>
              <a:graphicFrameLocks noChangeAspect="1"/>
            </wp:cNvGraphicFramePr>
            <a:graphic>
              <a:graphicData uri="http://schemas.openxmlformats.org/drawingml/2006/picture">
                <pic:pic>
                  <pic:nvPicPr>
                    <pic:cNvPr id="0" name="chart7_model_comparison.png"/>
                    <pic:cNvPicPr/>
                  </pic:nvPicPr>
                  <pic:blipFill>
                    <a:blip r:embed="rId15"/>
                    <a:stretch>
                      <a:fillRect/>
                    </a:stretch>
                  </pic:blipFill>
                  <pic:spPr>
                    <a:xfrm>
                      <a:off x="0" y="0"/>
                      <a:ext cx="5760000" cy="2579632"/>
                    </a:xfrm>
                    <a:prstGeom prst="rect"/>
                  </pic:spPr>
                </pic:pic>
              </a:graphicData>
            </a:graphic>
          </wp:inline>
        </w:drawing>
      </w:r>
    </w:p>
    <w:p>
      <w:pPr>
        <w:spacing w:after="200"/>
        <w:jc w:val="center"/>
      </w:pPr>
      <w:r>
        <w:rPr>
          <w:b/>
          <w:color w:val="555555"/>
          <w:sz w:val="20"/>
        </w:rPr>
        <w:t>Chart 7: Model Performance Comparison — Accuracy, Precision, Recall, F1-Score (Test Set)</w:t>
      </w:r>
    </w:p>
    <w:p>
      <w:pPr>
        <w:spacing w:before="80" w:after="200"/>
        <w:ind w:left="283"/>
      </w:pPr>
      <w:r>
        <w:rPr>
          <w:b w:val="0"/>
          <w:i/>
          <w:color w:val="1A3C5E"/>
          <w:sz w:val="20"/>
        </w:rPr>
        <w:t>Key Finding: Random Forest is the best model with 98.24% accuracy and 97.65% F1-Score. It outperforms all others on every metric except Precision (where Decision Tree scores 99.35%).</w:t>
      </w:r>
    </w:p>
    <w:p>
      <w:pPr>
        <w:pStyle w:val="Heading2"/>
        <w:spacing w:before="200" w:after="120"/>
      </w:pPr>
      <w:r>
        <w:rPr>
          <w:b/>
          <w:color w:val="2E86DE"/>
          <w:sz w:val="28"/>
        </w:rPr>
        <w:t>5.3 Confusion Matrix — Best Model (Random Forest)</w:t>
      </w:r>
    </w:p>
    <w:p>
      <w:pPr>
        <w:spacing w:before="0" w:after="120"/>
        <w:jc w:val="left"/>
      </w:pPr>
      <w:r>
        <w:rPr>
          <w:b w:val="0"/>
          <w:sz w:val="22"/>
        </w:rPr>
        <w:t>The confusion matrix shows how the Random Forest classified the 854 test records: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1a3c5e"/>
          </w:tcPr>
          <w:p>
            <w:pPr>
              <w:jc w:val="center"/>
            </w:pPr>
            <w:r>
              <w:rPr>
                <w:b/>
                <w:color w:val="FFFFFF"/>
                <w:sz w:val="20"/>
              </w:rPr>
            </w:r>
          </w:p>
        </w:tc>
        <w:tc>
          <w:tcPr>
            <w:tcW w:type="dxa" w:w="2551"/>
            <w:shd w:val="clear" w:color="auto" w:fill="1a3c5e"/>
          </w:tcPr>
          <w:p>
            <w:pPr>
              <w:jc w:val="center"/>
            </w:pPr>
            <w:r>
              <w:rPr>
                <w:b/>
                <w:color w:val="FFFFFF"/>
                <w:sz w:val="20"/>
              </w:rPr>
              <w:t>Predicted: Approved</w:t>
            </w:r>
          </w:p>
        </w:tc>
        <w:tc>
          <w:tcPr>
            <w:tcW w:type="dxa" w:w="2551"/>
            <w:shd w:val="clear" w:color="auto" w:fill="1a3c5e"/>
          </w:tcPr>
          <w:p>
            <w:pPr>
              <w:jc w:val="center"/>
            </w:pPr>
            <w:r>
              <w:rPr>
                <w:b/>
                <w:color w:val="FFFFFF"/>
                <w:sz w:val="20"/>
              </w:rPr>
              <w:t>Predicted: Rejected</w:t>
            </w:r>
          </w:p>
        </w:tc>
        <w:tc>
          <w:tcPr>
            <w:tcW w:type="dxa" w:w="1984"/>
            <w:shd w:val="clear" w:color="auto" w:fill="1a3c5e"/>
          </w:tcPr>
          <w:p>
            <w:pPr>
              <w:jc w:val="center"/>
            </w:pPr>
            <w:r>
              <w:rPr>
                <w:b/>
                <w:color w:val="FFFFFF"/>
                <w:sz w:val="20"/>
              </w:rPr>
              <w:t>Row Total</w:t>
            </w:r>
          </w:p>
        </w:tc>
      </w:tr>
      <w:tr>
        <w:tc>
          <w:tcPr>
            <w:tcW w:type="dxa" w:w="2268"/>
            <w:shd w:val="clear" w:color="auto" w:fill="f0f4fa"/>
          </w:tcPr>
          <w:p>
            <w:pPr>
              <w:jc w:val="center"/>
            </w:pPr>
            <w:r>
              <w:rPr>
                <w:sz w:val="20"/>
              </w:rPr>
              <w:t>Actual: Approved</w:t>
            </w:r>
          </w:p>
        </w:tc>
        <w:tc>
          <w:tcPr>
            <w:tcW w:type="dxa" w:w="2551"/>
            <w:shd w:val="clear" w:color="auto" w:fill="f0f4fa"/>
          </w:tcPr>
          <w:p>
            <w:pPr>
              <w:jc w:val="center"/>
            </w:pPr>
            <w:r>
              <w:rPr>
                <w:sz w:val="20"/>
              </w:rPr>
              <w:t>528  (True Positive)</w:t>
            </w:r>
          </w:p>
        </w:tc>
        <w:tc>
          <w:tcPr>
            <w:tcW w:type="dxa" w:w="2551"/>
            <w:shd w:val="clear" w:color="auto" w:fill="f0f4fa"/>
          </w:tcPr>
          <w:p>
            <w:pPr>
              <w:jc w:val="center"/>
            </w:pPr>
            <w:r>
              <w:rPr>
                <w:sz w:val="20"/>
              </w:rPr>
              <w:t>3  (False Negative)</w:t>
            </w:r>
          </w:p>
        </w:tc>
        <w:tc>
          <w:tcPr>
            <w:tcW w:type="dxa" w:w="1984"/>
            <w:shd w:val="clear" w:color="auto" w:fill="f0f4fa"/>
          </w:tcPr>
          <w:p>
            <w:pPr>
              <w:jc w:val="center"/>
            </w:pPr>
            <w:r>
              <w:rPr>
                <w:sz w:val="20"/>
              </w:rPr>
              <w:t>531</w:t>
            </w:r>
          </w:p>
        </w:tc>
      </w:tr>
      <w:tr>
        <w:tc>
          <w:tcPr>
            <w:tcW w:type="dxa" w:w="2268"/>
            <w:shd w:val="clear" w:color="auto" w:fill="ffffff"/>
          </w:tcPr>
          <w:p>
            <w:pPr>
              <w:jc w:val="center"/>
            </w:pPr>
            <w:r>
              <w:rPr>
                <w:sz w:val="20"/>
              </w:rPr>
              <w:t>Actual: Rejected</w:t>
            </w:r>
          </w:p>
        </w:tc>
        <w:tc>
          <w:tcPr>
            <w:tcW w:type="dxa" w:w="2551"/>
            <w:shd w:val="clear" w:color="auto" w:fill="ffffff"/>
          </w:tcPr>
          <w:p>
            <w:pPr>
              <w:jc w:val="center"/>
            </w:pPr>
            <w:r>
              <w:rPr>
                <w:sz w:val="20"/>
              </w:rPr>
              <w:t>12  (False Positive)</w:t>
            </w:r>
          </w:p>
        </w:tc>
        <w:tc>
          <w:tcPr>
            <w:tcW w:type="dxa" w:w="2551"/>
            <w:shd w:val="clear" w:color="auto" w:fill="ffffff"/>
          </w:tcPr>
          <w:p>
            <w:pPr>
              <w:jc w:val="center"/>
            </w:pPr>
            <w:r>
              <w:rPr>
                <w:sz w:val="20"/>
              </w:rPr>
              <w:t>311  (True Negative)</w:t>
            </w:r>
          </w:p>
        </w:tc>
        <w:tc>
          <w:tcPr>
            <w:tcW w:type="dxa" w:w="1984"/>
            <w:shd w:val="clear" w:color="auto" w:fill="ffffff"/>
          </w:tcPr>
          <w:p>
            <w:pPr>
              <w:jc w:val="center"/>
            </w:pPr>
            <w:r>
              <w:rPr>
                <w:sz w:val="20"/>
              </w:rPr>
              <w:t>323</w:t>
            </w:r>
          </w:p>
        </w:tc>
      </w:tr>
      <w:tr>
        <w:tc>
          <w:tcPr>
            <w:tcW w:type="dxa" w:w="2268"/>
            <w:shd w:val="clear" w:color="auto" w:fill="f0f4fa"/>
          </w:tcPr>
          <w:p>
            <w:pPr>
              <w:jc w:val="center"/>
            </w:pPr>
            <w:r>
              <w:rPr>
                <w:sz w:val="20"/>
              </w:rPr>
              <w:t>Column Total</w:t>
            </w:r>
          </w:p>
        </w:tc>
        <w:tc>
          <w:tcPr>
            <w:tcW w:type="dxa" w:w="2551"/>
            <w:shd w:val="clear" w:color="auto" w:fill="f0f4fa"/>
          </w:tcPr>
          <w:p>
            <w:pPr>
              <w:jc w:val="center"/>
            </w:pPr>
            <w:r>
              <w:rPr>
                <w:sz w:val="20"/>
              </w:rPr>
              <w:t>540</w:t>
            </w:r>
          </w:p>
        </w:tc>
        <w:tc>
          <w:tcPr>
            <w:tcW w:type="dxa" w:w="2551"/>
            <w:shd w:val="clear" w:color="auto" w:fill="f0f4fa"/>
          </w:tcPr>
          <w:p>
            <w:pPr>
              <w:jc w:val="center"/>
            </w:pPr>
            <w:r>
              <w:rPr>
                <w:sz w:val="20"/>
              </w:rPr>
              <w:t>314</w:t>
            </w:r>
          </w:p>
        </w:tc>
        <w:tc>
          <w:tcPr>
            <w:tcW w:type="dxa" w:w="1984"/>
            <w:shd w:val="clear" w:color="auto" w:fill="f0f4fa"/>
          </w:tcPr>
          <w:p>
            <w:pPr>
              <w:jc w:val="center"/>
            </w:pPr>
            <w:r>
              <w:rPr>
                <w:sz w:val="20"/>
              </w:rPr>
              <w:t>854</w:t>
            </w:r>
          </w:p>
        </w:tc>
      </w:tr>
    </w:tbl>
    <w:p/>
    <w:p>
      <w:pPr>
        <w:spacing w:after="40"/>
        <w:jc w:val="center"/>
      </w:pPr>
      <w:r>
        <w:drawing>
          <wp:inline xmlns:a="http://schemas.openxmlformats.org/drawingml/2006/main" xmlns:pic="http://schemas.openxmlformats.org/drawingml/2006/picture">
            <wp:extent cx="3600000" cy="2982273"/>
            <wp:docPr id="8" name="Picture 8"/>
            <wp:cNvGraphicFramePr>
              <a:graphicFrameLocks noChangeAspect="1"/>
            </wp:cNvGraphicFramePr>
            <a:graphic>
              <a:graphicData uri="http://schemas.openxmlformats.org/drawingml/2006/picture">
                <pic:pic>
                  <pic:nvPicPr>
                    <pic:cNvPr id="0" name="chart8_confusion_matrix.png"/>
                    <pic:cNvPicPr/>
                  </pic:nvPicPr>
                  <pic:blipFill>
                    <a:blip r:embed="rId16"/>
                    <a:stretch>
                      <a:fillRect/>
                    </a:stretch>
                  </pic:blipFill>
                  <pic:spPr>
                    <a:xfrm>
                      <a:off x="0" y="0"/>
                      <a:ext cx="3600000" cy="2982273"/>
                    </a:xfrm>
                    <a:prstGeom prst="rect"/>
                  </pic:spPr>
                </pic:pic>
              </a:graphicData>
            </a:graphic>
          </wp:inline>
        </w:drawing>
      </w:r>
    </w:p>
    <w:p>
      <w:pPr>
        <w:spacing w:after="200"/>
        <w:jc w:val="center"/>
      </w:pPr>
      <w:r>
        <w:rPr>
          <w:b/>
          <w:color w:val="555555"/>
          <w:sz w:val="20"/>
        </w:rPr>
        <w:t>Chart 8: Confusion Matrix — Random Forest (854 Test Records)</w:t>
      </w:r>
    </w:p>
    <w:p>
      <w:pPr>
        <w:spacing w:before="0" w:after="240"/>
        <w:jc w:val="left"/>
      </w:pPr>
      <w:r>
        <w:rPr>
          <w:b w:val="0"/>
          <w:sz w:val="22"/>
        </w:rPr>
        <w:t>Interpretation: 839 of 854 records were correctly classified. Only 15 errors: 3 false negatives (approved loans predicted as rejected — lost business) and 12 false positives (rejected loans predicted as approved — potential bad loans). The false positive rate of 1.4% is exceptionally low.</w:t>
      </w:r>
    </w:p>
    <w:p>
      <w:pPr>
        <w:pStyle w:val="Heading1"/>
        <w:spacing w:before="280" w:after="160"/>
      </w:pPr>
      <w:r>
        <w:rPr>
          <w:b/>
          <w:color w:val="1A3C5E"/>
          <w:sz w:val="36"/>
        </w:rPr>
        <w:t>6. Feature Importance</w:t>
      </w:r>
    </w:p>
    <w:p>
      <w:pPr>
        <w:spacing w:before="0" w:after="160"/>
        <w:jc w:val="left"/>
      </w:pPr>
      <w:r>
        <w:rPr>
          <w:b w:val="0"/>
          <w:sz w:val="22"/>
        </w:rPr>
        <w:t>Feature importance was extracted from the trained Random Forest model. It measures the average reduction in Gini impurity contributed by each feature across all 200 decision trees.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850"/>
            <w:shd w:val="clear" w:color="auto" w:fill="1a3c5e"/>
          </w:tcPr>
          <w:p>
            <w:pPr>
              <w:jc w:val="center"/>
            </w:pPr>
            <w:r>
              <w:rPr>
                <w:b/>
                <w:color w:val="FFFFFF"/>
                <w:sz w:val="20"/>
              </w:rPr>
              <w:t>Rank</w:t>
            </w:r>
          </w:p>
        </w:tc>
        <w:tc>
          <w:tcPr>
            <w:tcW w:type="dxa" w:w="2835"/>
            <w:shd w:val="clear" w:color="auto" w:fill="1a3c5e"/>
          </w:tcPr>
          <w:p>
            <w:pPr>
              <w:jc w:val="center"/>
            </w:pPr>
            <w:r>
              <w:rPr>
                <w:b/>
                <w:color w:val="FFFFFF"/>
                <w:sz w:val="20"/>
              </w:rPr>
              <w:t>Feature</w:t>
            </w:r>
          </w:p>
        </w:tc>
        <w:tc>
          <w:tcPr>
            <w:tcW w:type="dxa" w:w="1417"/>
            <w:shd w:val="clear" w:color="auto" w:fill="1a3c5e"/>
          </w:tcPr>
          <w:p>
            <w:pPr>
              <w:jc w:val="center"/>
            </w:pPr>
            <w:r>
              <w:rPr>
                <w:b/>
                <w:color w:val="FFFFFF"/>
                <w:sz w:val="20"/>
              </w:rPr>
              <w:t>Importance</w:t>
            </w:r>
          </w:p>
        </w:tc>
        <w:tc>
          <w:tcPr>
            <w:tcW w:type="dxa" w:w="4535"/>
            <w:shd w:val="clear" w:color="auto" w:fill="1a3c5e"/>
          </w:tcPr>
          <w:p>
            <w:pPr>
              <w:jc w:val="center"/>
            </w:pPr>
            <w:r>
              <w:rPr>
                <w:b/>
                <w:color w:val="FFFFFF"/>
                <w:sz w:val="20"/>
              </w:rPr>
              <w:t>Interpretation</w:t>
            </w:r>
          </w:p>
        </w:tc>
      </w:tr>
      <w:tr>
        <w:tc>
          <w:tcPr>
            <w:tcW w:type="dxa" w:w="850"/>
            <w:shd w:val="clear" w:color="auto" w:fill="f0f4fa"/>
          </w:tcPr>
          <w:p>
            <w:pPr>
              <w:jc w:val="center"/>
            </w:pPr>
            <w:r>
              <w:rPr>
                <w:sz w:val="20"/>
              </w:rPr>
              <w:t>1</w:t>
            </w:r>
          </w:p>
        </w:tc>
        <w:tc>
          <w:tcPr>
            <w:tcW w:type="dxa" w:w="2835"/>
            <w:shd w:val="clear" w:color="auto" w:fill="f0f4fa"/>
          </w:tcPr>
          <w:p>
            <w:pPr>
              <w:jc w:val="center"/>
            </w:pPr>
            <w:r>
              <w:rPr>
                <w:sz w:val="20"/>
              </w:rPr>
              <w:t>cibil_score</w:t>
            </w:r>
          </w:p>
        </w:tc>
        <w:tc>
          <w:tcPr>
            <w:tcW w:type="dxa" w:w="1417"/>
            <w:shd w:val="clear" w:color="auto" w:fill="f0f4fa"/>
          </w:tcPr>
          <w:p>
            <w:pPr>
              <w:jc w:val="center"/>
            </w:pPr>
            <w:r>
              <w:rPr>
                <w:sz w:val="20"/>
              </w:rPr>
              <w:t>80.16%</w:t>
            </w:r>
          </w:p>
        </w:tc>
        <w:tc>
          <w:tcPr>
            <w:tcW w:type="dxa" w:w="4535"/>
            <w:shd w:val="clear" w:color="auto" w:fill="f0f4fa"/>
          </w:tcPr>
          <w:p>
            <w:pPr>
              <w:jc w:val="center"/>
            </w:pPr>
            <w:r>
              <w:rPr>
                <w:sz w:val="20"/>
              </w:rPr>
              <w:t>Dominant predictor — primary credit filter</w:t>
            </w:r>
          </w:p>
        </w:tc>
      </w:tr>
      <w:tr>
        <w:tc>
          <w:tcPr>
            <w:tcW w:type="dxa" w:w="850"/>
            <w:shd w:val="clear" w:color="auto" w:fill="ffffff"/>
          </w:tcPr>
          <w:p>
            <w:pPr>
              <w:jc w:val="center"/>
            </w:pPr>
            <w:r>
              <w:rPr>
                <w:sz w:val="20"/>
              </w:rPr>
              <w:t>2</w:t>
            </w:r>
          </w:p>
        </w:tc>
        <w:tc>
          <w:tcPr>
            <w:tcW w:type="dxa" w:w="2835"/>
            <w:shd w:val="clear" w:color="auto" w:fill="ffffff"/>
          </w:tcPr>
          <w:p>
            <w:pPr>
              <w:jc w:val="center"/>
            </w:pPr>
            <w:r>
              <w:rPr>
                <w:sz w:val="20"/>
              </w:rPr>
              <w:t>loan_term</w:t>
            </w:r>
          </w:p>
        </w:tc>
        <w:tc>
          <w:tcPr>
            <w:tcW w:type="dxa" w:w="1417"/>
            <w:shd w:val="clear" w:color="auto" w:fill="ffffff"/>
          </w:tcPr>
          <w:p>
            <w:pPr>
              <w:jc w:val="center"/>
            </w:pPr>
            <w:r>
              <w:rPr>
                <w:sz w:val="20"/>
              </w:rPr>
              <w:t>6.48%</w:t>
            </w:r>
          </w:p>
        </w:tc>
        <w:tc>
          <w:tcPr>
            <w:tcW w:type="dxa" w:w="4535"/>
            <w:shd w:val="clear" w:color="auto" w:fill="ffffff"/>
          </w:tcPr>
          <w:p>
            <w:pPr>
              <w:jc w:val="center"/>
            </w:pPr>
            <w:r>
              <w:rPr>
                <w:sz w:val="20"/>
              </w:rPr>
              <w:t>Repayment duration affects default risk</w:t>
            </w:r>
          </w:p>
        </w:tc>
      </w:tr>
      <w:tr>
        <w:tc>
          <w:tcPr>
            <w:tcW w:type="dxa" w:w="850"/>
            <w:shd w:val="clear" w:color="auto" w:fill="f0f4fa"/>
          </w:tcPr>
          <w:p>
            <w:pPr>
              <w:jc w:val="center"/>
            </w:pPr>
            <w:r>
              <w:rPr>
                <w:sz w:val="20"/>
              </w:rPr>
              <w:t>3</w:t>
            </w:r>
          </w:p>
        </w:tc>
        <w:tc>
          <w:tcPr>
            <w:tcW w:type="dxa" w:w="2835"/>
            <w:shd w:val="clear" w:color="auto" w:fill="f0f4fa"/>
          </w:tcPr>
          <w:p>
            <w:pPr>
              <w:jc w:val="center"/>
            </w:pPr>
            <w:r>
              <w:rPr>
                <w:sz w:val="20"/>
              </w:rPr>
              <w:t>loan_amount</w:t>
            </w:r>
          </w:p>
        </w:tc>
        <w:tc>
          <w:tcPr>
            <w:tcW w:type="dxa" w:w="1417"/>
            <w:shd w:val="clear" w:color="auto" w:fill="f0f4fa"/>
          </w:tcPr>
          <w:p>
            <w:pPr>
              <w:jc w:val="center"/>
            </w:pPr>
            <w:r>
              <w:rPr>
                <w:sz w:val="20"/>
              </w:rPr>
              <w:t>3.05%</w:t>
            </w:r>
          </w:p>
        </w:tc>
        <w:tc>
          <w:tcPr>
            <w:tcW w:type="dxa" w:w="4535"/>
            <w:shd w:val="clear" w:color="auto" w:fill="f0f4fa"/>
          </w:tcPr>
          <w:p>
            <w:pPr>
              <w:jc w:val="center"/>
            </w:pPr>
            <w:r>
              <w:rPr>
                <w:sz w:val="20"/>
              </w:rPr>
              <w:t>Larger loans carry higher risk</w:t>
            </w:r>
          </w:p>
        </w:tc>
      </w:tr>
      <w:tr>
        <w:tc>
          <w:tcPr>
            <w:tcW w:type="dxa" w:w="850"/>
            <w:shd w:val="clear" w:color="auto" w:fill="ffffff"/>
          </w:tcPr>
          <w:p>
            <w:pPr>
              <w:jc w:val="center"/>
            </w:pPr>
            <w:r>
              <w:rPr>
                <w:sz w:val="20"/>
              </w:rPr>
              <w:t>4</w:t>
            </w:r>
          </w:p>
        </w:tc>
        <w:tc>
          <w:tcPr>
            <w:tcW w:type="dxa" w:w="2835"/>
            <w:shd w:val="clear" w:color="auto" w:fill="ffffff"/>
          </w:tcPr>
          <w:p>
            <w:pPr>
              <w:jc w:val="center"/>
            </w:pPr>
            <w:r>
              <w:rPr>
                <w:sz w:val="20"/>
              </w:rPr>
              <w:t>income_annum</w:t>
            </w:r>
          </w:p>
        </w:tc>
        <w:tc>
          <w:tcPr>
            <w:tcW w:type="dxa" w:w="1417"/>
            <w:shd w:val="clear" w:color="auto" w:fill="ffffff"/>
          </w:tcPr>
          <w:p>
            <w:pPr>
              <w:jc w:val="center"/>
            </w:pPr>
            <w:r>
              <w:rPr>
                <w:sz w:val="20"/>
              </w:rPr>
              <w:t>2.00%</w:t>
            </w:r>
          </w:p>
        </w:tc>
        <w:tc>
          <w:tcPr>
            <w:tcW w:type="dxa" w:w="4535"/>
            <w:shd w:val="clear" w:color="auto" w:fill="ffffff"/>
          </w:tcPr>
          <w:p>
            <w:pPr>
              <w:jc w:val="center"/>
            </w:pPr>
            <w:r>
              <w:rPr>
                <w:sz w:val="20"/>
              </w:rPr>
              <w:t>Repayment capacity indicator</w:t>
            </w:r>
          </w:p>
        </w:tc>
      </w:tr>
      <w:tr>
        <w:tc>
          <w:tcPr>
            <w:tcW w:type="dxa" w:w="850"/>
            <w:shd w:val="clear" w:color="auto" w:fill="f0f4fa"/>
          </w:tcPr>
          <w:p>
            <w:pPr>
              <w:jc w:val="center"/>
            </w:pPr>
            <w:r>
              <w:rPr>
                <w:sz w:val="20"/>
              </w:rPr>
              <w:t>5</w:t>
            </w:r>
          </w:p>
        </w:tc>
        <w:tc>
          <w:tcPr>
            <w:tcW w:type="dxa" w:w="2835"/>
            <w:shd w:val="clear" w:color="auto" w:fill="f0f4fa"/>
          </w:tcPr>
          <w:p>
            <w:pPr>
              <w:jc w:val="center"/>
            </w:pPr>
            <w:r>
              <w:rPr>
                <w:sz w:val="20"/>
              </w:rPr>
              <w:t>luxury_assets_value</w:t>
            </w:r>
          </w:p>
        </w:tc>
        <w:tc>
          <w:tcPr>
            <w:tcW w:type="dxa" w:w="1417"/>
            <w:shd w:val="clear" w:color="auto" w:fill="f0f4fa"/>
          </w:tcPr>
          <w:p>
            <w:pPr>
              <w:jc w:val="center"/>
            </w:pPr>
            <w:r>
              <w:rPr>
                <w:sz w:val="20"/>
              </w:rPr>
              <w:t>1.91%</w:t>
            </w:r>
          </w:p>
        </w:tc>
        <w:tc>
          <w:tcPr>
            <w:tcW w:type="dxa" w:w="4535"/>
            <w:shd w:val="clear" w:color="auto" w:fill="f0f4fa"/>
          </w:tcPr>
          <w:p>
            <w:pPr>
              <w:jc w:val="center"/>
            </w:pPr>
            <w:r>
              <w:rPr>
                <w:sz w:val="20"/>
              </w:rPr>
              <w:t>Collateral proxy</w:t>
            </w:r>
          </w:p>
        </w:tc>
      </w:tr>
      <w:tr>
        <w:tc>
          <w:tcPr>
            <w:tcW w:type="dxa" w:w="850"/>
            <w:shd w:val="clear" w:color="auto" w:fill="ffffff"/>
          </w:tcPr>
          <w:p>
            <w:pPr>
              <w:jc w:val="center"/>
            </w:pPr>
            <w:r>
              <w:rPr>
                <w:sz w:val="20"/>
              </w:rPr>
              <w:t>6</w:t>
            </w:r>
          </w:p>
        </w:tc>
        <w:tc>
          <w:tcPr>
            <w:tcW w:type="dxa" w:w="2835"/>
            <w:shd w:val="clear" w:color="auto" w:fill="ffffff"/>
          </w:tcPr>
          <w:p>
            <w:pPr>
              <w:jc w:val="center"/>
            </w:pPr>
            <w:r>
              <w:rPr>
                <w:sz w:val="20"/>
              </w:rPr>
              <w:t>commercial_assets_value</w:t>
            </w:r>
          </w:p>
        </w:tc>
        <w:tc>
          <w:tcPr>
            <w:tcW w:type="dxa" w:w="1417"/>
            <w:shd w:val="clear" w:color="auto" w:fill="ffffff"/>
          </w:tcPr>
          <w:p>
            <w:pPr>
              <w:jc w:val="center"/>
            </w:pPr>
            <w:r>
              <w:rPr>
                <w:sz w:val="20"/>
              </w:rPr>
              <w:t>1.83%</w:t>
            </w:r>
          </w:p>
        </w:tc>
        <w:tc>
          <w:tcPr>
            <w:tcW w:type="dxa" w:w="4535"/>
            <w:shd w:val="clear" w:color="auto" w:fill="ffffff"/>
          </w:tcPr>
          <w:p>
            <w:pPr>
              <w:jc w:val="center"/>
            </w:pPr>
            <w:r>
              <w:rPr>
                <w:sz w:val="20"/>
              </w:rPr>
              <w:t>Business asset backing</w:t>
            </w:r>
          </w:p>
        </w:tc>
      </w:tr>
      <w:tr>
        <w:tc>
          <w:tcPr>
            <w:tcW w:type="dxa" w:w="850"/>
            <w:shd w:val="clear" w:color="auto" w:fill="f0f4fa"/>
          </w:tcPr>
          <w:p>
            <w:pPr>
              <w:jc w:val="center"/>
            </w:pPr>
            <w:r>
              <w:rPr>
                <w:sz w:val="20"/>
              </w:rPr>
              <w:t>7</w:t>
            </w:r>
          </w:p>
        </w:tc>
        <w:tc>
          <w:tcPr>
            <w:tcW w:type="dxa" w:w="2835"/>
            <w:shd w:val="clear" w:color="auto" w:fill="f0f4fa"/>
          </w:tcPr>
          <w:p>
            <w:pPr>
              <w:jc w:val="center"/>
            </w:pPr>
            <w:r>
              <w:rPr>
                <w:sz w:val="20"/>
              </w:rPr>
              <w:t>residential_assets_value</w:t>
            </w:r>
          </w:p>
        </w:tc>
        <w:tc>
          <w:tcPr>
            <w:tcW w:type="dxa" w:w="1417"/>
            <w:shd w:val="clear" w:color="auto" w:fill="f0f4fa"/>
          </w:tcPr>
          <w:p>
            <w:pPr>
              <w:jc w:val="center"/>
            </w:pPr>
            <w:r>
              <w:rPr>
                <w:sz w:val="20"/>
              </w:rPr>
              <w:t>1.73%</w:t>
            </w:r>
          </w:p>
        </w:tc>
        <w:tc>
          <w:tcPr>
            <w:tcW w:type="dxa" w:w="4535"/>
            <w:shd w:val="clear" w:color="auto" w:fill="f0f4fa"/>
          </w:tcPr>
          <w:p>
            <w:pPr>
              <w:jc w:val="center"/>
            </w:pPr>
            <w:r>
              <w:rPr>
                <w:sz w:val="20"/>
              </w:rPr>
              <w:t>Home ownership as collateral</w:t>
            </w:r>
          </w:p>
        </w:tc>
      </w:tr>
      <w:tr>
        <w:tc>
          <w:tcPr>
            <w:tcW w:type="dxa" w:w="850"/>
            <w:shd w:val="clear" w:color="auto" w:fill="ffffff"/>
          </w:tcPr>
          <w:p>
            <w:pPr>
              <w:jc w:val="center"/>
            </w:pPr>
            <w:r>
              <w:rPr>
                <w:sz w:val="20"/>
              </w:rPr>
              <w:t>8</w:t>
            </w:r>
          </w:p>
        </w:tc>
        <w:tc>
          <w:tcPr>
            <w:tcW w:type="dxa" w:w="2835"/>
            <w:shd w:val="clear" w:color="auto" w:fill="ffffff"/>
          </w:tcPr>
          <w:p>
            <w:pPr>
              <w:jc w:val="center"/>
            </w:pPr>
            <w:r>
              <w:rPr>
                <w:sz w:val="20"/>
              </w:rPr>
              <w:t>bank_asset_value</w:t>
            </w:r>
          </w:p>
        </w:tc>
        <w:tc>
          <w:tcPr>
            <w:tcW w:type="dxa" w:w="1417"/>
            <w:shd w:val="clear" w:color="auto" w:fill="ffffff"/>
          </w:tcPr>
          <w:p>
            <w:pPr>
              <w:jc w:val="center"/>
            </w:pPr>
            <w:r>
              <w:rPr>
                <w:sz w:val="20"/>
              </w:rPr>
              <w:t>1.49%</w:t>
            </w:r>
          </w:p>
        </w:tc>
        <w:tc>
          <w:tcPr>
            <w:tcW w:type="dxa" w:w="4535"/>
            <w:shd w:val="clear" w:color="auto" w:fill="ffffff"/>
          </w:tcPr>
          <w:p>
            <w:pPr>
              <w:jc w:val="center"/>
            </w:pPr>
            <w:r>
              <w:rPr>
                <w:sz w:val="20"/>
              </w:rPr>
              <w:t>Savings and liquidity signal</w:t>
            </w:r>
          </w:p>
        </w:tc>
      </w:tr>
      <w:tr>
        <w:tc>
          <w:tcPr>
            <w:tcW w:type="dxa" w:w="850"/>
            <w:shd w:val="clear" w:color="auto" w:fill="f0f4fa"/>
          </w:tcPr>
          <w:p>
            <w:pPr>
              <w:jc w:val="center"/>
            </w:pPr>
            <w:r>
              <w:rPr>
                <w:sz w:val="20"/>
              </w:rPr>
              <w:t>9</w:t>
            </w:r>
          </w:p>
        </w:tc>
        <w:tc>
          <w:tcPr>
            <w:tcW w:type="dxa" w:w="2835"/>
            <w:shd w:val="clear" w:color="auto" w:fill="f0f4fa"/>
          </w:tcPr>
          <w:p>
            <w:pPr>
              <w:jc w:val="center"/>
            </w:pPr>
            <w:r>
              <w:rPr>
                <w:sz w:val="20"/>
              </w:rPr>
              <w:t>no_of_dependents</w:t>
            </w:r>
          </w:p>
        </w:tc>
        <w:tc>
          <w:tcPr>
            <w:tcW w:type="dxa" w:w="1417"/>
            <w:shd w:val="clear" w:color="auto" w:fill="f0f4fa"/>
          </w:tcPr>
          <w:p>
            <w:pPr>
              <w:jc w:val="center"/>
            </w:pPr>
            <w:r>
              <w:rPr>
                <w:sz w:val="20"/>
              </w:rPr>
              <w:t>0.84%</w:t>
            </w:r>
          </w:p>
        </w:tc>
        <w:tc>
          <w:tcPr>
            <w:tcW w:type="dxa" w:w="4535"/>
            <w:shd w:val="clear" w:color="auto" w:fill="f0f4fa"/>
          </w:tcPr>
          <w:p>
            <w:pPr>
              <w:jc w:val="center"/>
            </w:pPr>
            <w:r>
              <w:rPr>
                <w:sz w:val="20"/>
              </w:rPr>
              <w:t>Financial obligation proxy</w:t>
            </w:r>
          </w:p>
        </w:tc>
      </w:tr>
      <w:tr>
        <w:tc>
          <w:tcPr>
            <w:tcW w:type="dxa" w:w="850"/>
            <w:shd w:val="clear" w:color="auto" w:fill="ffffff"/>
          </w:tcPr>
          <w:p>
            <w:pPr>
              <w:jc w:val="center"/>
            </w:pPr>
            <w:r>
              <w:rPr>
                <w:sz w:val="20"/>
              </w:rPr>
              <w:t>10</w:t>
            </w:r>
          </w:p>
        </w:tc>
        <w:tc>
          <w:tcPr>
            <w:tcW w:type="dxa" w:w="2835"/>
            <w:shd w:val="clear" w:color="auto" w:fill="ffffff"/>
          </w:tcPr>
          <w:p>
            <w:pPr>
              <w:jc w:val="center"/>
            </w:pPr>
            <w:r>
              <w:rPr>
                <w:sz w:val="20"/>
              </w:rPr>
              <w:t>self_employed</w:t>
            </w:r>
          </w:p>
        </w:tc>
        <w:tc>
          <w:tcPr>
            <w:tcW w:type="dxa" w:w="1417"/>
            <w:shd w:val="clear" w:color="auto" w:fill="ffffff"/>
          </w:tcPr>
          <w:p>
            <w:pPr>
              <w:jc w:val="center"/>
            </w:pPr>
            <w:r>
              <w:rPr>
                <w:sz w:val="20"/>
              </w:rPr>
              <w:t>0.27%</w:t>
            </w:r>
          </w:p>
        </w:tc>
        <w:tc>
          <w:tcPr>
            <w:tcW w:type="dxa" w:w="4535"/>
            <w:shd w:val="clear" w:color="auto" w:fill="ffffff"/>
          </w:tcPr>
          <w:p>
            <w:pPr>
              <w:jc w:val="center"/>
            </w:pPr>
            <w:r>
              <w:rPr>
                <w:sz w:val="20"/>
              </w:rPr>
              <w:t>Income stability (minimal impact)</w:t>
            </w:r>
          </w:p>
        </w:tc>
      </w:tr>
      <w:tr>
        <w:tc>
          <w:tcPr>
            <w:tcW w:type="dxa" w:w="850"/>
            <w:shd w:val="clear" w:color="auto" w:fill="f0f4fa"/>
          </w:tcPr>
          <w:p>
            <w:pPr>
              <w:jc w:val="center"/>
            </w:pPr>
            <w:r>
              <w:rPr>
                <w:sz w:val="20"/>
              </w:rPr>
              <w:t>11</w:t>
            </w:r>
          </w:p>
        </w:tc>
        <w:tc>
          <w:tcPr>
            <w:tcW w:type="dxa" w:w="2835"/>
            <w:shd w:val="clear" w:color="auto" w:fill="f0f4fa"/>
          </w:tcPr>
          <w:p>
            <w:pPr>
              <w:jc w:val="center"/>
            </w:pPr>
            <w:r>
              <w:rPr>
                <w:sz w:val="20"/>
              </w:rPr>
              <w:t>education</w:t>
            </w:r>
          </w:p>
        </w:tc>
        <w:tc>
          <w:tcPr>
            <w:tcW w:type="dxa" w:w="1417"/>
            <w:shd w:val="clear" w:color="auto" w:fill="f0f4fa"/>
          </w:tcPr>
          <w:p>
            <w:pPr>
              <w:jc w:val="center"/>
            </w:pPr>
            <w:r>
              <w:rPr>
                <w:sz w:val="20"/>
              </w:rPr>
              <w:t>0.24%</w:t>
            </w:r>
          </w:p>
        </w:tc>
        <w:tc>
          <w:tcPr>
            <w:tcW w:type="dxa" w:w="4535"/>
            <w:shd w:val="clear" w:color="auto" w:fill="f0f4fa"/>
          </w:tcPr>
          <w:p>
            <w:pPr>
              <w:jc w:val="center"/>
            </w:pPr>
            <w:r>
              <w:rPr>
                <w:sz w:val="20"/>
              </w:rPr>
              <w:t>Minimal direct impact in this dataset</w:t>
            </w:r>
          </w:p>
        </w:tc>
      </w:tr>
      <w:tr>
        <w:tc>
          <w:tcPr>
            <w:tcW w:type="dxa" w:w="850"/>
            <w:shd w:val="clear" w:color="auto" w:fill="ffffff"/>
          </w:tcPr>
          <w:p>
            <w:pPr>
              <w:jc w:val="center"/>
            </w:pPr>
            <w:r>
              <w:rPr>
                <w:sz w:val="20"/>
              </w:rPr>
              <w:t>—</w:t>
            </w:r>
          </w:p>
        </w:tc>
        <w:tc>
          <w:tcPr>
            <w:tcW w:type="dxa" w:w="2835"/>
            <w:shd w:val="clear" w:color="auto" w:fill="ffffff"/>
          </w:tcPr>
          <w:p>
            <w:pPr>
              <w:jc w:val="center"/>
            </w:pPr>
            <w:r>
              <w:rPr>
                <w:sz w:val="20"/>
              </w:rPr>
              <w:t>TOTAL</w:t>
            </w:r>
          </w:p>
        </w:tc>
        <w:tc>
          <w:tcPr>
            <w:tcW w:type="dxa" w:w="1417"/>
            <w:shd w:val="clear" w:color="auto" w:fill="ffffff"/>
          </w:tcPr>
          <w:p>
            <w:pPr>
              <w:jc w:val="center"/>
            </w:pPr>
            <w:r>
              <w:rPr>
                <w:sz w:val="20"/>
              </w:rPr>
              <w:t>100.00%</w:t>
            </w:r>
          </w:p>
        </w:tc>
        <w:tc>
          <w:tcPr>
            <w:tcW w:type="dxa" w:w="4535"/>
            <w:shd w:val="clear" w:color="auto" w:fill="ffffff"/>
          </w:tcPr>
          <w:p>
            <w:pPr>
              <w:jc w:val="center"/>
            </w:pPr>
            <w:r>
              <w:rPr>
                <w:sz w:val="20"/>
              </w:rPr>
              <w:t>—</w:t>
            </w:r>
          </w:p>
        </w:tc>
      </w:tr>
    </w:tbl>
    <w:p/>
    <w:p>
      <w:pPr>
        <w:spacing w:after="40"/>
        <w:jc w:val="center"/>
      </w:pPr>
      <w:r>
        <w:drawing>
          <wp:inline xmlns:a="http://schemas.openxmlformats.org/drawingml/2006/main" xmlns:pic="http://schemas.openxmlformats.org/drawingml/2006/picture">
            <wp:extent cx="5760000" cy="3413333"/>
            <wp:docPr id="9" name="Picture 9"/>
            <wp:cNvGraphicFramePr>
              <a:graphicFrameLocks noChangeAspect="1"/>
            </wp:cNvGraphicFramePr>
            <a:graphic>
              <a:graphicData uri="http://schemas.openxmlformats.org/drawingml/2006/picture">
                <pic:pic>
                  <pic:nvPicPr>
                    <pic:cNvPr id="0" name="chart6_feature_importance.png"/>
                    <pic:cNvPicPr/>
                  </pic:nvPicPr>
                  <pic:blipFill>
                    <a:blip r:embed="rId17"/>
                    <a:stretch>
                      <a:fillRect/>
                    </a:stretch>
                  </pic:blipFill>
                  <pic:spPr>
                    <a:xfrm>
                      <a:off x="0" y="0"/>
                      <a:ext cx="5760000" cy="3413333"/>
                    </a:xfrm>
                    <a:prstGeom prst="rect"/>
                  </pic:spPr>
                </pic:pic>
              </a:graphicData>
            </a:graphic>
          </wp:inline>
        </w:drawing>
      </w:r>
    </w:p>
    <w:p>
      <w:pPr>
        <w:spacing w:after="200"/>
        <w:jc w:val="center"/>
      </w:pPr>
      <w:r>
        <w:rPr>
          <w:b/>
          <w:color w:val="555555"/>
          <w:sz w:val="20"/>
        </w:rPr>
        <w:t>Chart 9: Feature Importance — Random Forest Model (red bar = dominant feature)</w:t>
      </w:r>
    </w:p>
    <w:p>
      <w:pPr>
        <w:spacing w:before="80" w:after="200"/>
        <w:ind w:left="283"/>
      </w:pPr>
      <w:r>
        <w:rPr>
          <w:b w:val="0"/>
          <w:i/>
          <w:color w:val="1A3C5E"/>
          <w:sz w:val="20"/>
        </w:rPr>
        <w:t>Key Finding: CIBIL score alone accounts for over 80% of model decisions. The top 4 features (CIBIL, loan_term, loan_amount, income_annum) explain over 91% of variance. Education and employment type contribute less than 0.3% each.</w:t>
      </w:r>
    </w:p>
    <w:p>
      <w:pPr>
        <w:pStyle w:val="Heading1"/>
        <w:spacing w:before="280" w:after="160"/>
      </w:pPr>
      <w:r>
        <w:rPr>
          <w:b/>
          <w:color w:val="1A3C5E"/>
          <w:sz w:val="36"/>
        </w:rPr>
        <w:t>7. Business Decisions</w:t>
      </w:r>
    </w:p>
    <w:p>
      <w:pPr>
        <w:spacing w:before="0" w:after="160"/>
        <w:jc w:val="left"/>
      </w:pPr>
      <w:r>
        <w:rPr>
          <w:b w:val="0"/>
          <w:sz w:val="22"/>
        </w:rPr>
        <w:t>Five actionable decisions derived directly from the data findings:</w:t>
      </w:r>
    </w:p>
    <w:p>
      <w:pPr>
        <w:pStyle w:val="Heading2"/>
        <w:spacing w:before="200" w:after="120"/>
      </w:pPr>
      <w:r>
        <w:rPr>
          <w:b/>
          <w:color w:val="2E86DE"/>
          <w:sz w:val="28"/>
        </w:rPr>
        <w:t>Decision 1: Adopt CIBIL Score as the Primary Eligibility Gate</w:t>
      </w:r>
    </w:p>
    <w:p>
      <w:pPr>
        <w:spacing w:after="60"/>
      </w:pPr>
      <w:r>
        <w:rPr>
          <w:b/>
          <w:color w:val="1A3C5E"/>
          <w:sz w:val="22"/>
        </w:rPr>
        <w:t xml:space="preserve">Data Finding: </w:t>
      </w:r>
      <w:r>
        <w:rPr>
          <w:sz w:val="22"/>
        </w:rPr>
        <w:t>Approved applicants average CIBIL 703.5 vs Rejected 429.5 — a 274-point gap. CIBIL accounts for 80.16% of model power.</w:t>
      </w:r>
    </w:p>
    <w:p>
      <w:pPr>
        <w:spacing w:after="200"/>
      </w:pPr>
      <w:r>
        <w:rPr>
          <w:b/>
          <w:color w:val="155724"/>
          <w:sz w:val="22"/>
        </w:rPr>
        <w:t xml:space="preserve">Recommended Action: </w:t>
      </w:r>
      <w:r>
        <w:rPr>
          <w:sz w:val="22"/>
        </w:rPr>
        <w:t>Establish a minimum CIBIL threshold (580–620) below which applications are auto-flagged for review. Applications above 700 should be fast-tracked if other criteria are met.</w:t>
      </w:r>
    </w:p>
    <w:p>
      <w:pPr>
        <w:pStyle w:val="Heading2"/>
        <w:spacing w:before="200" w:after="120"/>
      </w:pPr>
      <w:r>
        <w:rPr>
          <w:b/>
          <w:color w:val="2E86DE"/>
          <w:sz w:val="28"/>
        </w:rPr>
        <w:t>Decision 2: Restructure Loan Terms to Manage Risk</w:t>
      </w:r>
    </w:p>
    <w:p>
      <w:pPr>
        <w:spacing w:after="60"/>
      </w:pPr>
      <w:r>
        <w:rPr>
          <w:b/>
          <w:color w:val="1A3C5E"/>
          <w:sz w:val="22"/>
        </w:rPr>
        <w:t xml:space="preserve">Data Finding: </w:t>
      </w:r>
      <w:r>
        <w:rPr>
          <w:sz w:val="22"/>
        </w:rPr>
        <w:t>Loan term is the 2nd most important feature (6.48% importance). Term structure significantly affects default risk.</w:t>
      </w:r>
    </w:p>
    <w:p>
      <w:pPr>
        <w:spacing w:after="200"/>
      </w:pPr>
      <w:r>
        <w:rPr>
          <w:b/>
          <w:color w:val="155724"/>
          <w:sz w:val="22"/>
        </w:rPr>
        <w:t xml:space="preserve">Recommended Action: </w:t>
      </w:r>
      <w:r>
        <w:rPr>
          <w:sz w:val="22"/>
        </w:rPr>
        <w:t>For borderline applicants (CIBIL 500–620), offer shorter terms (2–6 years) to reduce exposure. Reserve longer terms (14–20 years) for applicants with CIBIL above 700 and proven repayment capacity.</w:t>
      </w:r>
    </w:p>
    <w:p>
      <w:pPr>
        <w:pStyle w:val="Heading2"/>
        <w:spacing w:before="200" w:after="120"/>
      </w:pPr>
      <w:r>
        <w:rPr>
          <w:b/>
          <w:color w:val="2E86DE"/>
          <w:sz w:val="28"/>
        </w:rPr>
        <w:t>Decision 3: Remove Education and Employment from Eligibility Criteria</w:t>
      </w:r>
    </w:p>
    <w:p>
      <w:pPr>
        <w:spacing w:after="60"/>
      </w:pPr>
      <w:r>
        <w:rPr>
          <w:b/>
          <w:color w:val="1A3C5E"/>
          <w:sz w:val="22"/>
        </w:rPr>
        <w:t xml:space="preserve">Data Finding: </w:t>
      </w:r>
      <w:r>
        <w:rPr>
          <w:sz w:val="22"/>
        </w:rPr>
        <w:t>Graduate vs Non-Graduate: 62.5% vs 62.0%. Salaried vs Self-Employed: both 62.2%. Feature importance &lt;0.3% each.</w:t>
      </w:r>
    </w:p>
    <w:p>
      <w:pPr>
        <w:spacing w:after="200"/>
      </w:pPr>
      <w:r>
        <w:rPr>
          <w:b/>
          <w:color w:val="155724"/>
          <w:sz w:val="22"/>
        </w:rPr>
        <w:t xml:space="preserve">Recommended Action: </w:t>
      </w:r>
      <w:r>
        <w:rPr>
          <w:sz w:val="22"/>
        </w:rPr>
        <w:t>Remove education and employment type from primary criteria to avoid bias and comply with fair lending regulations. These factors have no meaningful predictive power.</w:t>
      </w:r>
    </w:p>
    <w:p>
      <w:pPr>
        <w:pStyle w:val="Heading2"/>
        <w:spacing w:before="200" w:after="120"/>
      </w:pPr>
      <w:r>
        <w:rPr>
          <w:b/>
          <w:color w:val="2E86DE"/>
          <w:sz w:val="28"/>
        </w:rPr>
        <w:t>Decision 4: Deploy a Three-Tier Automated Decision System</w:t>
      </w:r>
    </w:p>
    <w:p>
      <w:pPr>
        <w:spacing w:after="60"/>
      </w:pPr>
      <w:r>
        <w:rPr>
          <w:b/>
          <w:color w:val="1A3C5E"/>
          <w:sz w:val="22"/>
        </w:rPr>
        <w:t xml:space="preserve">Data Finding: </w:t>
      </w:r>
      <w:r>
        <w:rPr>
          <w:sz w:val="22"/>
        </w:rPr>
        <w:t>Random Forest achieves 98.24% accuracy and 97.65% F1-Score with only 15 errors on 854 test records.</w:t>
      </w:r>
    </w:p>
    <w:p>
      <w:pPr>
        <w:spacing w:after="200"/>
      </w:pPr>
      <w:r>
        <w:rPr>
          <w:b/>
          <w:color w:val="155724"/>
          <w:sz w:val="22"/>
        </w:rPr>
        <w:t xml:space="preserve">Recommended Action: </w:t>
      </w:r>
      <w:r>
        <w:rPr>
          <w:sz w:val="22"/>
        </w:rPr>
        <w:t>Tier 1 — Auto-Approve: predicted probability ≥85%. Tier 2 — Human Review: probability 30%–85%. Tier 3 — Auto-Decline: probability &lt;30% (appeal option available).</w:t>
      </w:r>
    </w:p>
    <w:p>
      <w:pPr>
        <w:pStyle w:val="Heading2"/>
        <w:spacing w:before="200" w:after="120"/>
      </w:pPr>
      <w:r>
        <w:rPr>
          <w:b/>
          <w:color w:val="2E86DE"/>
          <w:sz w:val="28"/>
        </w:rPr>
        <w:t>Decision 5: Schedule Regular Model Retraining</w:t>
      </w:r>
    </w:p>
    <w:p>
      <w:pPr>
        <w:spacing w:after="60"/>
      </w:pPr>
      <w:r>
        <w:rPr>
          <w:b/>
          <w:color w:val="1A3C5E"/>
          <w:sz w:val="22"/>
        </w:rPr>
        <w:t xml:space="preserve">Data Finding: </w:t>
      </w:r>
      <w:r>
        <w:rPr>
          <w:sz w:val="22"/>
        </w:rPr>
        <w:t>Model performance is based on historical data. Economic conditions and credit profiles evolve.</w:t>
      </w:r>
    </w:p>
    <w:p>
      <w:pPr>
        <w:spacing w:after="200"/>
      </w:pPr>
      <w:r>
        <w:rPr>
          <w:b/>
          <w:color w:val="155724"/>
          <w:sz w:val="22"/>
        </w:rPr>
        <w:t xml:space="preserve">Recommended Action: </w:t>
      </w:r>
      <w:r>
        <w:rPr>
          <w:sz w:val="22"/>
        </w:rPr>
        <w:t>Monitor model accuracy quarterly. Retrain every 6–12 months. Trigger early retraining if accuracy falls below 95% on recent production decisions.</w:t>
      </w:r>
    </w:p>
    <w:p>
      <w:pPr>
        <w:pStyle w:val="Heading1"/>
        <w:spacing w:before="280" w:after="160"/>
      </w:pPr>
      <w:r>
        <w:rPr>
          <w:b/>
          <w:color w:val="1A3C5E"/>
          <w:sz w:val="36"/>
        </w:rPr>
        <w:t>8. Conclusion &amp; Recommendations</w:t>
      </w:r>
    </w:p>
    <w:p>
      <w:pPr>
        <w:spacing w:before="0" w:after="160"/>
        <w:jc w:val="left"/>
      </w:pPr>
      <w:r>
        <w:rPr>
          <w:b w:val="0"/>
          <w:sz w:val="22"/>
        </w:rPr>
        <w:t>This project delivered a complete end-to-end data analytics and machine learning pipeline for loan approval prediction — from raw data exploration through to an interactive Streamlit dashboard with real-time predictions.</w:t>
      </w:r>
    </w:p>
    <w:p>
      <w:pPr>
        <w:pStyle w:val="Heading2"/>
        <w:spacing w:before="200" w:after="120"/>
      </w:pPr>
      <w:r>
        <w:rPr>
          <w:b/>
          <w:color w:val="2E86DE"/>
          <w:sz w:val="28"/>
        </w:rPr>
        <w:t>Key Findings Summary</w:t>
      </w:r>
    </w:p>
    <w:p>
      <w:pPr>
        <w:pStyle w:val="ListBullet"/>
        <w:spacing w:after="60"/>
      </w:pPr>
      <w:r>
        <w:rPr>
          <w:sz w:val="22"/>
        </w:rPr>
        <w:t>CIBIL score is the dominant factor, accounting for over 80% of model predictive power. The average approved CIBIL is 703.5 vs 429.5 for rejected — a gap of 274 points.</w:t>
      </w:r>
    </w:p>
    <w:p>
      <w:pPr>
        <w:pStyle w:val="ListBullet"/>
        <w:spacing w:after="60"/>
      </w:pPr>
      <w:r>
        <w:rPr>
          <w:sz w:val="22"/>
        </w:rPr>
        <w:t>Income and asset values have minimal direct impact. Approved and rejected applicants have near-identical incomes and total asset values. Creditworthiness (CIBIL) matters far more than raw wealth.</w:t>
      </w:r>
    </w:p>
    <w:p>
      <w:pPr>
        <w:pStyle w:val="ListBullet"/>
        <w:spacing w:after="60"/>
      </w:pPr>
      <w:r>
        <w:rPr>
          <w:sz w:val="22"/>
        </w:rPr>
        <w:t>Education and employment type are not meaningful predictors. Both groups show approval rates within 0.5% of each other. These factors should not be used as lending criteria.</w:t>
      </w:r>
    </w:p>
    <w:p>
      <w:pPr>
        <w:pStyle w:val="ListBullet"/>
        <w:spacing w:after="60"/>
      </w:pPr>
      <w:r>
        <w:rPr>
          <w:sz w:val="22"/>
        </w:rPr>
        <w:t>Loan term is the second most important feature (6.48%), reflecting that repayment structure influences risk more than loan amount alone.</w:t>
      </w:r>
    </w:p>
    <w:p>
      <w:pPr>
        <w:pStyle w:val="ListBullet"/>
        <w:spacing w:after="60"/>
      </w:pPr>
      <w:r>
        <w:rPr>
          <w:sz w:val="22"/>
        </w:rPr>
        <w:t>The Random Forest model is the best performer: 98.24% accuracy, 97.65% F1-Score, with only 15 errors on 854 test records and a false positive rate of just 1.4%.</w:t>
      </w:r>
    </w:p>
    <w:p/>
    <w:p>
      <w:pPr>
        <w:pStyle w:val="Heading2"/>
        <w:spacing w:before="200" w:after="120"/>
      </w:pPr>
      <w:r>
        <w:rPr>
          <w:b/>
          <w:color w:val="2E86DE"/>
          <w:sz w:val="28"/>
        </w:rPr>
        <w:t>Final Recommendation</w:t>
      </w:r>
    </w:p>
    <w:p>
      <w:pPr>
        <w:spacing w:before="0" w:after="160"/>
        <w:jc w:val="left"/>
      </w:pPr>
      <w:r>
        <w:rPr>
          <w:b w:val="0"/>
          <w:sz w:val="22"/>
        </w:rPr>
        <w:t>Deploy the Random Forest model as the primary automated loan screening engine. Use CIBIL score as the first and most heavily weighted eligibility criterion. Implement the three-tier decision system (auto-approve / human review / auto-decline) to balance efficiency with oversight. Retire education and employment type from eligibility criteria. Schedule quarterly performance monitoring with retraining every 6–12 months.</w:t>
      </w:r>
    </w:p>
    <w:p>
      <w:pPr>
        <w:pStyle w:val="Heading2"/>
        <w:spacing w:before="200" w:after="120"/>
      </w:pPr>
      <w:r>
        <w:rPr>
          <w:b/>
          <w:color w:val="2E86DE"/>
          <w:sz w:val="28"/>
        </w:rPr>
        <w:t>Technology Stack</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a3c5e"/>
          </w:tcPr>
          <w:p>
            <w:pPr>
              <w:jc w:val="center"/>
            </w:pPr>
            <w:r>
              <w:rPr>
                <w:b/>
                <w:color w:val="FFFFFF"/>
                <w:sz w:val="20"/>
              </w:rPr>
              <w:t>Library</w:t>
            </w:r>
          </w:p>
        </w:tc>
        <w:tc>
          <w:tcPr>
            <w:tcW w:type="dxa" w:w="6236"/>
            <w:shd w:val="clear" w:color="auto" w:fill="1a3c5e"/>
          </w:tcPr>
          <w:p>
            <w:pPr>
              <w:jc w:val="center"/>
            </w:pPr>
            <w:r>
              <w:rPr>
                <w:b/>
                <w:color w:val="FFFFFF"/>
                <w:sz w:val="20"/>
              </w:rPr>
              <w:t>Purpose</w:t>
            </w:r>
          </w:p>
        </w:tc>
      </w:tr>
      <w:tr>
        <w:tc>
          <w:tcPr>
            <w:tcW w:type="dxa" w:w="3402"/>
            <w:shd w:val="clear" w:color="auto" w:fill="f0f4fa"/>
          </w:tcPr>
          <w:p>
            <w:pPr>
              <w:jc w:val="center"/>
            </w:pPr>
            <w:r>
              <w:rPr>
                <w:sz w:val="20"/>
              </w:rPr>
              <w:t>Pandas</w:t>
            </w:r>
          </w:p>
        </w:tc>
        <w:tc>
          <w:tcPr>
            <w:tcW w:type="dxa" w:w="6236"/>
            <w:shd w:val="clear" w:color="auto" w:fill="f0f4fa"/>
          </w:tcPr>
          <w:p>
            <w:pPr>
              <w:jc w:val="center"/>
            </w:pPr>
            <w:r>
              <w:rPr>
                <w:sz w:val="20"/>
              </w:rPr>
              <w:t>Data loading, cleaning, and manipulation</w:t>
            </w:r>
          </w:p>
        </w:tc>
      </w:tr>
      <w:tr>
        <w:tc>
          <w:tcPr>
            <w:tcW w:type="dxa" w:w="3402"/>
            <w:shd w:val="clear" w:color="auto" w:fill="ffffff"/>
          </w:tcPr>
          <w:p>
            <w:pPr>
              <w:jc w:val="center"/>
            </w:pPr>
            <w:r>
              <w:rPr>
                <w:sz w:val="20"/>
              </w:rPr>
              <w:t>NumPy</w:t>
            </w:r>
          </w:p>
        </w:tc>
        <w:tc>
          <w:tcPr>
            <w:tcW w:type="dxa" w:w="6236"/>
            <w:shd w:val="clear" w:color="auto" w:fill="ffffff"/>
          </w:tcPr>
          <w:p>
            <w:pPr>
              <w:jc w:val="center"/>
            </w:pPr>
            <w:r>
              <w:rPr>
                <w:sz w:val="20"/>
              </w:rPr>
              <w:t>Numerical operations and array handling</w:t>
            </w:r>
          </w:p>
        </w:tc>
      </w:tr>
      <w:tr>
        <w:tc>
          <w:tcPr>
            <w:tcW w:type="dxa" w:w="3402"/>
            <w:shd w:val="clear" w:color="auto" w:fill="f0f4fa"/>
          </w:tcPr>
          <w:p>
            <w:pPr>
              <w:jc w:val="center"/>
            </w:pPr>
            <w:r>
              <w:rPr>
                <w:sz w:val="20"/>
              </w:rPr>
              <w:t>Matplotlib / Seaborn</w:t>
            </w:r>
          </w:p>
        </w:tc>
        <w:tc>
          <w:tcPr>
            <w:tcW w:type="dxa" w:w="6236"/>
            <w:shd w:val="clear" w:color="auto" w:fill="f0f4fa"/>
          </w:tcPr>
          <w:p>
            <w:pPr>
              <w:jc w:val="center"/>
            </w:pPr>
            <w:r>
              <w:rPr>
                <w:sz w:val="20"/>
              </w:rPr>
              <w:t>Data visualization and chart generation</w:t>
            </w:r>
          </w:p>
        </w:tc>
      </w:tr>
      <w:tr>
        <w:tc>
          <w:tcPr>
            <w:tcW w:type="dxa" w:w="3402"/>
            <w:shd w:val="clear" w:color="auto" w:fill="ffffff"/>
          </w:tcPr>
          <w:p>
            <w:pPr>
              <w:jc w:val="center"/>
            </w:pPr>
            <w:r>
              <w:rPr>
                <w:sz w:val="20"/>
              </w:rPr>
              <w:t>Scikit-learn</w:t>
            </w:r>
          </w:p>
        </w:tc>
        <w:tc>
          <w:tcPr>
            <w:tcW w:type="dxa" w:w="6236"/>
            <w:shd w:val="clear" w:color="auto" w:fill="ffffff"/>
          </w:tcPr>
          <w:p>
            <w:pPr>
              <w:jc w:val="center"/>
            </w:pPr>
            <w:r>
              <w:rPr>
                <w:sz w:val="20"/>
              </w:rPr>
              <w:t>Preprocessing, model training, and evaluation metrics</w:t>
            </w:r>
          </w:p>
        </w:tc>
      </w:tr>
      <w:tr>
        <w:tc>
          <w:tcPr>
            <w:tcW w:type="dxa" w:w="3402"/>
            <w:shd w:val="clear" w:color="auto" w:fill="f0f4fa"/>
          </w:tcPr>
          <w:p>
            <w:pPr>
              <w:jc w:val="center"/>
            </w:pPr>
            <w:r>
              <w:rPr>
                <w:sz w:val="20"/>
              </w:rPr>
              <w:t>XGBoost</w:t>
            </w:r>
          </w:p>
        </w:tc>
        <w:tc>
          <w:tcPr>
            <w:tcW w:type="dxa" w:w="6236"/>
            <w:shd w:val="clear" w:color="auto" w:fill="f0f4fa"/>
          </w:tcPr>
          <w:p>
            <w:pPr>
              <w:jc w:val="center"/>
            </w:pPr>
            <w:r>
              <w:rPr>
                <w:sz w:val="20"/>
              </w:rPr>
              <w:t>Gradient boosting classification model</w:t>
            </w:r>
          </w:p>
        </w:tc>
      </w:tr>
      <w:tr>
        <w:tc>
          <w:tcPr>
            <w:tcW w:type="dxa" w:w="3402"/>
            <w:shd w:val="clear" w:color="auto" w:fill="ffffff"/>
          </w:tcPr>
          <w:p>
            <w:pPr>
              <w:jc w:val="center"/>
            </w:pPr>
            <w:r>
              <w:rPr>
                <w:sz w:val="20"/>
              </w:rPr>
              <w:t>Streamlit</w:t>
            </w:r>
          </w:p>
        </w:tc>
        <w:tc>
          <w:tcPr>
            <w:tcW w:type="dxa" w:w="6236"/>
            <w:shd w:val="clear" w:color="auto" w:fill="ffffff"/>
          </w:tcPr>
          <w:p>
            <w:pPr>
              <w:jc w:val="center"/>
            </w:pPr>
            <w:r>
              <w:rPr>
                <w:sz w:val="20"/>
              </w:rPr>
              <w:t>Interactive web application and live prediction interface</w:t>
            </w:r>
          </w:p>
        </w:tc>
      </w:tr>
      <w:tr>
        <w:tc>
          <w:tcPr>
            <w:tcW w:type="dxa" w:w="3402"/>
            <w:shd w:val="clear" w:color="auto" w:fill="f0f4fa"/>
          </w:tcPr>
          <w:p>
            <w:pPr>
              <w:jc w:val="center"/>
            </w:pPr>
            <w:r>
              <w:rPr>
                <w:sz w:val="20"/>
              </w:rPr>
              <w:t>Python-docx</w:t>
            </w:r>
          </w:p>
        </w:tc>
        <w:tc>
          <w:tcPr>
            <w:tcW w:type="dxa" w:w="6236"/>
            <w:shd w:val="clear" w:color="auto" w:fill="f0f4fa"/>
          </w:tcPr>
          <w:p>
            <w:pPr>
              <w:jc w:val="center"/>
            </w:pPr>
            <w:r>
              <w:rPr>
                <w:sz w:val="20"/>
              </w:rPr>
              <w:t>Word report generation with embedded charts</w:t>
            </w:r>
          </w:p>
        </w:tc>
      </w:tr>
    </w:tbl>
    <w:p/>
    <w:p>
      <w:pPr>
        <w:spacing w:before="320" w:after="120"/>
        <w:jc w:val="center"/>
      </w:pPr>
      <w:r>
        <w:rPr>
          <w:b w:val="0"/>
          <w:color w:val="888888"/>
          <w:sz w:val="20"/>
        </w:rPr>
        <w:t>— End of Report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