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C39A5F"/>
          <w:sz w:val="28"/>
          <w:szCs w:val="28"/>
        </w:rPr>
        <w:t xml:space="preserve">PROUD TEK</w:t>
      </w:r>
    </w:p>
    <w:p>
      <w:pPr>
        <w:spacing w:after="320"/>
        <w:jc w:val="center"/>
      </w:pPr>
      <w:r>
        <w:rPr>
          <w:rFonts w:ascii="Arial" w:cs="Arial" w:eastAsia="Arial" w:hAnsi="Arial"/>
          <w:color w:val="5C5C5C"/>
          <w:sz w:val="22"/>
          <w:szCs w:val="22"/>
        </w:rPr>
        <w:t xml:space="preserve">Research</w:t>
      </w:r>
    </w:p>
    <w:p>
      <w:pPr>
        <w:spacing w:after="200"/>
        <w:jc w:val="center"/>
      </w:pPr>
      <w:r>
        <w:rPr>
          <w:rFonts w:ascii="Arial" w:cs="Arial" w:eastAsia="Arial" w:hAnsi="Arial"/>
          <w:b/>
          <w:bCs/>
          <w:color w:val="1A1A1A"/>
          <w:sz w:val="56"/>
          <w:szCs w:val="56"/>
        </w:rPr>
        <w:t xml:space="preserve">2026 RFID Industry Adoption Index</w:t>
      </w:r>
    </w:p>
    <w:p>
      <w:pPr>
        <w:spacing w:after="480"/>
        <w:jc w:val="center"/>
      </w:pPr>
      <w:r>
        <w:rPr>
          <w:rFonts w:ascii="Arial" w:cs="Arial" w:eastAsia="Arial" w:hAnsi="Arial"/>
          <w:i/>
          <w:iCs/>
          <w:color w:val="5C5C5C"/>
          <w:sz w:val="26"/>
          <w:szCs w:val="26"/>
        </w:rPr>
        <w:t xml:space="preserve">Project Charter — methodology, governance, timeline, budget</w:t>
      </w:r>
    </w:p>
    <w:p>
      <w:pPr>
        <w:pBdr>
          <w:bottom w:val="single" w:color="C39A5F" w:sz="6" w:space="1"/>
        </w:pBdr>
        <w:spacing w:after="120" w:before="120"/>
      </w:pPr>
      <w:r>
        <w:t xml:space="preserve"/>
      </w:r>
    </w:p>
    <w:p>
      <w:pPr>
        <w:spacing w:after="80" w:before="240"/>
        <w:jc w:val="center"/>
      </w:pPr>
      <w:r>
        <w:rPr>
          <w:rFonts w:ascii="Arial" w:cs="Arial" w:eastAsia="Arial" w:hAnsi="Arial"/>
          <w:b/>
          <w:bCs/>
          <w:color w:val="1A1A1A"/>
          <w:sz w:val="20"/>
          <w:szCs w:val="20"/>
        </w:rPr>
        <w:t xml:space="preserve">Pre-registered</w:t>
      </w:r>
    </w:p>
    <w:p>
      <w:pPr>
        <w:spacing w:after="120"/>
        <w:jc w:val="center"/>
      </w:pPr>
      <w:r>
        <w:rPr>
          <w:rFonts w:ascii="Arial" w:cs="Arial" w:eastAsia="Arial" w:hAnsi="Arial"/>
          <w:color w:val="5C5C5C"/>
          <w:sz w:val="20"/>
          <w:szCs w:val="20"/>
        </w:rPr>
        <w:t xml:space="preserve">2026-05-11 — Center for Open Science timestamp pending</w:t>
      </w:r>
    </w:p>
    <w:p>
      <w:pPr>
        <w:spacing w:after="480"/>
        <w:jc w:val="center"/>
      </w:pPr>
      <w:r>
        <w:rPr>
          <w:rFonts w:ascii="Arial" w:cs="Arial" w:eastAsia="Arial" w:hAnsi="Arial"/>
          <w:color w:val="5C5C5C"/>
          <w:sz w:val="20"/>
          <w:szCs w:val="20"/>
        </w:rPr>
        <w:t xml:space="preserve">Document version 1.0 — 2026-05-11</w:t>
      </w:r>
    </w:p>
    <w:p>
      <w:pPr>
        <w:pBdr>
          <w:bottom w:val="single" w:color="C39A5F" w:sz="6" w:space="1"/>
        </w:pBdr>
        <w:spacing w:after="120" w:before="120"/>
      </w:pPr>
      <w:r>
        <w:t xml:space="preserve"/>
      </w:r>
    </w:p>
    <w:p>
      <w:pPr>
        <w:spacing w:after="120" w:before="320"/>
        <w:jc w:val="center"/>
      </w:pPr>
      <w:r>
        <w:rPr>
          <w:rFonts w:ascii="Arial" w:cs="Arial" w:eastAsia="Arial" w:hAnsi="Arial"/>
          <w:color w:val="1A1A1A"/>
          <w:sz w:val="22"/>
          <w:szCs w:val="22"/>
        </w:rPr>
        <w:t xml:space="preserve">Prepared by  ProudTek Editorial Board</w:t>
      </w:r>
    </w:p>
    <w:p>
      <w:pPr>
        <w:spacing w:after="80"/>
        <w:jc w:val="center"/>
      </w:pPr>
      <w:r>
        <w:rPr>
          <w:rFonts w:ascii="Arial" w:cs="Arial" w:eastAsia="Arial" w:hAnsi="Arial"/>
          <w:color w:val="1A1A1A"/>
          <w:sz w:val="22"/>
          <w:szCs w:val="22"/>
        </w:rPr>
        <w:t xml:space="preserve">Approving sponsor  Peter Zhang</w:t>
      </w:r>
    </w:p>
    <w:p>
      <w:pPr>
        <w:spacing w:after="80"/>
        <w:jc w:val="center"/>
      </w:pPr>
      <w:r>
        <w:rPr>
          <w:rFonts w:ascii="Arial" w:cs="Arial" w:eastAsia="Arial" w:hAnsi="Arial"/>
          <w:color w:val="5C5C5C"/>
          <w:sz w:val="22"/>
          <w:szCs w:val="22"/>
        </w:rPr>
        <w:t xml:space="preserve">Document home  proudtek.com/research/2026-rfid-industry-adoption-index/</w:t>
      </w:r>
    </w:p>
    <w:p>
      <w:r>
        <w:br w:type="page"/>
      </w:r>
    </w:p>
    <w:p>
      <w:pPr>
        <w:pStyle w:val="Heading1"/>
        <w:spacing w:after="200" w:before="360"/>
      </w:pPr>
      <w:r>
        <w:rPr>
          <w:rFonts w:ascii="Arial" w:cs="Arial" w:eastAsia="Arial" w:hAnsi="Arial"/>
          <w:b/>
          <w:bCs/>
          <w:color w:val="1A1A1A"/>
          <w:sz w:val="36"/>
          <w:szCs w:val="36"/>
        </w:rPr>
        <w:t xml:space="preserve">Contents</w:t>
      </w:r>
    </w:p>
    <w:p>
      <w:pPr>
        <w:spacing w:after="120" w:line="320"/>
        <w:rPr>
          <w:sz w:val="22"/>
          <w:szCs w:val="22"/>
        </w:rPr>
      </w:pPr>
      <w:r>
        <w:rPr>
          <w:rFonts w:ascii="Arial" w:cs="Arial" w:eastAsia="Arial" w:hAnsi="Arial"/>
          <w:color w:val="1A1A1A"/>
          <w:sz w:val="22"/>
          <w:szCs w:val="22"/>
        </w:rPr>
        <w:t xml:space="preserve">1. Executive summary</w:t>
      </w:r>
    </w:p>
    <w:p>
      <w:pPr>
        <w:spacing w:after="120" w:line="320"/>
        <w:rPr>
          <w:sz w:val="22"/>
          <w:szCs w:val="22"/>
        </w:rPr>
      </w:pPr>
      <w:r>
        <w:rPr>
          <w:rFonts w:ascii="Arial" w:cs="Arial" w:eastAsia="Arial" w:hAnsi="Arial"/>
          <w:color w:val="1A1A1A"/>
          <w:sz w:val="22"/>
          <w:szCs w:val="22"/>
        </w:rPr>
        <w:t xml:space="preserve">2. Research questions and pre-registered hypotheses</w:t>
      </w:r>
    </w:p>
    <w:p>
      <w:pPr>
        <w:spacing w:after="120" w:line="320"/>
        <w:rPr>
          <w:sz w:val="22"/>
          <w:szCs w:val="22"/>
        </w:rPr>
      </w:pPr>
      <w:r>
        <w:rPr>
          <w:rFonts w:ascii="Arial" w:cs="Arial" w:eastAsia="Arial" w:hAnsi="Arial"/>
          <w:color w:val="1A1A1A"/>
          <w:sz w:val="22"/>
          <w:szCs w:val="22"/>
        </w:rPr>
        <w:t xml:space="preserve">3. Methodology</w:t>
      </w:r>
    </w:p>
    <w:p>
      <w:pPr>
        <w:spacing w:after="120" w:line="320"/>
        <w:rPr>
          <w:sz w:val="22"/>
          <w:szCs w:val="22"/>
        </w:rPr>
      </w:pPr>
      <w:r>
        <w:rPr>
          <w:rFonts w:ascii="Arial" w:cs="Arial" w:eastAsia="Arial" w:hAnsi="Arial"/>
          <w:color w:val="1A1A1A"/>
          <w:sz w:val="22"/>
          <w:szCs w:val="22"/>
        </w:rPr>
        <w:t xml:space="preserve">4. Sampling frame and quota plan</w:t>
      </w:r>
    </w:p>
    <w:p>
      <w:pPr>
        <w:spacing w:after="120" w:line="320"/>
        <w:rPr>
          <w:sz w:val="22"/>
          <w:szCs w:val="22"/>
        </w:rPr>
      </w:pPr>
      <w:r>
        <w:rPr>
          <w:rFonts w:ascii="Arial" w:cs="Arial" w:eastAsia="Arial" w:hAnsi="Arial"/>
          <w:color w:val="1A1A1A"/>
          <w:sz w:val="22"/>
          <w:szCs w:val="22"/>
        </w:rPr>
        <w:t xml:space="preserve">5. Recruitment strategy</w:t>
      </w:r>
    </w:p>
    <w:p>
      <w:pPr>
        <w:spacing w:after="120" w:line="320"/>
        <w:rPr>
          <w:sz w:val="22"/>
          <w:szCs w:val="22"/>
        </w:rPr>
      </w:pPr>
      <w:r>
        <w:rPr>
          <w:rFonts w:ascii="Arial" w:cs="Arial" w:eastAsia="Arial" w:hAnsi="Arial"/>
          <w:color w:val="1A1A1A"/>
          <w:sz w:val="22"/>
          <w:szCs w:val="22"/>
        </w:rPr>
        <w:t xml:space="preserve">6. Instrument design</w:t>
      </w:r>
    </w:p>
    <w:p>
      <w:pPr>
        <w:spacing w:after="120" w:line="320"/>
        <w:rPr>
          <w:sz w:val="22"/>
          <w:szCs w:val="22"/>
        </w:rPr>
      </w:pPr>
      <w:r>
        <w:rPr>
          <w:rFonts w:ascii="Arial" w:cs="Arial" w:eastAsia="Arial" w:hAnsi="Arial"/>
          <w:color w:val="1A1A1A"/>
          <w:sz w:val="22"/>
          <w:szCs w:val="22"/>
        </w:rPr>
        <w:t xml:space="preserve">7. Data governance and ethics</w:t>
      </w:r>
    </w:p>
    <w:p>
      <w:pPr>
        <w:spacing w:after="120" w:line="320"/>
        <w:rPr>
          <w:sz w:val="22"/>
          <w:szCs w:val="22"/>
        </w:rPr>
      </w:pPr>
      <w:r>
        <w:rPr>
          <w:rFonts w:ascii="Arial" w:cs="Arial" w:eastAsia="Arial" w:hAnsi="Arial"/>
          <w:color w:val="1A1A1A"/>
          <w:sz w:val="22"/>
          <w:szCs w:val="22"/>
        </w:rPr>
        <w:t xml:space="preserve">8. Analysis plan</w:t>
      </w:r>
    </w:p>
    <w:p>
      <w:pPr>
        <w:spacing w:after="120" w:line="320"/>
        <w:rPr>
          <w:sz w:val="22"/>
          <w:szCs w:val="22"/>
        </w:rPr>
      </w:pPr>
      <w:r>
        <w:rPr>
          <w:rFonts w:ascii="Arial" w:cs="Arial" w:eastAsia="Arial" w:hAnsi="Arial"/>
          <w:color w:val="1A1A1A"/>
          <w:sz w:val="22"/>
          <w:szCs w:val="22"/>
        </w:rPr>
        <w:t xml:space="preserve">9. Publication calendar and dissemination</w:t>
      </w:r>
    </w:p>
    <w:p>
      <w:pPr>
        <w:spacing w:after="120" w:line="320"/>
        <w:rPr>
          <w:sz w:val="22"/>
          <w:szCs w:val="22"/>
        </w:rPr>
      </w:pPr>
      <w:r>
        <w:rPr>
          <w:rFonts w:ascii="Arial" w:cs="Arial" w:eastAsia="Arial" w:hAnsi="Arial"/>
          <w:color w:val="1A1A1A"/>
          <w:sz w:val="22"/>
          <w:szCs w:val="22"/>
        </w:rPr>
        <w:t xml:space="preserve">10. Timeline (12 weeks)</w:t>
      </w:r>
    </w:p>
    <w:p>
      <w:pPr>
        <w:spacing w:after="120" w:line="320"/>
        <w:rPr>
          <w:sz w:val="22"/>
          <w:szCs w:val="22"/>
        </w:rPr>
      </w:pPr>
      <w:r>
        <w:rPr>
          <w:rFonts w:ascii="Arial" w:cs="Arial" w:eastAsia="Arial" w:hAnsi="Arial"/>
          <w:color w:val="1A1A1A"/>
          <w:sz w:val="22"/>
          <w:szCs w:val="22"/>
        </w:rPr>
        <w:t xml:space="preserve">11. Budget</w:t>
      </w:r>
    </w:p>
    <w:p>
      <w:pPr>
        <w:spacing w:after="120" w:line="320"/>
        <w:rPr>
          <w:sz w:val="22"/>
          <w:szCs w:val="22"/>
        </w:rPr>
      </w:pPr>
      <w:r>
        <w:rPr>
          <w:rFonts w:ascii="Arial" w:cs="Arial" w:eastAsia="Arial" w:hAnsi="Arial"/>
          <w:color w:val="1A1A1A"/>
          <w:sz w:val="22"/>
          <w:szCs w:val="22"/>
        </w:rPr>
        <w:t xml:space="preserve">12. Roles and RACI</w:t>
      </w:r>
    </w:p>
    <w:p>
      <w:pPr>
        <w:spacing w:after="120" w:line="320"/>
        <w:rPr>
          <w:sz w:val="22"/>
          <w:szCs w:val="22"/>
        </w:rPr>
      </w:pPr>
      <w:r>
        <w:rPr>
          <w:rFonts w:ascii="Arial" w:cs="Arial" w:eastAsia="Arial" w:hAnsi="Arial"/>
          <w:color w:val="1A1A1A"/>
          <w:sz w:val="22"/>
          <w:szCs w:val="22"/>
        </w:rPr>
        <w:t xml:space="preserve">13. Risk register</w:t>
      </w:r>
    </w:p>
    <w:p>
      <w:pPr>
        <w:spacing w:after="120" w:line="320"/>
        <w:rPr>
          <w:sz w:val="22"/>
          <w:szCs w:val="22"/>
        </w:rPr>
      </w:pPr>
      <w:r>
        <w:rPr>
          <w:rFonts w:ascii="Arial" w:cs="Arial" w:eastAsia="Arial" w:hAnsi="Arial"/>
          <w:color w:val="1A1A1A"/>
          <w:sz w:val="22"/>
          <w:szCs w:val="22"/>
        </w:rPr>
        <w:t xml:space="preserve">14. Success metrics</w:t>
      </w:r>
    </w:p>
    <w:p>
      <w:pPr>
        <w:spacing w:after="120" w:line="320"/>
        <w:rPr>
          <w:sz w:val="22"/>
          <w:szCs w:val="22"/>
        </w:rPr>
      </w:pPr>
      <w:r>
        <w:rPr>
          <w:rFonts w:ascii="Arial" w:cs="Arial" w:eastAsia="Arial" w:hAnsi="Arial"/>
          <w:color w:val="1A1A1A"/>
          <w:sz w:val="22"/>
          <w:szCs w:val="22"/>
        </w:rPr>
        <w:t xml:space="preserve">15. Approval and sign-off</w:t>
      </w:r>
    </w:p>
    <w:p>
      <w:r>
        <w:br w:type="page"/>
      </w:r>
    </w:p>
    <w:p>
      <w:pPr>
        <w:pStyle w:val="Heading1"/>
        <w:spacing w:after="200" w:before="360"/>
      </w:pPr>
      <w:r>
        <w:rPr>
          <w:rFonts w:ascii="Arial" w:cs="Arial" w:eastAsia="Arial" w:hAnsi="Arial"/>
          <w:b/>
          <w:bCs/>
          <w:color w:val="1A1A1A"/>
          <w:sz w:val="36"/>
          <w:szCs w:val="36"/>
        </w:rPr>
        <w:t xml:space="preserve">1. Executive summary</w:t>
      </w:r>
    </w:p>
    <w:p>
      <w:pPr>
        <w:spacing w:after="120" w:line="320"/>
      </w:pPr>
      <w:r>
        <w:rPr>
          <w:rFonts w:ascii="Arial" w:cs="Arial" w:eastAsia="Arial" w:hAnsi="Arial"/>
          <w:color w:val="1A1A1A"/>
          <w:sz w:val="22"/>
          <w:szCs w:val="22"/>
        </w:rPr>
        <w:t xml:space="preserve">The Proud Tek 2026 RFID Industry Adoption Index is a primary-data, vendor-neutral survey of 200 buyers, integrators and operators of RFID and NFC technology across the 20 industry verticals Proud Tek serves editorially. The Index is designed to answer five pre-registered research questions about adoption maturity, mandate compliance progress, KPI lift realism, vendor selection criteria, and 2027 deployment intent.</w:t>
      </w:r>
    </w:p>
    <w:p>
      <w:pPr>
        <w:spacing w:after="120" w:line="320"/>
      </w:pPr>
      <w:r>
        <w:rPr>
          <w:rFonts w:ascii="Arial" w:cs="Arial" w:eastAsia="Arial" w:hAnsi="Arial"/>
          <w:color w:val="1A1A1A"/>
          <w:sz w:val="22"/>
          <w:szCs w:val="22"/>
        </w:rPr>
        <w:t xml:space="preserve">The deliverable is a 60-page report (PDF + HTML) and a CC-BY-4.0 open dataset. The Index will be published every year in late October and is the flagship of a three-tier Proud Tek Research program (annual flagship + quarterly regulatory pulse + biennial deep-field studies). The program is funded internally from Proud Tek marketing R&amp;D and accepts no co-funding from RFID hardware peers, integrators, or end-user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C39A5F" w:sz="18"/>
              <w:bottom w:val="single" w:color="D6D6D6" w:sz="4"/>
              <w:right w:val="single" w:color="D6D6D6" w:sz="4"/>
            </w:tcBorders>
            <w:shd w:fill="F8F2E8" w:val="clear"/>
            <w:tcMar>
              <w:top w:type="dxa" w:w="100"/>
              <w:left w:type="dxa" w:w="140"/>
              <w:bottom w:type="dxa" w:w="100"/>
              <w:right w:type="dxa" w:w="140"/>
            </w:tcMar>
          </w:tcPr>
          <w:p>
            <w:pPr>
              <w:spacing w:after="80"/>
            </w:pPr>
            <w:r>
              <w:rPr>
                <w:rFonts w:ascii="Arial" w:cs="Arial" w:eastAsia="Arial" w:hAnsi="Arial"/>
                <w:b/>
                <w:bCs/>
                <w:color w:val="1A1A1A"/>
                <w:sz w:val="20"/>
                <w:szCs w:val="20"/>
              </w:rPr>
              <w:t xml:space="preserve">Why this Charter exists</w:t>
            </w:r>
          </w:p>
          <w:p>
            <w:pPr>
              <w:spacing w:after="0" w:line="300"/>
            </w:pPr>
            <w:r>
              <w:rPr>
                <w:rFonts w:ascii="Arial" w:cs="Arial" w:eastAsia="Arial" w:hAnsi="Arial"/>
                <w:color w:val="1A1A1A"/>
                <w:sz w:val="22"/>
                <w:szCs w:val="22"/>
              </w:rPr>
              <w:t xml:space="preserve">A Charter is the contract between the editorial board, the research team and the executive sponsor. Once signed it is the binding scope, methodology, timeline and budget; any change after sign-off requires a written addendum. The Charter also doubles as the public methodology pre-registration referenced from /research/methodology/.</w:t>
            </w:r>
          </w:p>
        </w:tc>
      </w:tr>
    </w:tbl>
    <w:p>
      <w:pPr>
        <w:pStyle w:val="Heading2"/>
        <w:spacing w:after="160" w:before="280"/>
      </w:pPr>
      <w:r>
        <w:rPr>
          <w:rFonts w:ascii="Arial" w:cs="Arial" w:eastAsia="Arial" w:hAnsi="Arial"/>
          <w:b/>
          <w:bCs/>
          <w:color w:val="1A1A1A"/>
          <w:sz w:val="28"/>
          <w:szCs w:val="28"/>
        </w:rPr>
        <w:t xml:space="preserve">1.1 Strategic objectives</w:t>
      </w:r>
    </w:p>
    <w:p>
      <w:pPr>
        <w:pStyle w:val="ListParagraph"/>
        <w:numPr>
          <w:ilvl w:val="0"/>
          <w:numId w:val="2"/>
        </w:numPr>
        <w:spacing w:after="80" w:line="300"/>
      </w:pPr>
      <w:r>
        <w:rPr>
          <w:rFonts w:ascii="Arial" w:cs="Arial" w:eastAsia="Arial" w:hAnsi="Arial"/>
          <w:color w:val="1A1A1A"/>
          <w:sz w:val="22"/>
          <w:szCs w:val="22"/>
        </w:rPr>
        <w:t xml:space="preserve">Establish Proud Tek as the citable primary-data source for RFID-by-industry questions in Google organic search and AI search engines (Perplexity, Bing Copilot, ChatGPT Search).</w:t>
      </w:r>
    </w:p>
    <w:p>
      <w:pPr>
        <w:pStyle w:val="ListParagraph"/>
        <w:numPr>
          <w:ilvl w:val="0"/>
          <w:numId w:val="2"/>
        </w:numPr>
        <w:spacing w:after="80" w:line="300"/>
      </w:pPr>
      <w:r>
        <w:rPr>
          <w:rFonts w:ascii="Arial" w:cs="Arial" w:eastAsia="Arial" w:hAnsi="Arial"/>
          <w:color w:val="1A1A1A"/>
          <w:sz w:val="22"/>
          <w:szCs w:val="22"/>
        </w:rPr>
        <w:t xml:space="preserve">Produce findings that journalists at RFID Journal, Healthcare IT News, Supply Chain 24/7, Pharmacy Times and Pharmacy Practice News can cite with confidence.</w:t>
      </w:r>
    </w:p>
    <w:p>
      <w:pPr>
        <w:pStyle w:val="ListParagraph"/>
        <w:numPr>
          <w:ilvl w:val="0"/>
          <w:numId w:val="2"/>
        </w:numPr>
        <w:spacing w:after="80" w:line="300"/>
      </w:pPr>
      <w:r>
        <w:rPr>
          <w:rFonts w:ascii="Arial" w:cs="Arial" w:eastAsia="Arial" w:hAnsi="Arial"/>
          <w:color w:val="1A1A1A"/>
          <w:sz w:val="22"/>
          <w:szCs w:val="22"/>
        </w:rPr>
        <w:t xml:space="preserve">Generate per-industry findings that anchor and refresh each of the 20 /industries/ landing pages on proudtek.com.</w:t>
      </w:r>
    </w:p>
    <w:p>
      <w:pPr>
        <w:pStyle w:val="ListParagraph"/>
        <w:numPr>
          <w:ilvl w:val="0"/>
          <w:numId w:val="2"/>
        </w:numPr>
        <w:spacing w:after="80" w:line="300"/>
      </w:pPr>
      <w:r>
        <w:rPr>
          <w:rFonts w:ascii="Arial" w:cs="Arial" w:eastAsia="Arial" w:hAnsi="Arial"/>
          <w:color w:val="1A1A1A"/>
          <w:sz w:val="22"/>
          <w:szCs w:val="22"/>
        </w:rPr>
        <w:t xml:space="preserve">Build a longitudinal dataset across 2026, 2027 and 2028 that supports year-over-year adoption trending.</w:t>
      </w:r>
    </w:p>
    <w:p>
      <w:pPr>
        <w:pStyle w:val="Heading2"/>
        <w:spacing w:after="160" w:before="280"/>
      </w:pPr>
      <w:r>
        <w:rPr>
          <w:rFonts w:ascii="Arial" w:cs="Arial" w:eastAsia="Arial" w:hAnsi="Arial"/>
          <w:b/>
          <w:bCs/>
          <w:color w:val="1A1A1A"/>
          <w:sz w:val="28"/>
          <w:szCs w:val="28"/>
        </w:rPr>
        <w:t xml:space="preserve">1.2 What this Charter does not authorize</w:t>
      </w:r>
    </w:p>
    <w:p>
      <w:pPr>
        <w:pStyle w:val="ListParagraph"/>
        <w:numPr>
          <w:ilvl w:val="0"/>
          <w:numId w:val="2"/>
        </w:numPr>
        <w:spacing w:after="80" w:line="300"/>
      </w:pPr>
      <w:r>
        <w:rPr>
          <w:rFonts w:ascii="Arial" w:cs="Arial" w:eastAsia="Arial" w:hAnsi="Arial"/>
          <w:color w:val="1A1A1A"/>
          <w:sz w:val="22"/>
          <w:szCs w:val="22"/>
        </w:rPr>
        <w:t xml:space="preserve">Findings or claims about Proud Tek products, vendors, or competitive positioning. The instrument is brand-agnostic.</w:t>
      </w:r>
    </w:p>
    <w:p>
      <w:pPr>
        <w:pStyle w:val="ListParagraph"/>
        <w:numPr>
          <w:ilvl w:val="0"/>
          <w:numId w:val="2"/>
        </w:numPr>
        <w:spacing w:after="80" w:line="300"/>
      </w:pPr>
      <w:r>
        <w:rPr>
          <w:rFonts w:ascii="Arial" w:cs="Arial" w:eastAsia="Arial" w:hAnsi="Arial"/>
          <w:color w:val="1A1A1A"/>
          <w:sz w:val="22"/>
          <w:szCs w:val="22"/>
        </w:rPr>
        <w:t xml:space="preserve">Sales or marketing follow-up of respondents based on their answers, in any form. Recruitment lists and response data are firewall-separated from Proud Tek sales operations.</w:t>
      </w:r>
    </w:p>
    <w:p>
      <w:pPr>
        <w:pStyle w:val="ListParagraph"/>
        <w:numPr>
          <w:ilvl w:val="0"/>
          <w:numId w:val="2"/>
        </w:numPr>
        <w:spacing w:after="80" w:line="300"/>
      </w:pPr>
      <w:r>
        <w:rPr>
          <w:rFonts w:ascii="Arial" w:cs="Arial" w:eastAsia="Arial" w:hAnsi="Arial"/>
          <w:color w:val="1A1A1A"/>
          <w:sz w:val="22"/>
          <w:szCs w:val="22"/>
        </w:rPr>
        <w:t xml:space="preserve">Custom paid analyses for clients during the exclusivity window. The dataset is CC-BY-4.0; no paid tier exists.</w:t>
      </w:r>
    </w:p>
    <w:p>
      <w:pPr>
        <w:pStyle w:val="Heading1"/>
        <w:spacing w:after="200" w:before="360"/>
      </w:pPr>
      <w:r>
        <w:rPr>
          <w:rFonts w:ascii="Arial" w:cs="Arial" w:eastAsia="Arial" w:hAnsi="Arial"/>
          <w:b/>
          <w:bCs/>
          <w:color w:val="1A1A1A"/>
          <w:sz w:val="36"/>
          <w:szCs w:val="36"/>
        </w:rPr>
        <w:t xml:space="preserve">2. Research questions and pre-registered hypotheses</w:t>
      </w:r>
    </w:p>
    <w:p>
      <w:pPr>
        <w:spacing w:after="120" w:line="320"/>
      </w:pPr>
      <w:r>
        <w:rPr>
          <w:rFonts w:ascii="Arial" w:cs="Arial" w:eastAsia="Arial" w:hAnsi="Arial"/>
          <w:color w:val="1A1A1A"/>
          <w:sz w:val="22"/>
          <w:szCs w:val="22"/>
        </w:rPr>
        <w:t xml:space="preserve">Five primary research questions, five primary hypotheses. Pre-registration of hypotheses prevents HARKing (hypothesizing after the results are known) and is the methodological move that distinguishes this study from typical vendor surveys. Hypotheses below are timestamped 2026-05-11; the Center for Open Science pre-registration URL will be appended once timestamping is confirmed.</w:t>
      </w:r>
    </w:p>
    <w:p>
      <w:pPr>
        <w:pStyle w:val="Heading2"/>
        <w:spacing w:after="160" w:before="280"/>
      </w:pPr>
      <w:r>
        <w:rPr>
          <w:rFonts w:ascii="Arial" w:cs="Arial" w:eastAsia="Arial" w:hAnsi="Arial"/>
          <w:b/>
          <w:bCs/>
          <w:color w:val="1A1A1A"/>
          <w:sz w:val="28"/>
          <w:szCs w:val="28"/>
        </w:rPr>
        <w:t xml:space="preserve">2.1 Primary research questions</w:t>
      </w:r>
    </w:p>
    <w:p>
      <w:pPr>
        <w:pStyle w:val="ListParagraph"/>
        <w:numPr>
          <w:ilvl w:val="0"/>
          <w:numId w:val="3"/>
        </w:numPr>
        <w:spacing w:after="80" w:line="300"/>
      </w:pPr>
      <w:r>
        <w:rPr>
          <w:rFonts w:ascii="Arial" w:cs="Arial" w:eastAsia="Arial" w:hAnsi="Arial"/>
          <w:color w:val="1A1A1A"/>
          <w:sz w:val="22"/>
          <w:szCs w:val="22"/>
        </w:rPr>
        <w:t xml:space="preserve">RQ1 — Adoption maturity by industry: what share of organizations in each of 20 industries is at each adoption stage (no RFID / piloting / partial production / full production) in 2026?</w:t>
      </w:r>
    </w:p>
    <w:p>
      <w:pPr>
        <w:pStyle w:val="ListParagraph"/>
        <w:numPr>
          <w:ilvl w:val="0"/>
          <w:numId w:val="3"/>
        </w:numPr>
        <w:spacing w:after="80" w:line="300"/>
      </w:pPr>
      <w:r>
        <w:rPr>
          <w:rFonts w:ascii="Arial" w:cs="Arial" w:eastAsia="Arial" w:hAnsi="Arial"/>
          <w:color w:val="1A1A1A"/>
          <w:sz w:val="22"/>
          <w:szCs w:val="22"/>
        </w:rPr>
        <w:t xml:space="preserve">RQ2 — Mandate compliance progress: among industries with a live mandate, what share of obligated organizations are on track to meet their deadline, at risk, or already in violation?</w:t>
      </w:r>
    </w:p>
    <w:p>
      <w:pPr>
        <w:pStyle w:val="ListParagraph"/>
        <w:numPr>
          <w:ilvl w:val="0"/>
          <w:numId w:val="3"/>
        </w:numPr>
        <w:spacing w:after="80" w:line="300"/>
      </w:pPr>
      <w:r>
        <w:rPr>
          <w:rFonts w:ascii="Arial" w:cs="Arial" w:eastAsia="Arial" w:hAnsi="Arial"/>
          <w:color w:val="1A1A1A"/>
          <w:sz w:val="22"/>
          <w:szCs w:val="22"/>
        </w:rPr>
        <w:t xml:space="preserve">RQ3 — KPI lift realism: what KPI lift do organizations actually realize post-deployment, versus the lift they expected pre-deployment? (Inventory accuracy, BOPIS fulfilment, shrink, labor cost, mandate fines, customer satisfaction.)</w:t>
      </w:r>
    </w:p>
    <w:p>
      <w:pPr>
        <w:pStyle w:val="ListParagraph"/>
        <w:numPr>
          <w:ilvl w:val="0"/>
          <w:numId w:val="3"/>
        </w:numPr>
        <w:spacing w:after="80" w:line="300"/>
      </w:pPr>
      <w:r>
        <w:rPr>
          <w:rFonts w:ascii="Arial" w:cs="Arial" w:eastAsia="Arial" w:hAnsi="Arial"/>
          <w:color w:val="1A1A1A"/>
          <w:sz w:val="22"/>
          <w:szCs w:val="22"/>
        </w:rPr>
        <w:t xml:space="preserve">RQ4 — Vendor selection criteria: which factors do RFID buyers rank highest when choosing a hardware vendor — price, compliance documentation, lead time, customization, RFID Lab certification, sustainability, country of origin?</w:t>
      </w:r>
    </w:p>
    <w:p>
      <w:pPr>
        <w:pStyle w:val="ListParagraph"/>
        <w:numPr>
          <w:ilvl w:val="0"/>
          <w:numId w:val="3"/>
        </w:numPr>
        <w:spacing w:after="80" w:line="300"/>
      </w:pPr>
      <w:r>
        <w:rPr>
          <w:rFonts w:ascii="Arial" w:cs="Arial" w:eastAsia="Arial" w:hAnsi="Arial"/>
          <w:color w:val="1A1A1A"/>
          <w:sz w:val="22"/>
          <w:szCs w:val="22"/>
        </w:rPr>
        <w:t xml:space="preserve">RQ5 — 2027 deployment intent: what share of organizations plan to expand, hold or roll back their RFID deployment in the next 12 months, and what is the dominant driver of each decision?</w:t>
      </w:r>
    </w:p>
    <w:p>
      <w:pPr>
        <w:pStyle w:val="Heading2"/>
        <w:spacing w:after="160" w:before="280"/>
      </w:pPr>
      <w:r>
        <w:rPr>
          <w:rFonts w:ascii="Arial" w:cs="Arial" w:eastAsia="Arial" w:hAnsi="Arial"/>
          <w:b/>
          <w:bCs/>
          <w:color w:val="1A1A1A"/>
          <w:sz w:val="28"/>
          <w:szCs w:val="28"/>
        </w:rPr>
        <w:t xml:space="preserve">2.2 Pre-registered hypotheses</w:t>
      </w:r>
    </w:p>
    <w:p>
      <w:pPr>
        <w:pStyle w:val="ListParagraph"/>
        <w:numPr>
          <w:ilvl w:val="0"/>
          <w:numId w:val="2"/>
        </w:numPr>
        <w:spacing w:after="80" w:line="300"/>
      </w:pPr>
      <w:r>
        <w:rPr>
          <w:rFonts w:ascii="Arial" w:cs="Arial" w:eastAsia="Arial" w:hAnsi="Arial"/>
          <w:color w:val="1A1A1A"/>
          <w:sz w:val="22"/>
          <w:szCs w:val="22"/>
        </w:rPr>
        <w:t xml:space="preserve">H1 — Retail-apparel adoption rate (% organizations in full production) exceeds 65% in 2026, driven by Walmart Tier 2/3 mandate expansion and Inditex / H&amp;M source-tagging adoption.</w:t>
      </w:r>
    </w:p>
    <w:p>
      <w:pPr>
        <w:pStyle w:val="ListParagraph"/>
        <w:numPr>
          <w:ilvl w:val="0"/>
          <w:numId w:val="2"/>
        </w:numPr>
        <w:spacing w:after="80" w:line="300"/>
      </w:pPr>
      <w:r>
        <w:rPr>
          <w:rFonts w:ascii="Arial" w:cs="Arial" w:eastAsia="Arial" w:hAnsi="Arial"/>
          <w:color w:val="1A1A1A"/>
          <w:sz w:val="22"/>
          <w:szCs w:val="22"/>
        </w:rPr>
        <w:t xml:space="preserve">H2 — Pharmaceutical full-production adoption is lower than retail-apparel despite DSCSA enforcement, because 2D barcode remains the dominant carrier at the dispense node.</w:t>
      </w:r>
    </w:p>
    <w:p>
      <w:pPr>
        <w:pStyle w:val="ListParagraph"/>
        <w:numPr>
          <w:ilvl w:val="0"/>
          <w:numId w:val="2"/>
        </w:numPr>
        <w:spacing w:after="80" w:line="300"/>
      </w:pPr>
      <w:r>
        <w:rPr>
          <w:rFonts w:ascii="Arial" w:cs="Arial" w:eastAsia="Arial" w:hAnsi="Arial"/>
          <w:color w:val="1A1A1A"/>
          <w:sz w:val="22"/>
          <w:szCs w:val="22"/>
        </w:rPr>
        <w:t xml:space="preserve">H3 — Hospitality NFC credential adoption among 4-star+ properties exceeds 80% but is below 30% among 2-star and limited-service properties.</w:t>
      </w:r>
    </w:p>
    <w:p>
      <w:pPr>
        <w:pStyle w:val="ListParagraph"/>
        <w:numPr>
          <w:ilvl w:val="0"/>
          <w:numId w:val="2"/>
        </w:numPr>
        <w:spacing w:after="80" w:line="300"/>
      </w:pPr>
      <w:r>
        <w:rPr>
          <w:rFonts w:ascii="Arial" w:cs="Arial" w:eastAsia="Arial" w:hAnsi="Arial"/>
          <w:color w:val="1A1A1A"/>
          <w:sz w:val="22"/>
          <w:szCs w:val="22"/>
        </w:rPr>
        <w:t xml:space="preserve">H4 — EU Digital Product Passport readiness among textile and battery suppliers selling into the EU lags the announced 2027 mandate by ≥18 months on the median respondent.</w:t>
      </w:r>
    </w:p>
    <w:p>
      <w:pPr>
        <w:pStyle w:val="ListParagraph"/>
        <w:numPr>
          <w:ilvl w:val="0"/>
          <w:numId w:val="2"/>
        </w:numPr>
        <w:spacing w:after="80" w:line="300"/>
      </w:pPr>
      <w:r>
        <w:rPr>
          <w:rFonts w:ascii="Arial" w:cs="Arial" w:eastAsia="Arial" w:hAnsi="Arial"/>
          <w:color w:val="1A1A1A"/>
          <w:sz w:val="22"/>
          <w:szCs w:val="22"/>
        </w:rPr>
        <w:t xml:space="preserve">H5 — Inventory accuracy lift among retail RFID full-production organizations is between 22 and 28 percentage points (from a 71% barcode baseline to 94–98% post-deployment).</w:t>
      </w:r>
    </w:p>
    <w:p>
      <w:pPr>
        <w:pStyle w:val="Heading2"/>
        <w:spacing w:after="160" w:before="280"/>
      </w:pPr>
      <w:r>
        <w:rPr>
          <w:rFonts w:ascii="Arial" w:cs="Arial" w:eastAsia="Arial" w:hAnsi="Arial"/>
          <w:b/>
          <w:bCs/>
          <w:color w:val="1A1A1A"/>
          <w:sz w:val="28"/>
          <w:szCs w:val="28"/>
        </w:rPr>
        <w:t xml:space="preserve">2.3 Secondary descriptive analyses (not hypothesis-tested)</w:t>
      </w:r>
    </w:p>
    <w:p>
      <w:pPr>
        <w:pStyle w:val="ListParagraph"/>
        <w:numPr>
          <w:ilvl w:val="0"/>
          <w:numId w:val="2"/>
        </w:numPr>
        <w:spacing w:after="80" w:line="300"/>
      </w:pPr>
      <w:r>
        <w:rPr>
          <w:rFonts w:ascii="Arial" w:cs="Arial" w:eastAsia="Arial" w:hAnsi="Arial"/>
          <w:color w:val="1A1A1A"/>
          <w:sz w:val="22"/>
          <w:szCs w:val="22"/>
        </w:rPr>
        <w:t xml:space="preserve">Country-of-origin sourcing preferences (China, Vietnam, Mexico, US) by industry and organization size.</w:t>
      </w:r>
    </w:p>
    <w:p>
      <w:pPr>
        <w:pStyle w:val="ListParagraph"/>
        <w:numPr>
          <w:ilvl w:val="0"/>
          <w:numId w:val="2"/>
        </w:numPr>
        <w:spacing w:after="80" w:line="300"/>
      </w:pPr>
      <w:r>
        <w:rPr>
          <w:rFonts w:ascii="Arial" w:cs="Arial" w:eastAsia="Arial" w:hAnsi="Arial"/>
          <w:color w:val="1A1A1A"/>
          <w:sz w:val="22"/>
          <w:szCs w:val="22"/>
        </w:rPr>
        <w:t xml:space="preserve">Average per-unit tag pricing reported, by industry and chip family (NTAG, MIFARE, Monza, UCODE, Higgs).</w:t>
      </w:r>
    </w:p>
    <w:p>
      <w:pPr>
        <w:pStyle w:val="ListParagraph"/>
        <w:numPr>
          <w:ilvl w:val="0"/>
          <w:numId w:val="2"/>
        </w:numPr>
        <w:spacing w:after="80" w:line="300"/>
      </w:pPr>
      <w:r>
        <w:rPr>
          <w:rFonts w:ascii="Arial" w:cs="Arial" w:eastAsia="Arial" w:hAnsi="Arial"/>
          <w:color w:val="1A1A1A"/>
          <w:sz w:val="22"/>
          <w:szCs w:val="22"/>
        </w:rPr>
        <w:t xml:space="preserve">Most-cited barriers to RFID expansion: capex, integration complexity, IT staffing, change management, ROI uncertainty.</w:t>
      </w:r>
    </w:p>
    <w:p>
      <w:pPr>
        <w:pStyle w:val="ListParagraph"/>
        <w:numPr>
          <w:ilvl w:val="0"/>
          <w:numId w:val="2"/>
        </w:numPr>
        <w:spacing w:after="80" w:line="300"/>
      </w:pPr>
      <w:r>
        <w:rPr>
          <w:rFonts w:ascii="Arial" w:cs="Arial" w:eastAsia="Arial" w:hAnsi="Arial"/>
          <w:color w:val="1A1A1A"/>
          <w:sz w:val="22"/>
          <w:szCs w:val="22"/>
        </w:rPr>
        <w:t xml:space="preserve">Vendor consolidation: % of respondents using a single hardware vendor across their RFID footprint vs multi-vendor.</w:t>
      </w:r>
    </w:p>
    <w:p>
      <w:pPr>
        <w:pStyle w:val="Heading1"/>
        <w:spacing w:after="200" w:before="360"/>
      </w:pPr>
      <w:r>
        <w:rPr>
          <w:rFonts w:ascii="Arial" w:cs="Arial" w:eastAsia="Arial" w:hAnsi="Arial"/>
          <w:b/>
          <w:bCs/>
          <w:color w:val="1A1A1A"/>
          <w:sz w:val="36"/>
          <w:szCs w:val="36"/>
        </w:rPr>
        <w:t xml:space="preserve">3. Methodology</w:t>
      </w:r>
    </w:p>
    <w:p>
      <w:pPr>
        <w:spacing w:after="120" w:line="320"/>
      </w:pPr>
      <w:r>
        <w:rPr>
          <w:rFonts w:ascii="Arial" w:cs="Arial" w:eastAsia="Arial" w:hAnsi="Arial"/>
          <w:color w:val="1A1A1A"/>
          <w:sz w:val="22"/>
          <w:szCs w:val="22"/>
        </w:rPr>
        <w:t xml:space="preserve">Mixed methods. Quantitative core: 200 closed-response surveys delivered via Qualtrics XM. Qualitative complement: 20 expert interviews (60–75 minutes each) — one per industry vertical — for context, anomaly investigation and stakeholder quotes that may be used in the report.</w:t>
      </w:r>
    </w:p>
    <w:p>
      <w:pPr>
        <w:pStyle w:val="Heading2"/>
        <w:spacing w:after="160" w:before="280"/>
      </w:pPr>
      <w:r>
        <w:rPr>
          <w:rFonts w:ascii="Arial" w:cs="Arial" w:eastAsia="Arial" w:hAnsi="Arial"/>
          <w:b/>
          <w:bCs/>
          <w:color w:val="1A1A1A"/>
          <w:sz w:val="28"/>
          <w:szCs w:val="28"/>
        </w:rPr>
        <w:t xml:space="preserve">3.1 Quantitative survey</w:t>
      </w:r>
    </w:p>
    <w:p>
      <w:pPr>
        <w:pStyle w:val="ListParagraph"/>
        <w:numPr>
          <w:ilvl w:val="0"/>
          <w:numId w:val="2"/>
        </w:numPr>
        <w:spacing w:after="80" w:line="300"/>
      </w:pPr>
      <w:r>
        <w:rPr>
          <w:rFonts w:ascii="Arial" w:cs="Arial" w:eastAsia="Arial" w:hAnsi="Arial"/>
          <w:color w:val="1A1A1A"/>
          <w:sz w:val="22"/>
          <w:szCs w:val="22"/>
        </w:rPr>
        <w:t xml:space="preserve">Platform: Qualtrics XM (academic edition licensed via Proud Tek).</w:t>
      </w:r>
    </w:p>
    <w:p>
      <w:pPr>
        <w:pStyle w:val="ListParagraph"/>
        <w:numPr>
          <w:ilvl w:val="0"/>
          <w:numId w:val="2"/>
        </w:numPr>
        <w:spacing w:after="80" w:line="300"/>
      </w:pPr>
      <w:r>
        <w:rPr>
          <w:rFonts w:ascii="Arial" w:cs="Arial" w:eastAsia="Arial" w:hAnsi="Arial"/>
          <w:color w:val="1A1A1A"/>
          <w:sz w:val="22"/>
          <w:szCs w:val="22"/>
        </w:rPr>
        <w:t xml:space="preserve">Mode: online self-administered. Mobile-optimized.</w:t>
      </w:r>
    </w:p>
    <w:p>
      <w:pPr>
        <w:pStyle w:val="ListParagraph"/>
        <w:numPr>
          <w:ilvl w:val="0"/>
          <w:numId w:val="2"/>
        </w:numPr>
        <w:spacing w:after="80" w:line="300"/>
      </w:pPr>
      <w:r>
        <w:rPr>
          <w:rFonts w:ascii="Arial" w:cs="Arial" w:eastAsia="Arial" w:hAnsi="Arial"/>
          <w:color w:val="1A1A1A"/>
          <w:sz w:val="22"/>
          <w:szCs w:val="22"/>
        </w:rPr>
        <w:t xml:space="preserve">Length: 25 common questions + 5 industry-specific. Target median completion 14 minutes; cap 25 minutes.</w:t>
      </w:r>
    </w:p>
    <w:p>
      <w:pPr>
        <w:pStyle w:val="ListParagraph"/>
        <w:numPr>
          <w:ilvl w:val="0"/>
          <w:numId w:val="2"/>
        </w:numPr>
        <w:spacing w:after="80" w:line="300"/>
      </w:pPr>
      <w:r>
        <w:rPr>
          <w:rFonts w:ascii="Arial" w:cs="Arial" w:eastAsia="Arial" w:hAnsi="Arial"/>
          <w:color w:val="1A1A1A"/>
          <w:sz w:val="22"/>
          <w:szCs w:val="22"/>
        </w:rPr>
        <w:t xml:space="preserve">Question types: Likert-7 scales, ranked-choice (5-item), single-choice multiple-choice, numeric entry with validation, two open-text fields capped at 500 characters.</w:t>
      </w:r>
    </w:p>
    <w:p>
      <w:pPr>
        <w:pStyle w:val="ListParagraph"/>
        <w:numPr>
          <w:ilvl w:val="0"/>
          <w:numId w:val="2"/>
        </w:numPr>
        <w:spacing w:after="80" w:line="300"/>
      </w:pPr>
      <w:r>
        <w:rPr>
          <w:rFonts w:ascii="Arial" w:cs="Arial" w:eastAsia="Arial" w:hAnsi="Arial"/>
          <w:color w:val="1A1A1A"/>
          <w:sz w:val="22"/>
          <w:szCs w:val="22"/>
        </w:rPr>
        <w:t xml:space="preserve">Branching: industry self-identification on Q3 triggers an industry-specific block of 5 items.</w:t>
      </w:r>
    </w:p>
    <w:p>
      <w:pPr>
        <w:pStyle w:val="ListParagraph"/>
        <w:numPr>
          <w:ilvl w:val="0"/>
          <w:numId w:val="2"/>
        </w:numPr>
        <w:spacing w:after="80" w:line="300"/>
      </w:pPr>
      <w:r>
        <w:rPr>
          <w:rFonts w:ascii="Arial" w:cs="Arial" w:eastAsia="Arial" w:hAnsi="Arial"/>
          <w:color w:val="1A1A1A"/>
          <w:sz w:val="22"/>
          <w:szCs w:val="22"/>
        </w:rPr>
        <w:t xml:space="preserve">Attention checks: 2 instructed-response items at positions 11 and 22.</w:t>
      </w:r>
    </w:p>
    <w:p>
      <w:pPr>
        <w:pStyle w:val="ListParagraph"/>
        <w:numPr>
          <w:ilvl w:val="0"/>
          <w:numId w:val="2"/>
        </w:numPr>
        <w:spacing w:after="80" w:line="300"/>
      </w:pPr>
      <w:r>
        <w:rPr>
          <w:rFonts w:ascii="Arial" w:cs="Arial" w:eastAsia="Arial" w:hAnsi="Arial"/>
          <w:color w:val="1A1A1A"/>
          <w:sz w:val="22"/>
          <w:szCs w:val="22"/>
        </w:rPr>
        <w:t xml:space="preserve">Quality controls: completion-time outlier exclusion (top 2%, bottom 2%), straight-line response detection on Likert batteries, IP + email-domain deduplication.</w:t>
      </w:r>
    </w:p>
    <w:p>
      <w:pPr>
        <w:pStyle w:val="Heading2"/>
        <w:spacing w:after="160" w:before="280"/>
      </w:pPr>
      <w:r>
        <w:rPr>
          <w:rFonts w:ascii="Arial" w:cs="Arial" w:eastAsia="Arial" w:hAnsi="Arial"/>
          <w:b/>
          <w:bCs/>
          <w:color w:val="1A1A1A"/>
          <w:sz w:val="28"/>
          <w:szCs w:val="28"/>
        </w:rPr>
        <w:t xml:space="preserve">3.2 Qualitative interviews</w:t>
      </w:r>
    </w:p>
    <w:p>
      <w:pPr>
        <w:pStyle w:val="ListParagraph"/>
        <w:numPr>
          <w:ilvl w:val="0"/>
          <w:numId w:val="2"/>
        </w:numPr>
        <w:spacing w:after="80" w:line="300"/>
      </w:pPr>
      <w:r>
        <w:rPr>
          <w:rFonts w:ascii="Arial" w:cs="Arial" w:eastAsia="Arial" w:hAnsi="Arial"/>
          <w:color w:val="1A1A1A"/>
          <w:sz w:val="22"/>
          <w:szCs w:val="22"/>
        </w:rPr>
        <w:t xml:space="preserve">Format: 60–75-minute semi-structured Zoom video calls, recorded with consent.</w:t>
      </w:r>
    </w:p>
    <w:p>
      <w:pPr>
        <w:pStyle w:val="ListParagraph"/>
        <w:numPr>
          <w:ilvl w:val="0"/>
          <w:numId w:val="2"/>
        </w:numPr>
        <w:spacing w:after="80" w:line="300"/>
      </w:pPr>
      <w:r>
        <w:rPr>
          <w:rFonts w:ascii="Arial" w:cs="Arial" w:eastAsia="Arial" w:hAnsi="Arial"/>
          <w:color w:val="1A1A1A"/>
          <w:sz w:val="22"/>
          <w:szCs w:val="22"/>
        </w:rPr>
        <w:t xml:space="preserve">Sample: 20 expert respondents, one per industry; recruited from the highest-decision-authority respondents in the survey sample plus targeted outreach to industry-association leaders.</w:t>
      </w:r>
    </w:p>
    <w:p>
      <w:pPr>
        <w:pStyle w:val="ListParagraph"/>
        <w:numPr>
          <w:ilvl w:val="0"/>
          <w:numId w:val="2"/>
        </w:numPr>
        <w:spacing w:after="80" w:line="300"/>
      </w:pPr>
      <w:r>
        <w:rPr>
          <w:rFonts w:ascii="Arial" w:cs="Arial" w:eastAsia="Arial" w:hAnsi="Arial"/>
          <w:color w:val="1A1A1A"/>
          <w:sz w:val="22"/>
          <w:szCs w:val="22"/>
        </w:rPr>
        <w:t xml:space="preserve">Compensation: USD 200 honorarium per completed interview, donated to a charity of the respondent's choice if they prefer.</w:t>
      </w:r>
    </w:p>
    <w:p>
      <w:pPr>
        <w:pStyle w:val="ListParagraph"/>
        <w:numPr>
          <w:ilvl w:val="0"/>
          <w:numId w:val="2"/>
        </w:numPr>
        <w:spacing w:after="80" w:line="300"/>
      </w:pPr>
      <w:r>
        <w:rPr>
          <w:rFonts w:ascii="Arial" w:cs="Arial" w:eastAsia="Arial" w:hAnsi="Arial"/>
          <w:color w:val="1A1A1A"/>
          <w:sz w:val="22"/>
          <w:szCs w:val="22"/>
        </w:rPr>
        <w:t xml:space="preserve">Transcription: Otter.ai → human review for accuracy.</w:t>
      </w:r>
    </w:p>
    <w:p>
      <w:pPr>
        <w:pStyle w:val="ListParagraph"/>
        <w:numPr>
          <w:ilvl w:val="0"/>
          <w:numId w:val="2"/>
        </w:numPr>
        <w:spacing w:after="80" w:line="300"/>
      </w:pPr>
      <w:r>
        <w:rPr>
          <w:rFonts w:ascii="Arial" w:cs="Arial" w:eastAsia="Arial" w:hAnsi="Arial"/>
          <w:color w:val="1A1A1A"/>
          <w:sz w:val="22"/>
          <w:szCs w:val="22"/>
        </w:rPr>
        <w:t xml:space="preserve">Analysis: thematic coding in Atlas.ti by two coders, with inter-rater reliability check (target Cohen's κ ≥ 0.70).</w:t>
      </w:r>
    </w:p>
    <w:p>
      <w:pPr>
        <w:pStyle w:val="Heading2"/>
        <w:spacing w:after="160" w:before="280"/>
      </w:pPr>
      <w:r>
        <w:rPr>
          <w:rFonts w:ascii="Arial" w:cs="Arial" w:eastAsia="Arial" w:hAnsi="Arial"/>
          <w:b/>
          <w:bCs/>
          <w:color w:val="1A1A1A"/>
          <w:sz w:val="28"/>
          <w:szCs w:val="28"/>
        </w:rPr>
        <w:t xml:space="preserve">3.3 Why mixed methods</w:t>
      </w:r>
    </w:p>
    <w:p>
      <w:pPr>
        <w:spacing w:after="120" w:line="320"/>
      </w:pPr>
      <w:r>
        <w:rPr>
          <w:rFonts w:ascii="Arial" w:cs="Arial" w:eastAsia="Arial" w:hAnsi="Arial"/>
          <w:color w:val="1A1A1A"/>
          <w:sz w:val="22"/>
          <w:szCs w:val="22"/>
        </w:rPr>
        <w:t xml:space="preserve">Quantitative survey answers "how widespread" — qualitative interviews answer "why". A pure-quant report would yield top-line statistics that AI engines cite but lack the explanatory texture that journalists need for a feature story. A pure-qual report would yield rich narrative but no defensible adoption numbers. The Index needs both to land in the citation graphs of both AI search and trade press.</w:t>
      </w:r>
    </w:p>
    <w:p>
      <w:pPr>
        <w:pStyle w:val="Heading1"/>
        <w:spacing w:after="200" w:before="360"/>
      </w:pPr>
      <w:r>
        <w:rPr>
          <w:rFonts w:ascii="Arial" w:cs="Arial" w:eastAsia="Arial" w:hAnsi="Arial"/>
          <w:b/>
          <w:bCs/>
          <w:color w:val="1A1A1A"/>
          <w:sz w:val="36"/>
          <w:szCs w:val="36"/>
        </w:rPr>
        <w:t xml:space="preserve">4. Sampling frame and quota plan</w:t>
      </w:r>
    </w:p>
    <w:p>
      <w:pPr>
        <w:spacing w:after="120" w:line="320"/>
      </w:pPr>
      <w:r>
        <w:rPr>
          <w:rFonts w:ascii="Arial" w:cs="Arial" w:eastAsia="Arial" w:hAnsi="Arial"/>
          <w:color w:val="1A1A1A"/>
          <w:sz w:val="22"/>
          <w:szCs w:val="22"/>
        </w:rPr>
        <w:t xml:space="preserve">Industry-stratified quota sample. Target N=10 completed responses per industry × 20 industries = 200. Quotas are exact (not soft targets) — recruitment continues per industry until N=10 is reached, after which that industry's recruitment funnel is closed.</w:t>
      </w:r>
    </w:p>
    <w:p>
      <w:pPr>
        <w:pStyle w:val="Heading2"/>
        <w:spacing w:after="160" w:before="280"/>
      </w:pPr>
      <w:r>
        <w:rPr>
          <w:rFonts w:ascii="Arial" w:cs="Arial" w:eastAsia="Arial" w:hAnsi="Arial"/>
          <w:b/>
          <w:bCs/>
          <w:color w:val="1A1A1A"/>
          <w:sz w:val="28"/>
          <w:szCs w:val="28"/>
        </w:rPr>
        <w:t xml:space="preserve">4.1 Why N=10 per industry</w:t>
      </w:r>
    </w:p>
    <w:p>
      <w:pPr>
        <w:spacing w:after="120" w:line="320"/>
      </w:pPr>
      <w:r>
        <w:rPr>
          <w:rFonts w:ascii="Arial" w:cs="Arial" w:eastAsia="Arial" w:hAnsi="Arial"/>
          <w:color w:val="1A1A1A"/>
          <w:sz w:val="22"/>
          <w:szCs w:val="22"/>
        </w:rPr>
        <w:t xml:space="preserve">A vendor-neutral RFID adoption survey reaches diminishing returns above N≈10 per industry because the qualifying respondents (RFID-literate decision-makers in each vertical) are a narrow population and acquiring respondent N=11+ usually requires moving down the seniority ladder, which biases the sample. N=10 supports descriptive statistics (median, 25th/75th percentile, share-in-each-bucket) and exact tests but does not support fine-grained regression with many covariates. For deeper modelling we would need N=30+ per industry, which is outside the budget envelope of this study.</w:t>
      </w:r>
    </w:p>
    <w:p>
      <w:pPr>
        <w:pStyle w:val="Heading2"/>
        <w:spacing w:after="160" w:before="280"/>
      </w:pPr>
      <w:r>
        <w:rPr>
          <w:rFonts w:ascii="Arial" w:cs="Arial" w:eastAsia="Arial" w:hAnsi="Arial"/>
          <w:b/>
          <w:bCs/>
          <w:color w:val="1A1A1A"/>
          <w:sz w:val="28"/>
          <w:szCs w:val="28"/>
        </w:rPr>
        <w:t xml:space="preserve">4.2 Sampling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Industry</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Target N</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Eligibility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Retail &amp; apparel</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Procurement, supply chain or store-ops decision-maker at a retailer or apparel brand with ≥USD 50M revenue.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Hospitality</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IT, ops or guest-experience leader at a hotel chain, resort, theme park, casino or restaurant group.</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Healthcare</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Materials manager, biomedical engineer, IT or clinical-ops leader at a hospital or health system.</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Events &amp; venues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Operations or ticketing lead at a stadium, arena, festival, conference or theme park.</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Logistics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Supply-chain, warehouse, freight or last-mile leader at a 3PL, carrier or shipper.</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Industrial</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Plant manager, supply-chain or asset-tracking lead at a manufacturer.</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Libraries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Library director, collections manager or systems librarian at a public, academic or special library.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Laundry services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Operations leader at a commercial laundry, healthcare linen service or uniform rental.</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Pharmaceutical</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Serialization, packaging or compliance leader at a pharma manufacturer or repackager.</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Luxury brands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Anti-counterfeit, supply chain or brand-protection lead at a luxury brand.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Brand protection</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Anti-counterfeit, IP or supply-chain lead at any consumer brand running an authentication program.</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Education</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Campus card / facilities / library systems lead at a K-12 district or higher-ed institution.</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Fitness</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Operations or IT lead at a multi-location fitness chain or boutique studio brand.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Agriculture</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Livestock manager, agronomist or supply-chain lead at a farm, cooperative or processor.</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EU compliance</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Sustainability, packaging or compliance lead at a brand selling into the EU and preparing for ESPR / battery passport.</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Automotive &amp; tire OEM</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Tire manufacturer or Tier-1 supplier production / quality / serialization lead.</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Aerospace &amp; aviation MRO</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Engineering, MRO or supply-chain lead at an airline, MRO provider or aircraft-parts manufacturer.</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Data center &amp; IT asset tracking</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Facilities, IT-asset or DCIM lead at a hyperscaler, colocation or enterprise data center.</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Government &amp; defense</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Logistics, IUID or supply-chain lead at a defense contractor or government agency.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Cold chain &amp; food traceability</w:t>
            </w:r>
          </w:p>
        </w:tc>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1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Cold-chain ops, FSMA 204 or seafood-traceability lead at a producer, processor or 3PL.</w:t>
            </w:r>
          </w:p>
        </w:tc>
      </w:tr>
    </w:tbl>
    <w:p>
      <w:pPr>
        <w:pStyle w:val="Heading1"/>
        <w:spacing w:after="200" w:before="360"/>
      </w:pPr>
      <w:r>
        <w:rPr>
          <w:rFonts w:ascii="Arial" w:cs="Arial" w:eastAsia="Arial" w:hAnsi="Arial"/>
          <w:b/>
          <w:bCs/>
          <w:color w:val="1A1A1A"/>
          <w:sz w:val="36"/>
          <w:szCs w:val="36"/>
        </w:rPr>
        <w:t xml:space="preserve">5. Recruitment strategy</w:t>
      </w:r>
    </w:p>
    <w:p>
      <w:pPr>
        <w:spacing w:after="120" w:line="320"/>
      </w:pPr>
      <w:r>
        <w:rPr>
          <w:rFonts w:ascii="Arial" w:cs="Arial" w:eastAsia="Arial" w:hAnsi="Arial"/>
          <w:color w:val="1A1A1A"/>
          <w:sz w:val="22"/>
          <w:szCs w:val="22"/>
        </w:rPr>
        <w:t xml:space="preserve">Multi-channel recruitment to avoid the panel-bias and self-selection-bias that single-source vendor surveys are usually criticized for. Five channels, each with a target share of the final sample. If any single channel exceeds 40% of completed responses, fieldwork pauses and the team reviews the bias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Target %</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Mechanics</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LinkedIn Sales Navigator</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35%</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Filtered InMail outreach: job title (procurement / IT / ops / supply chain) × industry × company-size band. Personal note from research lead, not Proud Tek sales.</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Centiment B2B panel</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30%</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Paid third-party B2B respondent panel. Centiment handles incentive (USD 75 per completed B2B response in 2026 standard rate).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Trade-association directories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15%</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Member outreach via RAIN Alliance, ATA, AHLA, NRF, HIMSS, AAMI, RFID Journal member directories. Opt-in only; one outreach per quarter cap.</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Conference badge-scan follow-up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Post-event email to attendees of NRF Big Show 2026, HIMSS Global 2026, RFID Journal Live! 2026, PACK EXPO, ProMat 2026. Opt-in at time of scan.</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Proud Tek client referrals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10% cap</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Existing-client mailing list. Hard-capped at 10% to prevent client-base bias. Disclosed in methodology appendix and exclusion-tested in robustness analysis.</w:t>
            </w:r>
          </w:p>
        </w:tc>
      </w:tr>
    </w:tbl>
    <w:p>
      <w:pPr>
        <w:pStyle w:val="Heading2"/>
        <w:spacing w:after="160" w:before="280"/>
      </w:pPr>
      <w:r>
        <w:rPr>
          <w:rFonts w:ascii="Arial" w:cs="Arial" w:eastAsia="Arial" w:hAnsi="Arial"/>
          <w:b/>
          <w:bCs/>
          <w:color w:val="1A1A1A"/>
          <w:sz w:val="28"/>
          <w:szCs w:val="28"/>
        </w:rPr>
        <w:t xml:space="preserve">5.1 Incentives</w:t>
      </w:r>
    </w:p>
    <w:p>
      <w:pPr>
        <w:pStyle w:val="ListParagraph"/>
        <w:numPr>
          <w:ilvl w:val="0"/>
          <w:numId w:val="2"/>
        </w:numPr>
        <w:spacing w:after="80" w:line="300"/>
      </w:pPr>
      <w:r>
        <w:rPr>
          <w:rFonts w:ascii="Arial" w:cs="Arial" w:eastAsia="Arial" w:hAnsi="Arial"/>
          <w:color w:val="1A1A1A"/>
          <w:sz w:val="22"/>
          <w:szCs w:val="22"/>
        </w:rPr>
        <w:t xml:space="preserve">Per-response: early-access to the full report 14 days before public release.</w:t>
      </w:r>
    </w:p>
    <w:p>
      <w:pPr>
        <w:pStyle w:val="ListParagraph"/>
        <w:numPr>
          <w:ilvl w:val="0"/>
          <w:numId w:val="2"/>
        </w:numPr>
        <w:spacing w:after="80" w:line="300"/>
      </w:pPr>
      <w:r>
        <w:rPr>
          <w:rFonts w:ascii="Arial" w:cs="Arial" w:eastAsia="Arial" w:hAnsi="Arial"/>
          <w:color w:val="1A1A1A"/>
          <w:sz w:val="22"/>
          <w:szCs w:val="22"/>
        </w:rPr>
        <w:t xml:space="preserve">Charitable donation option: USD 50 donated per completed response to one of three charities the respondent chooses (Doctors Without Borders, World Food Programme, Khan Academy).</w:t>
      </w:r>
    </w:p>
    <w:p>
      <w:pPr>
        <w:pStyle w:val="ListParagraph"/>
        <w:numPr>
          <w:ilvl w:val="0"/>
          <w:numId w:val="2"/>
        </w:numPr>
        <w:spacing w:after="80" w:line="300"/>
      </w:pPr>
      <w:r>
        <w:rPr>
          <w:rFonts w:ascii="Arial" w:cs="Arial" w:eastAsia="Arial" w:hAnsi="Arial"/>
          <w:color w:val="1A1A1A"/>
          <w:sz w:val="22"/>
          <w:szCs w:val="22"/>
        </w:rPr>
        <w:t xml:space="preserve">Prize draw: 5 × USD 500 Amazon vouchers, drawn at fieldwork close.</w:t>
      </w:r>
    </w:p>
    <w:p>
      <w:pPr>
        <w:pStyle w:val="ListParagraph"/>
        <w:numPr>
          <w:ilvl w:val="0"/>
          <w:numId w:val="2"/>
        </w:numPr>
        <w:spacing w:after="80" w:line="300"/>
      </w:pPr>
      <w:r>
        <w:rPr>
          <w:rFonts w:ascii="Arial" w:cs="Arial" w:eastAsia="Arial" w:hAnsi="Arial"/>
          <w:color w:val="1A1A1A"/>
          <w:sz w:val="22"/>
          <w:szCs w:val="22"/>
        </w:rPr>
        <w:t xml:space="preserve">Centiment-channel respondents receive Centiment's standard panel incentive (handled by the panel, not Proud Tek).</w:t>
      </w:r>
    </w:p>
    <w:p>
      <w:pPr>
        <w:pStyle w:val="Heading2"/>
        <w:spacing w:after="160" w:before="280"/>
      </w:pPr>
      <w:r>
        <w:rPr>
          <w:rFonts w:ascii="Arial" w:cs="Arial" w:eastAsia="Arial" w:hAnsi="Arial"/>
          <w:b/>
          <w:bCs/>
          <w:color w:val="1A1A1A"/>
          <w:sz w:val="28"/>
          <w:szCs w:val="28"/>
        </w:rPr>
        <w:t xml:space="preserve">5.2 Recruitment governance</w:t>
      </w:r>
    </w:p>
    <w:p>
      <w:pPr>
        <w:pStyle w:val="ListParagraph"/>
        <w:numPr>
          <w:ilvl w:val="0"/>
          <w:numId w:val="2"/>
        </w:numPr>
        <w:spacing w:after="80" w:line="300"/>
      </w:pPr>
      <w:r>
        <w:rPr>
          <w:rFonts w:ascii="Arial" w:cs="Arial" w:eastAsia="Arial" w:hAnsi="Arial"/>
          <w:color w:val="1A1A1A"/>
          <w:sz w:val="22"/>
          <w:szCs w:val="22"/>
        </w:rPr>
        <w:t xml:space="preserve">All outreach copy is reviewed by an external research-ethics adviser before send.</w:t>
      </w:r>
    </w:p>
    <w:p>
      <w:pPr>
        <w:pStyle w:val="ListParagraph"/>
        <w:numPr>
          <w:ilvl w:val="0"/>
          <w:numId w:val="2"/>
        </w:numPr>
        <w:spacing w:after="80" w:line="300"/>
      </w:pPr>
      <w:r>
        <w:rPr>
          <w:rFonts w:ascii="Arial" w:cs="Arial" w:eastAsia="Arial" w:hAnsi="Arial"/>
          <w:color w:val="1A1A1A"/>
          <w:sz w:val="22"/>
          <w:szCs w:val="22"/>
        </w:rPr>
        <w:t xml:space="preserve">No follow-up beyond two reminders per respondent.</w:t>
      </w:r>
    </w:p>
    <w:p>
      <w:pPr>
        <w:pStyle w:val="ListParagraph"/>
        <w:numPr>
          <w:ilvl w:val="0"/>
          <w:numId w:val="2"/>
        </w:numPr>
        <w:spacing w:after="80" w:line="300"/>
      </w:pPr>
      <w:r>
        <w:rPr>
          <w:rFonts w:ascii="Arial" w:cs="Arial" w:eastAsia="Arial" w:hAnsi="Arial"/>
          <w:color w:val="1A1A1A"/>
          <w:sz w:val="22"/>
          <w:szCs w:val="22"/>
        </w:rPr>
        <w:t xml:space="preserve">A "do not contact" list is maintained from respondents who decline or unsubscribe; entries are honored across all future Proud Tek Research outreach.</w:t>
      </w:r>
    </w:p>
    <w:p>
      <w:pPr>
        <w:pStyle w:val="Heading1"/>
        <w:spacing w:after="200" w:before="360"/>
      </w:pPr>
      <w:r>
        <w:rPr>
          <w:rFonts w:ascii="Arial" w:cs="Arial" w:eastAsia="Arial" w:hAnsi="Arial"/>
          <w:b/>
          <w:bCs/>
          <w:color w:val="1A1A1A"/>
          <w:sz w:val="36"/>
          <w:szCs w:val="36"/>
        </w:rPr>
        <w:t xml:space="preserve">6. Instrument design</w:t>
      </w:r>
    </w:p>
    <w:p>
      <w:pPr>
        <w:spacing w:after="120" w:line="320"/>
      </w:pPr>
      <w:r>
        <w:rPr>
          <w:rFonts w:ascii="Arial" w:cs="Arial" w:eastAsia="Arial" w:hAnsi="Arial"/>
          <w:color w:val="1A1A1A"/>
          <w:sz w:val="22"/>
          <w:szCs w:val="22"/>
        </w:rPr>
        <w:t xml:space="preserve">The full instrument lives in the companion Survey Instrument workbook (2026-rfid-adoption-index-instrument.xlsx) alongside the analysis cross-tab plan and the dashboard skeleton. Below is the structural summary.</w:t>
      </w:r>
    </w:p>
    <w:p>
      <w:pPr>
        <w:pStyle w:val="Heading2"/>
        <w:spacing w:after="160" w:before="280"/>
      </w:pPr>
      <w:r>
        <w:rPr>
          <w:rFonts w:ascii="Arial" w:cs="Arial" w:eastAsia="Arial" w:hAnsi="Arial"/>
          <w:b/>
          <w:bCs/>
          <w:color w:val="1A1A1A"/>
          <w:sz w:val="28"/>
          <w:szCs w:val="28"/>
        </w:rPr>
        <w:t xml:space="preserve">6.1 Common stem — 25 items asked of every respondent</w:t>
      </w:r>
    </w:p>
    <w:p>
      <w:pPr>
        <w:pStyle w:val="ListParagraph"/>
        <w:numPr>
          <w:ilvl w:val="0"/>
          <w:numId w:val="2"/>
        </w:numPr>
        <w:spacing w:after="80" w:line="300"/>
      </w:pPr>
      <w:r>
        <w:rPr>
          <w:rFonts w:ascii="Arial" w:cs="Arial" w:eastAsia="Arial" w:hAnsi="Arial"/>
          <w:color w:val="1A1A1A"/>
          <w:sz w:val="22"/>
          <w:szCs w:val="22"/>
        </w:rPr>
        <w:t xml:space="preserve">Q1–Q3: Industry, role, organization-size band (screening + segmentation).</w:t>
      </w:r>
    </w:p>
    <w:p>
      <w:pPr>
        <w:pStyle w:val="ListParagraph"/>
        <w:numPr>
          <w:ilvl w:val="0"/>
          <w:numId w:val="2"/>
        </w:numPr>
        <w:spacing w:after="80" w:line="300"/>
      </w:pPr>
      <w:r>
        <w:rPr>
          <w:rFonts w:ascii="Arial" w:cs="Arial" w:eastAsia="Arial" w:hAnsi="Arial"/>
          <w:color w:val="1A1A1A"/>
          <w:sz w:val="22"/>
          <w:szCs w:val="22"/>
        </w:rPr>
        <w:t xml:space="preserve">Q4–Q7: Current RFID/NFC deployment stage, deployment year, scope (item-level, case, pallet, asset), frequency band(s) used.</w:t>
      </w:r>
    </w:p>
    <w:p>
      <w:pPr>
        <w:pStyle w:val="ListParagraph"/>
        <w:numPr>
          <w:ilvl w:val="0"/>
          <w:numId w:val="2"/>
        </w:numPr>
        <w:spacing w:after="80" w:line="300"/>
      </w:pPr>
      <w:r>
        <w:rPr>
          <w:rFonts w:ascii="Arial" w:cs="Arial" w:eastAsia="Arial" w:hAnsi="Arial"/>
          <w:color w:val="1A1A1A"/>
          <w:sz w:val="22"/>
          <w:szCs w:val="22"/>
        </w:rPr>
        <w:t xml:space="preserve">Q8–Q11: Tag spend last 12 months, projected next 12 months, primary supplier, vendor consolidation level.</w:t>
      </w:r>
    </w:p>
    <w:p>
      <w:pPr>
        <w:pStyle w:val="ListParagraph"/>
        <w:numPr>
          <w:ilvl w:val="0"/>
          <w:numId w:val="2"/>
        </w:numPr>
        <w:spacing w:after="80" w:line="300"/>
      </w:pPr>
      <w:r>
        <w:rPr>
          <w:rFonts w:ascii="Arial" w:cs="Arial" w:eastAsia="Arial" w:hAnsi="Arial"/>
          <w:color w:val="1A1A1A"/>
          <w:sz w:val="22"/>
          <w:szCs w:val="22"/>
        </w:rPr>
        <w:t xml:space="preserve">Q12–Q13: Mandate exposure (which mandates apply, on-track / at-risk / in-violation status).</w:t>
      </w:r>
    </w:p>
    <w:p>
      <w:pPr>
        <w:pStyle w:val="ListParagraph"/>
        <w:numPr>
          <w:ilvl w:val="0"/>
          <w:numId w:val="2"/>
        </w:numPr>
        <w:spacing w:after="80" w:line="300"/>
      </w:pPr>
      <w:r>
        <w:rPr>
          <w:rFonts w:ascii="Arial" w:cs="Arial" w:eastAsia="Arial" w:hAnsi="Arial"/>
          <w:color w:val="1A1A1A"/>
          <w:sz w:val="22"/>
          <w:szCs w:val="22"/>
        </w:rPr>
        <w:t xml:space="preserve">Q14–Q17: KPI lift — expected vs realized for inventory accuracy, BOPIS, shrink, labor.</w:t>
      </w:r>
    </w:p>
    <w:p>
      <w:pPr>
        <w:pStyle w:val="ListParagraph"/>
        <w:numPr>
          <w:ilvl w:val="0"/>
          <w:numId w:val="2"/>
        </w:numPr>
        <w:spacing w:after="80" w:line="300"/>
      </w:pPr>
      <w:r>
        <w:rPr>
          <w:rFonts w:ascii="Arial" w:cs="Arial" w:eastAsia="Arial" w:hAnsi="Arial"/>
          <w:color w:val="1A1A1A"/>
          <w:sz w:val="22"/>
          <w:szCs w:val="22"/>
        </w:rPr>
        <w:t xml:space="preserve">Q18: Attention check 1 (instructed response).</w:t>
      </w:r>
    </w:p>
    <w:p>
      <w:pPr>
        <w:pStyle w:val="ListParagraph"/>
        <w:numPr>
          <w:ilvl w:val="0"/>
          <w:numId w:val="2"/>
        </w:numPr>
        <w:spacing w:after="80" w:line="300"/>
      </w:pPr>
      <w:r>
        <w:rPr>
          <w:rFonts w:ascii="Arial" w:cs="Arial" w:eastAsia="Arial" w:hAnsi="Arial"/>
          <w:color w:val="1A1A1A"/>
          <w:sz w:val="22"/>
          <w:szCs w:val="22"/>
        </w:rPr>
        <w:t xml:space="preserve">Q19–Q20: Vendor selection criteria ranking; open text for "what would change your vendor preference".</w:t>
      </w:r>
    </w:p>
    <w:p>
      <w:pPr>
        <w:pStyle w:val="ListParagraph"/>
        <w:numPr>
          <w:ilvl w:val="0"/>
          <w:numId w:val="2"/>
        </w:numPr>
        <w:spacing w:after="80" w:line="300"/>
      </w:pPr>
      <w:r>
        <w:rPr>
          <w:rFonts w:ascii="Arial" w:cs="Arial" w:eastAsia="Arial" w:hAnsi="Arial"/>
          <w:color w:val="1A1A1A"/>
          <w:sz w:val="22"/>
          <w:szCs w:val="22"/>
        </w:rPr>
        <w:t xml:space="preserve">Q21: Attention check 2.</w:t>
      </w:r>
    </w:p>
    <w:p>
      <w:pPr>
        <w:pStyle w:val="ListParagraph"/>
        <w:numPr>
          <w:ilvl w:val="0"/>
          <w:numId w:val="2"/>
        </w:numPr>
        <w:spacing w:after="80" w:line="300"/>
      </w:pPr>
      <w:r>
        <w:rPr>
          <w:rFonts w:ascii="Arial" w:cs="Arial" w:eastAsia="Arial" w:hAnsi="Arial"/>
          <w:color w:val="1A1A1A"/>
          <w:sz w:val="22"/>
          <w:szCs w:val="22"/>
        </w:rPr>
        <w:t xml:space="preserve">Q22–Q24: 2027 deployment intent, budget direction, dominant driver of expansion / hold / roll-back.</w:t>
      </w:r>
    </w:p>
    <w:p>
      <w:pPr>
        <w:pStyle w:val="ListParagraph"/>
        <w:numPr>
          <w:ilvl w:val="0"/>
          <w:numId w:val="2"/>
        </w:numPr>
        <w:spacing w:after="80" w:line="300"/>
      </w:pPr>
      <w:r>
        <w:rPr>
          <w:rFonts w:ascii="Arial" w:cs="Arial" w:eastAsia="Arial" w:hAnsi="Arial"/>
          <w:color w:val="1A1A1A"/>
          <w:sz w:val="22"/>
          <w:szCs w:val="22"/>
        </w:rPr>
        <w:t xml:space="preserve">Q25: Open text — "what is the single biggest barrier to RFID expansion in your organization right now".</w:t>
      </w:r>
    </w:p>
    <w:p>
      <w:pPr>
        <w:pStyle w:val="Heading2"/>
        <w:spacing w:after="160" w:before="280"/>
      </w:pPr>
      <w:r>
        <w:rPr>
          <w:rFonts w:ascii="Arial" w:cs="Arial" w:eastAsia="Arial" w:hAnsi="Arial"/>
          <w:b/>
          <w:bCs/>
          <w:color w:val="1A1A1A"/>
          <w:sz w:val="28"/>
          <w:szCs w:val="28"/>
        </w:rPr>
        <w:t xml:space="preserve">6.2 Industry-specific blocks — 5 items per industry</w:t>
      </w:r>
    </w:p>
    <w:p>
      <w:pPr>
        <w:spacing w:after="120" w:line="320"/>
      </w:pPr>
      <w:r>
        <w:rPr>
          <w:rFonts w:ascii="Arial" w:cs="Arial" w:eastAsia="Arial" w:hAnsi="Arial"/>
          <w:color w:val="1A1A1A"/>
          <w:sz w:val="22"/>
          <w:szCs w:val="22"/>
        </w:rPr>
        <w:t xml:space="preserve">Each of the 20 industries has its own 5-item block triggered by the industry self-identification on Q3. Block contents are tuned to the regulations, KPIs and vendor ecosystem of that vertical. Examples:</w:t>
      </w:r>
    </w:p>
    <w:p>
      <w:pPr>
        <w:pStyle w:val="ListParagraph"/>
        <w:numPr>
          <w:ilvl w:val="0"/>
          <w:numId w:val="2"/>
        </w:numPr>
        <w:spacing w:after="80" w:line="300"/>
      </w:pPr>
      <w:r>
        <w:rPr>
          <w:rFonts w:ascii="Arial" w:cs="Arial" w:eastAsia="Arial" w:hAnsi="Arial"/>
          <w:color w:val="1A1A1A"/>
          <w:sz w:val="22"/>
          <w:szCs w:val="22"/>
        </w:rPr>
        <w:t xml:space="preserve">Retail-apparel block: Walmart tier status, Auburn ARC inlay certification awareness, BOPIS conversion lift, source-tagging vs DC-retrofit split, hang-tag vs woven-label vs printable-label share.</w:t>
      </w:r>
    </w:p>
    <w:p>
      <w:pPr>
        <w:pStyle w:val="ListParagraph"/>
        <w:numPr>
          <w:ilvl w:val="0"/>
          <w:numId w:val="2"/>
        </w:numPr>
        <w:spacing w:after="80" w:line="300"/>
      </w:pPr>
      <w:r>
        <w:rPr>
          <w:rFonts w:ascii="Arial" w:cs="Arial" w:eastAsia="Arial" w:hAnsi="Arial"/>
          <w:color w:val="1A1A1A"/>
          <w:sz w:val="22"/>
          <w:szCs w:val="22"/>
        </w:rPr>
        <w:t xml:space="preserve">Pharmaceutical block: DSCSA stabilization-period stance, GS1 SGTIN-198 vs GTIN, cold-chain temperature-logger spend, EU FMD coexistence, returns / saleable returns volume.</w:t>
      </w:r>
    </w:p>
    <w:p>
      <w:pPr>
        <w:pStyle w:val="ListParagraph"/>
        <w:numPr>
          <w:ilvl w:val="0"/>
          <w:numId w:val="2"/>
        </w:numPr>
        <w:spacing w:after="80" w:line="300"/>
      </w:pPr>
      <w:r>
        <w:rPr>
          <w:rFonts w:ascii="Arial" w:cs="Arial" w:eastAsia="Arial" w:hAnsi="Arial"/>
          <w:color w:val="1A1A1A"/>
          <w:sz w:val="22"/>
          <w:szCs w:val="22"/>
        </w:rPr>
        <w:t xml:space="preserve">Hospitality block: lock vendor (Saflok / VingCard / Salto / dormakaba / Onity), DESFire EV3 migration status, NFC cashless adoption, linen-tag deployment, conference / event credential strategy.</w:t>
      </w:r>
    </w:p>
    <w:p>
      <w:pPr>
        <w:pStyle w:val="Heading2"/>
        <w:spacing w:after="160" w:before="280"/>
      </w:pPr>
      <w:r>
        <w:rPr>
          <w:rFonts w:ascii="Arial" w:cs="Arial" w:eastAsia="Arial" w:hAnsi="Arial"/>
          <w:b/>
          <w:bCs/>
          <w:color w:val="1A1A1A"/>
          <w:sz w:val="28"/>
          <w:szCs w:val="28"/>
        </w:rPr>
        <w:t xml:space="preserve">6.3 Pilot testing</w:t>
      </w:r>
    </w:p>
    <w:p>
      <w:pPr>
        <w:pStyle w:val="ListParagraph"/>
        <w:numPr>
          <w:ilvl w:val="0"/>
          <w:numId w:val="2"/>
        </w:numPr>
        <w:spacing w:after="80" w:line="300"/>
      </w:pPr>
      <w:r>
        <w:rPr>
          <w:rFonts w:ascii="Arial" w:cs="Arial" w:eastAsia="Arial" w:hAnsi="Arial"/>
          <w:color w:val="1A1A1A"/>
          <w:sz w:val="22"/>
          <w:szCs w:val="22"/>
        </w:rPr>
        <w:t xml:space="preserve">Cognitive interviews: 4 internal-team walkthroughs with the instrument before fielding.</w:t>
      </w:r>
    </w:p>
    <w:p>
      <w:pPr>
        <w:pStyle w:val="ListParagraph"/>
        <w:numPr>
          <w:ilvl w:val="0"/>
          <w:numId w:val="2"/>
        </w:numPr>
        <w:spacing w:after="80" w:line="300"/>
      </w:pPr>
      <w:r>
        <w:rPr>
          <w:rFonts w:ascii="Arial" w:cs="Arial" w:eastAsia="Arial" w:hAnsi="Arial"/>
          <w:color w:val="1A1A1A"/>
          <w:sz w:val="22"/>
          <w:szCs w:val="22"/>
        </w:rPr>
        <w:t xml:space="preserve">Pilot field: N=20 respondents (1 per industry where reachable) in the first 14 days of fieldwork.</w:t>
      </w:r>
    </w:p>
    <w:p>
      <w:pPr>
        <w:pStyle w:val="ListParagraph"/>
        <w:numPr>
          <w:ilvl w:val="0"/>
          <w:numId w:val="2"/>
        </w:numPr>
        <w:spacing w:after="80" w:line="300"/>
      </w:pPr>
      <w:r>
        <w:rPr>
          <w:rFonts w:ascii="Arial" w:cs="Arial" w:eastAsia="Arial" w:hAnsi="Arial"/>
          <w:color w:val="1A1A1A"/>
          <w:sz w:val="22"/>
          <w:szCs w:val="22"/>
        </w:rPr>
        <w:t xml:space="preserve">Reliability calculation: Cronbach's α on the Likert batteries; target α ≥ 0.75 before main fieldwork opens.</w:t>
      </w:r>
    </w:p>
    <w:p>
      <w:pPr>
        <w:pStyle w:val="ListParagraph"/>
        <w:numPr>
          <w:ilvl w:val="0"/>
          <w:numId w:val="2"/>
        </w:numPr>
        <w:spacing w:after="80" w:line="300"/>
      </w:pPr>
      <w:r>
        <w:rPr>
          <w:rFonts w:ascii="Arial" w:cs="Arial" w:eastAsia="Arial" w:hAnsi="Arial"/>
          <w:color w:val="1A1A1A"/>
          <w:sz w:val="22"/>
          <w:szCs w:val="22"/>
        </w:rPr>
        <w:t xml:space="preserve">Iteration: instrument changes between pilot and main field are documented in the methodology appendix; pre-registered hypotheses do not change.</w:t>
      </w:r>
    </w:p>
    <w:p>
      <w:pPr>
        <w:pStyle w:val="Heading1"/>
        <w:spacing w:after="200" w:before="360"/>
      </w:pPr>
      <w:r>
        <w:rPr>
          <w:rFonts w:ascii="Arial" w:cs="Arial" w:eastAsia="Arial" w:hAnsi="Arial"/>
          <w:b/>
          <w:bCs/>
          <w:color w:val="1A1A1A"/>
          <w:sz w:val="36"/>
          <w:szCs w:val="36"/>
        </w:rPr>
        <w:t xml:space="preserve">7. Data governance and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6D6" w:sz="4"/>
              <w:left w:val="single" w:color="C39A5F" w:sz="18"/>
              <w:bottom w:val="single" w:color="D6D6D6" w:sz="4"/>
              <w:right w:val="single" w:color="D6D6D6" w:sz="4"/>
            </w:tcBorders>
            <w:shd w:fill="F8F2E8" w:val="clear"/>
            <w:tcMar>
              <w:top w:type="dxa" w:w="100"/>
              <w:left w:type="dxa" w:w="140"/>
              <w:bottom w:type="dxa" w:w="100"/>
              <w:right w:type="dxa" w:w="140"/>
            </w:tcMar>
          </w:tcPr>
          <w:p>
            <w:pPr>
              <w:spacing w:after="80"/>
            </w:pPr>
            <w:r>
              <w:rPr>
                <w:rFonts w:ascii="Arial" w:cs="Arial" w:eastAsia="Arial" w:hAnsi="Arial"/>
                <w:b/>
                <w:bCs/>
                <w:color w:val="1A1A1A"/>
                <w:sz w:val="20"/>
                <w:szCs w:val="20"/>
              </w:rPr>
              <w:t xml:space="preserve">Default privacy posture</w:t>
            </w:r>
          </w:p>
          <w:p>
            <w:pPr>
              <w:spacing w:after="0" w:line="300"/>
            </w:pPr>
            <w:r>
              <w:rPr>
                <w:rFonts w:ascii="Arial" w:cs="Arial" w:eastAsia="Arial" w:hAnsi="Arial"/>
                <w:color w:val="1A1A1A"/>
                <w:sz w:val="22"/>
                <w:szCs w:val="22"/>
              </w:rPr>
              <w:t xml:space="preserve">Anonymous-by-default. Organization name and respondent name are collected (to deduplicate and to permit follow-up only with explicit opt-in) but are stripped from the analytic dataset before any analysis runs. The published dataset contains no organization names and no respondent names.</w:t>
            </w:r>
          </w:p>
        </w:tc>
      </w:tr>
    </w:tbl>
    <w:p>
      <w:pPr>
        <w:pStyle w:val="Heading2"/>
        <w:spacing w:after="160" w:before="280"/>
      </w:pPr>
      <w:r>
        <w:rPr>
          <w:rFonts w:ascii="Arial" w:cs="Arial" w:eastAsia="Arial" w:hAnsi="Arial"/>
          <w:b/>
          <w:bCs/>
          <w:color w:val="1A1A1A"/>
          <w:sz w:val="28"/>
          <w:szCs w:val="28"/>
        </w:rPr>
        <w:t xml:space="preserve">7.1 Consent</w:t>
      </w:r>
    </w:p>
    <w:p>
      <w:pPr>
        <w:pStyle w:val="ListParagraph"/>
        <w:numPr>
          <w:ilvl w:val="0"/>
          <w:numId w:val="2"/>
        </w:numPr>
        <w:spacing w:after="80" w:line="300"/>
      </w:pPr>
      <w:r>
        <w:rPr>
          <w:rFonts w:ascii="Arial" w:cs="Arial" w:eastAsia="Arial" w:hAnsi="Arial"/>
          <w:color w:val="1A1A1A"/>
          <w:sz w:val="22"/>
          <w:szCs w:val="22"/>
        </w:rPr>
        <w:t xml:space="preserve">Electronic consent at instrument open, with a plain-language summary plus a link to the full Participant Information Sheet (see /research/methodology/consent/).</w:t>
      </w:r>
    </w:p>
    <w:p>
      <w:pPr>
        <w:pStyle w:val="ListParagraph"/>
        <w:numPr>
          <w:ilvl w:val="0"/>
          <w:numId w:val="2"/>
        </w:numPr>
        <w:spacing w:after="80" w:line="300"/>
      </w:pPr>
      <w:r>
        <w:rPr>
          <w:rFonts w:ascii="Arial" w:cs="Arial" w:eastAsia="Arial" w:hAnsi="Arial"/>
          <w:color w:val="1A1A1A"/>
          <w:sz w:val="22"/>
          <w:szCs w:val="22"/>
        </w:rPr>
        <w:t xml:space="preserve">Consent covers: purpose of study, what data is collected, retention period, anonymization protocol, publication plan, right to withdraw within 90 days.</w:t>
      </w:r>
    </w:p>
    <w:p>
      <w:pPr>
        <w:pStyle w:val="ListParagraph"/>
        <w:numPr>
          <w:ilvl w:val="0"/>
          <w:numId w:val="2"/>
        </w:numPr>
        <w:spacing w:after="80" w:line="300"/>
      </w:pPr>
      <w:r>
        <w:rPr>
          <w:rFonts w:ascii="Arial" w:cs="Arial" w:eastAsia="Arial" w:hAnsi="Arial"/>
          <w:color w:val="1A1A1A"/>
          <w:sz w:val="22"/>
          <w:szCs w:val="22"/>
        </w:rPr>
        <w:t xml:space="preserve">Refusal to consent ends the instrument cleanly with a thank-you page; no data is recorded.</w:t>
      </w:r>
    </w:p>
    <w:p>
      <w:pPr>
        <w:pStyle w:val="Heading2"/>
        <w:spacing w:after="160" w:before="280"/>
      </w:pPr>
      <w:r>
        <w:rPr>
          <w:rFonts w:ascii="Arial" w:cs="Arial" w:eastAsia="Arial" w:hAnsi="Arial"/>
          <w:b/>
          <w:bCs/>
          <w:color w:val="1A1A1A"/>
          <w:sz w:val="28"/>
          <w:szCs w:val="28"/>
        </w:rPr>
        <w:t xml:space="preserve">7.2 Data retention</w:t>
      </w:r>
    </w:p>
    <w:p>
      <w:pPr>
        <w:pStyle w:val="ListParagraph"/>
        <w:numPr>
          <w:ilvl w:val="0"/>
          <w:numId w:val="2"/>
        </w:numPr>
        <w:spacing w:after="80" w:line="300"/>
      </w:pPr>
      <w:r>
        <w:rPr>
          <w:rFonts w:ascii="Arial" w:cs="Arial" w:eastAsia="Arial" w:hAnsi="Arial"/>
          <w:color w:val="1A1A1A"/>
          <w:sz w:val="22"/>
          <w:szCs w:val="22"/>
        </w:rPr>
        <w:t xml:space="preserve">Raw responses (including org/respondent names): retained 24 months on Qualtrics XM, encrypted at rest.</w:t>
      </w:r>
    </w:p>
    <w:p>
      <w:pPr>
        <w:pStyle w:val="ListParagraph"/>
        <w:numPr>
          <w:ilvl w:val="0"/>
          <w:numId w:val="2"/>
        </w:numPr>
        <w:spacing w:after="80" w:line="300"/>
      </w:pPr>
      <w:r>
        <w:rPr>
          <w:rFonts w:ascii="Arial" w:cs="Arial" w:eastAsia="Arial" w:hAnsi="Arial"/>
          <w:color w:val="1A1A1A"/>
          <w:sz w:val="22"/>
          <w:szCs w:val="22"/>
        </w:rPr>
        <w:t xml:space="preserve">Analytic dataset (anonymized): retained indefinitely on Proud Tek-controlled storage and published under CC-BY-4.0 at the 90-day public-release milestone.</w:t>
      </w:r>
    </w:p>
    <w:p>
      <w:pPr>
        <w:pStyle w:val="ListParagraph"/>
        <w:numPr>
          <w:ilvl w:val="0"/>
          <w:numId w:val="2"/>
        </w:numPr>
        <w:spacing w:after="80" w:line="300"/>
      </w:pPr>
      <w:r>
        <w:rPr>
          <w:rFonts w:ascii="Arial" w:cs="Arial" w:eastAsia="Arial" w:hAnsi="Arial"/>
          <w:color w:val="1A1A1A"/>
          <w:sz w:val="22"/>
          <w:szCs w:val="22"/>
        </w:rPr>
        <w:t xml:space="preserve">Withdrawal: respondents can request deletion within the 24-month raw-data retention window via the email at the foot of the Participant Information Sheet. Deletion is from the analytic dataset and from the raw dataset.</w:t>
      </w:r>
    </w:p>
    <w:p>
      <w:pPr>
        <w:pStyle w:val="Heading2"/>
        <w:spacing w:after="160" w:before="280"/>
      </w:pPr>
      <w:r>
        <w:rPr>
          <w:rFonts w:ascii="Arial" w:cs="Arial" w:eastAsia="Arial" w:hAnsi="Arial"/>
          <w:b/>
          <w:bCs/>
          <w:color w:val="1A1A1A"/>
          <w:sz w:val="28"/>
          <w:szCs w:val="28"/>
        </w:rPr>
        <w:t xml:space="preserve">7.3 GDPR / CCPA basis</w:t>
      </w:r>
    </w:p>
    <w:p>
      <w:pPr>
        <w:pStyle w:val="ListParagraph"/>
        <w:numPr>
          <w:ilvl w:val="0"/>
          <w:numId w:val="2"/>
        </w:numPr>
        <w:spacing w:after="80" w:line="300"/>
      </w:pPr>
      <w:r>
        <w:rPr>
          <w:rFonts w:ascii="Arial" w:cs="Arial" w:eastAsia="Arial" w:hAnsi="Arial"/>
          <w:color w:val="1A1A1A"/>
          <w:sz w:val="22"/>
          <w:szCs w:val="22"/>
        </w:rPr>
        <w:t xml:space="preserve">GDPR Article 6(1)(a) — explicit consent — is the lawful basis. The data controller is Proud Tek; the data processor for Qualtrics is Qualtrics LLC.</w:t>
      </w:r>
    </w:p>
    <w:p>
      <w:pPr>
        <w:pStyle w:val="ListParagraph"/>
        <w:numPr>
          <w:ilvl w:val="0"/>
          <w:numId w:val="2"/>
        </w:numPr>
        <w:spacing w:after="80" w:line="300"/>
      </w:pPr>
      <w:r>
        <w:rPr>
          <w:rFonts w:ascii="Arial" w:cs="Arial" w:eastAsia="Arial" w:hAnsi="Arial"/>
          <w:color w:val="1A1A1A"/>
          <w:sz w:val="22"/>
          <w:szCs w:val="22"/>
        </w:rPr>
        <w:t xml:space="preserve">California respondents: CCPA disclosures included in the Participant Information Sheet; right to know / delete / opt-out honored.</w:t>
      </w:r>
    </w:p>
    <w:p>
      <w:pPr>
        <w:pStyle w:val="ListParagraph"/>
        <w:numPr>
          <w:ilvl w:val="0"/>
          <w:numId w:val="2"/>
        </w:numPr>
        <w:spacing w:after="80" w:line="300"/>
      </w:pPr>
      <w:r>
        <w:rPr>
          <w:rFonts w:ascii="Arial" w:cs="Arial" w:eastAsia="Arial" w:hAnsi="Arial"/>
          <w:color w:val="1A1A1A"/>
          <w:sz w:val="22"/>
          <w:szCs w:val="22"/>
        </w:rPr>
        <w:t xml:space="preserve">No personal data is transferred outside the EEA without standard contractual clauses.</w:t>
      </w:r>
    </w:p>
    <w:p>
      <w:pPr>
        <w:pStyle w:val="Heading2"/>
        <w:spacing w:after="160" w:before="280"/>
      </w:pPr>
      <w:r>
        <w:rPr>
          <w:rFonts w:ascii="Arial" w:cs="Arial" w:eastAsia="Arial" w:hAnsi="Arial"/>
          <w:b/>
          <w:bCs/>
          <w:color w:val="1A1A1A"/>
          <w:sz w:val="28"/>
          <w:szCs w:val="28"/>
        </w:rPr>
        <w:t xml:space="preserve">7.4 Conflict of interest register</w:t>
      </w:r>
    </w:p>
    <w:p>
      <w:pPr>
        <w:pStyle w:val="ListParagraph"/>
        <w:numPr>
          <w:ilvl w:val="0"/>
          <w:numId w:val="2"/>
        </w:numPr>
        <w:spacing w:after="80" w:line="300"/>
      </w:pPr>
      <w:r>
        <w:rPr>
          <w:rFonts w:ascii="Arial" w:cs="Arial" w:eastAsia="Arial" w:hAnsi="Arial"/>
          <w:color w:val="1A1A1A"/>
          <w:sz w:val="22"/>
          <w:szCs w:val="22"/>
        </w:rPr>
        <w:t xml:space="preserve">Funding: Proud Tek internal marketing R&amp;D budget, USD 28,500 (see Section 11).</w:t>
      </w:r>
    </w:p>
    <w:p>
      <w:pPr>
        <w:pStyle w:val="ListParagraph"/>
        <w:numPr>
          <w:ilvl w:val="0"/>
          <w:numId w:val="2"/>
        </w:numPr>
        <w:spacing w:after="80" w:line="300"/>
      </w:pPr>
      <w:r>
        <w:rPr>
          <w:rFonts w:ascii="Arial" w:cs="Arial" w:eastAsia="Arial" w:hAnsi="Arial"/>
          <w:color w:val="1A1A1A"/>
          <w:sz w:val="22"/>
          <w:szCs w:val="22"/>
        </w:rPr>
        <w:t xml:space="preserve">No co-funding, sponsorship, or paid placement from RFID hardware peers, integrators or end-user clients.</w:t>
      </w:r>
    </w:p>
    <w:p>
      <w:pPr>
        <w:pStyle w:val="ListParagraph"/>
        <w:numPr>
          <w:ilvl w:val="0"/>
          <w:numId w:val="2"/>
        </w:numPr>
        <w:spacing w:after="80" w:line="300"/>
      </w:pPr>
      <w:r>
        <w:rPr>
          <w:rFonts w:ascii="Arial" w:cs="Arial" w:eastAsia="Arial" w:hAnsi="Arial"/>
          <w:color w:val="1A1A1A"/>
          <w:sz w:val="22"/>
          <w:szCs w:val="22"/>
        </w:rPr>
        <w:t xml:space="preserve">Researchers: Peter Zhang (sponsor) is a Proud Tek principal. The data lead and statistical adviser are independent contractors with no Proud Tek equity.</w:t>
      </w:r>
    </w:p>
    <w:p>
      <w:pPr>
        <w:pStyle w:val="ListParagraph"/>
        <w:numPr>
          <w:ilvl w:val="0"/>
          <w:numId w:val="2"/>
        </w:numPr>
        <w:spacing w:after="80" w:line="300"/>
      </w:pPr>
      <w:r>
        <w:rPr>
          <w:rFonts w:ascii="Arial" w:cs="Arial" w:eastAsia="Arial" w:hAnsi="Arial"/>
          <w:color w:val="1A1A1A"/>
          <w:sz w:val="22"/>
          <w:szCs w:val="22"/>
        </w:rPr>
        <w:t xml:space="preserve">Disclosure: the funding statement, sponsor identity and any non-trivial relationship are published in the report appendix and on /research/methodology/conflicts/.</w:t>
      </w:r>
    </w:p>
    <w:p>
      <w:pPr>
        <w:pStyle w:val="Heading1"/>
        <w:spacing w:after="200" w:before="360"/>
      </w:pPr>
      <w:r>
        <w:rPr>
          <w:rFonts w:ascii="Arial" w:cs="Arial" w:eastAsia="Arial" w:hAnsi="Arial"/>
          <w:b/>
          <w:bCs/>
          <w:color w:val="1A1A1A"/>
          <w:sz w:val="36"/>
          <w:szCs w:val="36"/>
        </w:rPr>
        <w:t xml:space="preserve">8. Analysis plan</w:t>
      </w:r>
    </w:p>
    <w:p>
      <w:pPr>
        <w:spacing w:after="120" w:line="320"/>
      </w:pPr>
      <w:r>
        <w:rPr>
          <w:rFonts w:ascii="Arial" w:cs="Arial" w:eastAsia="Arial" w:hAnsi="Arial"/>
          <w:color w:val="1A1A1A"/>
          <w:sz w:val="22"/>
          <w:szCs w:val="22"/>
        </w:rPr>
        <w:t xml:space="preserve">Pre-registered analysis plan. Primary analyses follow directly from the five research questions and five hypotheses. Secondary descriptive analyses listed in 2.3 are clearly labeled as secondary in the report. Exploratory analyses (anything not pre-registered) are clearly labeled "exploratory" and trigger a caution in the report's methodology footnote.</w:t>
      </w:r>
    </w:p>
    <w:p>
      <w:pPr>
        <w:pStyle w:val="Heading2"/>
        <w:spacing w:after="160" w:before="280"/>
      </w:pPr>
      <w:r>
        <w:rPr>
          <w:rFonts w:ascii="Arial" w:cs="Arial" w:eastAsia="Arial" w:hAnsi="Arial"/>
          <w:b/>
          <w:bCs/>
          <w:color w:val="1A1A1A"/>
          <w:sz w:val="28"/>
          <w:szCs w:val="28"/>
        </w:rPr>
        <w:t xml:space="preserve">8.1 Primary analyses</w:t>
      </w:r>
    </w:p>
    <w:p>
      <w:pPr>
        <w:pStyle w:val="ListParagraph"/>
        <w:numPr>
          <w:ilvl w:val="0"/>
          <w:numId w:val="2"/>
        </w:numPr>
        <w:spacing w:after="80" w:line="300"/>
      </w:pPr>
      <w:r>
        <w:rPr>
          <w:rFonts w:ascii="Arial" w:cs="Arial" w:eastAsia="Arial" w:hAnsi="Arial"/>
          <w:color w:val="1A1A1A"/>
          <w:sz w:val="22"/>
          <w:szCs w:val="22"/>
        </w:rPr>
        <w:t xml:space="preserve">RQ1 (adoption maturity): per-industry frequency distribution across four adoption stages. 95% bootstrap CI (n=10,000) for each share.</w:t>
      </w:r>
    </w:p>
    <w:p>
      <w:pPr>
        <w:pStyle w:val="ListParagraph"/>
        <w:numPr>
          <w:ilvl w:val="0"/>
          <w:numId w:val="2"/>
        </w:numPr>
        <w:spacing w:after="80" w:line="300"/>
      </w:pPr>
      <w:r>
        <w:rPr>
          <w:rFonts w:ascii="Arial" w:cs="Arial" w:eastAsia="Arial" w:hAnsi="Arial"/>
          <w:color w:val="1A1A1A"/>
          <w:sz w:val="22"/>
          <w:szCs w:val="22"/>
        </w:rPr>
        <w:t xml:space="preserve">RQ2 (mandate progress): per-mandate frequency distribution across on-track / at-risk / in-violation. Cross-tab by industry where mandate is industry-specific.</w:t>
      </w:r>
    </w:p>
    <w:p>
      <w:pPr>
        <w:pStyle w:val="ListParagraph"/>
        <w:numPr>
          <w:ilvl w:val="0"/>
          <w:numId w:val="2"/>
        </w:numPr>
        <w:spacing w:after="80" w:line="300"/>
      </w:pPr>
      <w:r>
        <w:rPr>
          <w:rFonts w:ascii="Arial" w:cs="Arial" w:eastAsia="Arial" w:hAnsi="Arial"/>
          <w:color w:val="1A1A1A"/>
          <w:sz w:val="22"/>
          <w:szCs w:val="22"/>
        </w:rPr>
        <w:t xml:space="preserve">RQ3 (KPI lift): per-KPI paired comparison of expected vs realized lift; reported as median realized − median expected. Wilcoxon signed-rank test for whether realized differs from expected; α = 0.05.</w:t>
      </w:r>
    </w:p>
    <w:p>
      <w:pPr>
        <w:pStyle w:val="ListParagraph"/>
        <w:numPr>
          <w:ilvl w:val="0"/>
          <w:numId w:val="2"/>
        </w:numPr>
        <w:spacing w:after="80" w:line="300"/>
      </w:pPr>
      <w:r>
        <w:rPr>
          <w:rFonts w:ascii="Arial" w:cs="Arial" w:eastAsia="Arial" w:hAnsi="Arial"/>
          <w:color w:val="1A1A1A"/>
          <w:sz w:val="22"/>
          <w:szCs w:val="22"/>
        </w:rPr>
        <w:t xml:space="preserve">RQ4 (vendor criteria): ranked-choice aggregation using the Plackett-Luce model; top 5 criteria reported with relative importance weights.</w:t>
      </w:r>
    </w:p>
    <w:p>
      <w:pPr>
        <w:pStyle w:val="ListParagraph"/>
        <w:numPr>
          <w:ilvl w:val="0"/>
          <w:numId w:val="2"/>
        </w:numPr>
        <w:spacing w:after="80" w:line="300"/>
      </w:pPr>
      <w:r>
        <w:rPr>
          <w:rFonts w:ascii="Arial" w:cs="Arial" w:eastAsia="Arial" w:hAnsi="Arial"/>
          <w:color w:val="1A1A1A"/>
          <w:sz w:val="22"/>
          <w:szCs w:val="22"/>
        </w:rPr>
        <w:t xml:space="preserve">RQ5 (2027 intent): per-industry frequency of expand / hold / roll back; cross-tab by current adoption stage.</w:t>
      </w:r>
    </w:p>
    <w:p>
      <w:pPr>
        <w:pStyle w:val="Heading2"/>
        <w:spacing w:after="160" w:before="280"/>
      </w:pPr>
      <w:r>
        <w:rPr>
          <w:rFonts w:ascii="Arial" w:cs="Arial" w:eastAsia="Arial" w:hAnsi="Arial"/>
          <w:b/>
          <w:bCs/>
          <w:color w:val="1A1A1A"/>
          <w:sz w:val="28"/>
          <w:szCs w:val="28"/>
        </w:rPr>
        <w:t xml:space="preserve">8.2 Weighting</w:t>
      </w:r>
    </w:p>
    <w:p>
      <w:pPr>
        <w:spacing w:after="120" w:line="320"/>
      </w:pPr>
      <w:r>
        <w:rPr>
          <w:rFonts w:ascii="Arial" w:cs="Arial" w:eastAsia="Arial" w:hAnsi="Arial"/>
          <w:color w:val="1A1A1A"/>
          <w:sz w:val="22"/>
          <w:szCs w:val="22"/>
        </w:rPr>
        <w:t xml:space="preserve">Post-stratification weights to match the 2026 RFID industry revenue distribution from IDC Worldwide RFID Forecast. Weight cells: industry × organization-size band. Cells with N&lt;3 are collapsed into the next-larger cell to avoid extreme weights. All weights are published per respondent in the open dataset so any analyst can re-weight to a different target.</w:t>
      </w:r>
    </w:p>
    <w:p>
      <w:pPr>
        <w:pStyle w:val="Heading2"/>
        <w:spacing w:after="160" w:before="280"/>
      </w:pPr>
      <w:r>
        <w:rPr>
          <w:rFonts w:ascii="Arial" w:cs="Arial" w:eastAsia="Arial" w:hAnsi="Arial"/>
          <w:b/>
          <w:bCs/>
          <w:color w:val="1A1A1A"/>
          <w:sz w:val="28"/>
          <w:szCs w:val="28"/>
        </w:rPr>
        <w:t xml:space="preserve">8.3 Multiple comparisons</w:t>
      </w:r>
    </w:p>
    <w:p>
      <w:pPr>
        <w:spacing w:after="120" w:line="320"/>
      </w:pPr>
      <w:r>
        <w:rPr>
          <w:rFonts w:ascii="Arial" w:cs="Arial" w:eastAsia="Arial" w:hAnsi="Arial"/>
          <w:color w:val="1A1A1A"/>
          <w:sz w:val="22"/>
          <w:szCs w:val="22"/>
        </w:rPr>
        <w:t xml:space="preserve">Five primary hypotheses. Bonferroni correction applied; per-comparison α = 0.01. Secondary descriptive analyses are not hypothesis-tested and do not receive a correction.</w:t>
      </w:r>
    </w:p>
    <w:p>
      <w:pPr>
        <w:pStyle w:val="Heading2"/>
        <w:spacing w:after="160" w:before="280"/>
      </w:pPr>
      <w:r>
        <w:rPr>
          <w:rFonts w:ascii="Arial" w:cs="Arial" w:eastAsia="Arial" w:hAnsi="Arial"/>
          <w:b/>
          <w:bCs/>
          <w:color w:val="1A1A1A"/>
          <w:sz w:val="28"/>
          <w:szCs w:val="28"/>
        </w:rPr>
        <w:t xml:space="preserve">8.4 Reproducibility</w:t>
      </w:r>
    </w:p>
    <w:p>
      <w:pPr>
        <w:pStyle w:val="ListParagraph"/>
        <w:numPr>
          <w:ilvl w:val="0"/>
          <w:numId w:val="2"/>
        </w:numPr>
        <w:spacing w:after="80" w:line="300"/>
      </w:pPr>
      <w:r>
        <w:rPr>
          <w:rFonts w:ascii="Arial" w:cs="Arial" w:eastAsia="Arial" w:hAnsi="Arial"/>
          <w:color w:val="1A1A1A"/>
          <w:sz w:val="22"/>
          <w:szCs w:val="22"/>
        </w:rPr>
        <w:t xml:space="preserve">All analysis code in Python (pandas, statsmodels, scipy) and R (tidyverse, plackettluce). Released at GitHub Proud-Tek/research-2026-adoption-index.</w:t>
      </w:r>
    </w:p>
    <w:p>
      <w:pPr>
        <w:pStyle w:val="ListParagraph"/>
        <w:numPr>
          <w:ilvl w:val="0"/>
          <w:numId w:val="2"/>
        </w:numPr>
        <w:spacing w:after="80" w:line="300"/>
      </w:pPr>
      <w:r>
        <w:rPr>
          <w:rFonts w:ascii="Arial" w:cs="Arial" w:eastAsia="Arial" w:hAnsi="Arial"/>
          <w:color w:val="1A1A1A"/>
          <w:sz w:val="22"/>
          <w:szCs w:val="22"/>
        </w:rPr>
        <w:t xml:space="preserve">Analysis runs against the published anonymized dataset and produces every table and chart in the report.</w:t>
      </w:r>
    </w:p>
    <w:p>
      <w:pPr>
        <w:pStyle w:val="ListParagraph"/>
        <w:numPr>
          <w:ilvl w:val="0"/>
          <w:numId w:val="2"/>
        </w:numPr>
        <w:spacing w:after="80" w:line="300"/>
      </w:pPr>
      <w:r>
        <w:rPr>
          <w:rFonts w:ascii="Arial" w:cs="Arial" w:eastAsia="Arial" w:hAnsi="Arial"/>
          <w:color w:val="1A1A1A"/>
          <w:sz w:val="22"/>
          <w:szCs w:val="22"/>
        </w:rPr>
        <w:t xml:space="preserve">Random seed fixed at 42 for any analysis involving simulation or bootstrapping.</w:t>
      </w:r>
    </w:p>
    <w:p>
      <w:pPr>
        <w:pStyle w:val="Heading1"/>
        <w:spacing w:after="200" w:before="360"/>
      </w:pPr>
      <w:r>
        <w:rPr>
          <w:rFonts w:ascii="Arial" w:cs="Arial" w:eastAsia="Arial" w:hAnsi="Arial"/>
          <w:b/>
          <w:bCs/>
          <w:color w:val="1A1A1A"/>
          <w:sz w:val="36"/>
          <w:szCs w:val="36"/>
        </w:rPr>
        <w:t xml:space="preserve">9. Publication calendar and dissemination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2026-05-11</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Charter signed. Pre-registration timestamped at Center for Open Science.</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2026-05-18</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Recruitment opens across the five channels.</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2026-06-01</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Pilot N=20 in field. Reliability check.</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2026-06-15</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Main fieldwork opens.</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2026-08-15</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Fieldwork closes. Quotas reviewed; underfilled industries get a 7-day boost window.</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2026-08-22</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Fieldwork final close. Data cleaning begins.</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2026-09-05</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Analytic dataset frozen. Analysis code runs end-to-end.</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2026-09-15</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First data brief published (2-page executive summary + top-line N=200 numbers).</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2026-09-22</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Press preview (embargoed) opens for credentialed journalists.</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2026-10-30</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Full report published — PDF + HTML at /research/2026-rfid-industry-adoption-index/ + .pptx deck + social cards. Press release wire distribution.</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2026-11-15</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LinkedIn deep-dive thread series (5 posts) and CEO LinkedIn post.</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2027-01-28</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Anonymized respondent-level dataset published under CC-BY-4.0. GitHub analysis code public.</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2027-05</w:t>
            </w:r>
          </w:p>
        </w:tc>
        <w:tc>
          <w:tcPr>
            <w:tcW w:type="dxa" w:w="72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Year-2 fielding begins for the 2027 Adoption Index.</w:t>
            </w:r>
          </w:p>
        </w:tc>
      </w:tr>
    </w:tbl>
    <w:p>
      <w:pPr>
        <w:pStyle w:val="Heading2"/>
        <w:spacing w:after="160" w:before="280"/>
      </w:pPr>
      <w:r>
        <w:rPr>
          <w:rFonts w:ascii="Arial" w:cs="Arial" w:eastAsia="Arial" w:hAnsi="Arial"/>
          <w:b/>
          <w:bCs/>
          <w:color w:val="1A1A1A"/>
          <w:sz w:val="28"/>
          <w:szCs w:val="28"/>
        </w:rPr>
        <w:t xml:space="preserve">9.1 Distribution channels</w:t>
      </w:r>
    </w:p>
    <w:p>
      <w:pPr>
        <w:pStyle w:val="ListParagraph"/>
        <w:numPr>
          <w:ilvl w:val="0"/>
          <w:numId w:val="2"/>
        </w:numPr>
        <w:spacing w:after="80" w:line="300"/>
      </w:pPr>
      <w:r>
        <w:rPr>
          <w:rFonts w:ascii="Arial" w:cs="Arial" w:eastAsia="Arial" w:hAnsi="Arial"/>
          <w:color w:val="1A1A1A"/>
          <w:sz w:val="22"/>
          <w:szCs w:val="22"/>
        </w:rPr>
        <w:t xml:space="preserve">Proud Tek /research/ site as the canonical home.</w:t>
      </w:r>
    </w:p>
    <w:p>
      <w:pPr>
        <w:pStyle w:val="ListParagraph"/>
        <w:numPr>
          <w:ilvl w:val="0"/>
          <w:numId w:val="2"/>
        </w:numPr>
        <w:spacing w:after="80" w:line="300"/>
      </w:pPr>
      <w:r>
        <w:rPr>
          <w:rFonts w:ascii="Arial" w:cs="Arial" w:eastAsia="Arial" w:hAnsi="Arial"/>
          <w:color w:val="1A1A1A"/>
          <w:sz w:val="22"/>
          <w:szCs w:val="22"/>
        </w:rPr>
        <w:t xml:space="preserve">Press release distribution via Business Wire (RFID, supply chain, retail, healthcare, hospitality and life sciences beats).</w:t>
      </w:r>
    </w:p>
    <w:p>
      <w:pPr>
        <w:pStyle w:val="ListParagraph"/>
        <w:numPr>
          <w:ilvl w:val="0"/>
          <w:numId w:val="2"/>
        </w:numPr>
        <w:spacing w:after="80" w:line="300"/>
      </w:pPr>
      <w:r>
        <w:rPr>
          <w:rFonts w:ascii="Arial" w:cs="Arial" w:eastAsia="Arial" w:hAnsi="Arial"/>
          <w:color w:val="1A1A1A"/>
          <w:sz w:val="22"/>
          <w:szCs w:val="22"/>
        </w:rPr>
        <w:t xml:space="preserve">LinkedIn company page and Peter Zhang personal LinkedIn.</w:t>
      </w:r>
    </w:p>
    <w:p>
      <w:pPr>
        <w:pStyle w:val="ListParagraph"/>
        <w:numPr>
          <w:ilvl w:val="0"/>
          <w:numId w:val="2"/>
        </w:numPr>
        <w:spacing w:after="80" w:line="300"/>
      </w:pPr>
      <w:r>
        <w:rPr>
          <w:rFonts w:ascii="Arial" w:cs="Arial" w:eastAsia="Arial" w:hAnsi="Arial"/>
          <w:color w:val="1A1A1A"/>
          <w:sz w:val="22"/>
          <w:szCs w:val="22"/>
        </w:rPr>
        <w:t xml:space="preserve">Direct outreach to RFID Journal, Healthcare IT News, Supply Chain 24/7, Pharmacy Times, Pharmacy Practice News, Modern Restaurant Management, Aviation Today.</w:t>
      </w:r>
    </w:p>
    <w:p>
      <w:pPr>
        <w:pStyle w:val="ListParagraph"/>
        <w:numPr>
          <w:ilvl w:val="0"/>
          <w:numId w:val="2"/>
        </w:numPr>
        <w:spacing w:after="80" w:line="300"/>
      </w:pPr>
      <w:r>
        <w:rPr>
          <w:rFonts w:ascii="Arial" w:cs="Arial" w:eastAsia="Arial" w:hAnsi="Arial"/>
          <w:color w:val="1A1A1A"/>
          <w:sz w:val="22"/>
          <w:szCs w:val="22"/>
        </w:rPr>
        <w:t xml:space="preserve">Conference presentations: target submissions to RFID Journal Live! 2027, NRF 2027, HIMSS 2027.</w:t>
      </w:r>
    </w:p>
    <w:p>
      <w:pPr>
        <w:pStyle w:val="ListParagraph"/>
        <w:numPr>
          <w:ilvl w:val="0"/>
          <w:numId w:val="2"/>
        </w:numPr>
        <w:spacing w:after="80" w:line="300"/>
      </w:pPr>
      <w:r>
        <w:rPr>
          <w:rFonts w:ascii="Arial" w:cs="Arial" w:eastAsia="Arial" w:hAnsi="Arial"/>
          <w:color w:val="1A1A1A"/>
          <w:sz w:val="22"/>
          <w:szCs w:val="22"/>
        </w:rPr>
        <w:t xml:space="preserve">Newsletter mention in the next Proud Tek Industry Brief mailing.</w:t>
      </w:r>
    </w:p>
    <w:p>
      <w:pPr>
        <w:pStyle w:val="Heading1"/>
        <w:spacing w:after="200" w:before="360"/>
      </w:pPr>
      <w:r>
        <w:rPr>
          <w:rFonts w:ascii="Arial" w:cs="Arial" w:eastAsia="Arial" w:hAnsi="Arial"/>
          <w:b/>
          <w:bCs/>
          <w:color w:val="1A1A1A"/>
          <w:sz w:val="36"/>
          <w:szCs w:val="36"/>
        </w:rPr>
        <w:t xml:space="preserve">10. Timeline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Activities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W1 (2026-05-11)</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Charter &amp; pre-registration</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Charter sign-off. Pre-registration submitted to COS. Instrument finalized.</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W2</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Recruitment build</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Outreach copy written and ethics-reviewed. Centiment SOW signed. LinkedIn lists built.</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W3 (2026-05-18)</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Recruitment opens</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First wave of LinkedIn InMail. Centiment panel goes live. Trade-association emails sent.</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W4 (2026-06-01)</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Pilot fielding</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Pilot N=20 in field. Daily monitoring of completion times and attention-check failure rates.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W5</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Instrument iteration</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Pilot results reviewed. Any non-hypothesis-affecting instrument tweaks applied. Reliability α confirmed.</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W6 (2026-06-15)</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Main field opens</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Recruitment ramps. Daily quota dashboard reviewed.</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W7–W8</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Mid-field monitoring</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Quota tracking, channel-mix monitoring, reminder sends.</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W9 (2026-07-13)</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Boost outreach</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Underfilled industries (typically agriculture, defense, aerospace) receive targeted boost.</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W10 (2026-08-15)</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Field close target</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Fieldwork target close.</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W11</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Data cleaning</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Exclusion rules applied. Anonymization. Weighting calibration.</w:t>
            </w:r>
          </w:p>
        </w:tc>
      </w:tr>
      <w:tr>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W12 (2026-09-05)</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Dataset freeze + analysis</w:t>
            </w:r>
          </w:p>
        </w:tc>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Analytic dataset frozen. All pre-registered analyses run. Draft data brief and report.</w:t>
            </w:r>
          </w:p>
        </w:tc>
      </w:tr>
    </w:tbl>
    <w:p>
      <w:pPr>
        <w:spacing w:after="60"/>
      </w:pPr>
      <w:r>
        <w:rPr>
          <w:rFonts w:ascii="Arial" w:cs="Arial" w:eastAsia="Arial" w:hAnsi="Arial"/>
          <w:i/>
          <w:iCs/>
          <w:color w:val="5C5C5C"/>
          <w:sz w:val="18"/>
          <w:szCs w:val="18"/>
        </w:rPr>
        <w:t xml:space="preserve">After W12: report production (charts, design, copyedit), press preview, public launch on 2026-10-30. The 12-week timeline covers Charter-to-dataset-freeze; report production is an additional 8 weeks.</w:t>
      </w:r>
    </w:p>
    <w:p>
      <w:pPr>
        <w:pStyle w:val="Heading1"/>
        <w:spacing w:after="200" w:before="360"/>
      </w:pPr>
      <w:r>
        <w:rPr>
          <w:rFonts w:ascii="Arial" w:cs="Arial" w:eastAsia="Arial" w:hAnsi="Arial"/>
          <w:b/>
          <w:bCs/>
          <w:color w:val="1A1A1A"/>
          <w:sz w:val="36"/>
          <w:szCs w:val="36"/>
        </w:rPr>
        <w:t xml:space="preserve">11. Budget</w:t>
      </w:r>
    </w:p>
    <w:p>
      <w:pPr>
        <w:spacing w:after="120" w:line="320"/>
      </w:pPr>
      <w:r>
        <w:rPr>
          <w:rFonts w:ascii="Arial" w:cs="Arial" w:eastAsia="Arial" w:hAnsi="Arial"/>
          <w:color w:val="1A1A1A"/>
          <w:sz w:val="22"/>
          <w:szCs w:val="22"/>
        </w:rPr>
        <w:t xml:space="preserve">Total envelope: USD 28,500. All figures are direct out-of-pocket costs. Internal Proud Tek staff time is not included in the cash budget but is tracked separately in the project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Line item</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Amount (USD)</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Qualtrics XM annual license (academic)</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1,800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Existing license; cost amortized 12 months.</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Centiment B2B panel (60 responses × USD 75)</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4,500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Third-party panel fee. Includes panelist incentive.</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LinkedIn Sales Navigator (3 seats × 3 months)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750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Outreach platform.</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Statistical adviser (3 weeks × USD 1,500)</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4,500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Independent contractor.</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Otter.ai transcription (20 interviews)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160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AI transcription, human-reviewed.</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Expert-interview honoraria (20 × USD 200)</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4,000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Honoraria paid as charity donations on respondent request.</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Charitable-donation incentive (60 × USD 50 cap)</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3,000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Capped; donations made to respondent-selected charities.</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Prize draw (5 × USD 500 Amazon)</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2,500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Drawn at fieldwork close.</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Report design &amp; layout (3 weeks × USD 1,500)</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4,500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Independent contractor.</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Press release wire (Business Wire)</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1,200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Standard tier; multi-beat distribution.</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Buffer / contingency (5%)</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1,590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Held against schedule overrun, recruitment shortfall, or design rework.</w:t>
            </w:r>
          </w:p>
        </w:tc>
      </w:tr>
      <w:tr>
        <w:tc>
          <w:tcPr>
            <w:tcW w:type="dxa" w:w="46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TOTAL</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28,500</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
            </w:r>
          </w:p>
        </w:tc>
      </w:tr>
    </w:tbl>
    <w:p>
      <w:pPr>
        <w:pStyle w:val="Heading1"/>
        <w:spacing w:after="200" w:before="360"/>
      </w:pPr>
      <w:r>
        <w:rPr>
          <w:rFonts w:ascii="Arial" w:cs="Arial" w:eastAsia="Arial" w:hAnsi="Arial"/>
          <w:b/>
          <w:bCs/>
          <w:color w:val="1A1A1A"/>
          <w:sz w:val="36"/>
          <w:szCs w:val="36"/>
        </w:rPr>
        <w:t xml:space="preserve">12. Roles and RACI</w:t>
      </w:r>
    </w:p>
    <w:p>
      <w:pPr>
        <w:spacing w:after="120" w:line="320"/>
      </w:pPr>
      <w:r>
        <w:rPr>
          <w:rFonts w:ascii="Arial" w:cs="Arial" w:eastAsia="Arial" w:hAnsi="Arial"/>
          <w:color w:val="1A1A1A"/>
          <w:sz w:val="22"/>
          <w:szCs w:val="22"/>
        </w:rPr>
        <w:t xml:space="preserve">Eight roles. Internal Proud Tek = editorial board, Peter Zhang. External = statistical adviser, designer. Vendor = Qualtrics, Centiment, Business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040"/>
        <w:gridCol w:w="1040"/>
        <w:gridCol w:w="1040"/>
        <w:gridCol w:w="1040"/>
        <w:gridCol w:w="312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Sponsor (Peter)</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Research lead</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Stats adviser</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Designer</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Vendor</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Charter &amp; pre-registration</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Instrument design</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 (Qualtrics build)</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Recruitment</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 (Centiment, LinkedIn)</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Fieldwork monitoring</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 (Qualtrics dashboards)</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Data cleaning &amp; weighting</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Pre-registered analyses</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Report writing</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Report design / layout</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Press distribution</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 (Business Wire)</w:t>
            </w:r>
          </w:p>
        </w:tc>
      </w:tr>
      <w:tr>
        <w:tc>
          <w:tcPr>
            <w:tcW w:type="dxa" w:w="208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Open dataset release</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04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w:t>
            </w:r>
          </w:p>
        </w:tc>
      </w:tr>
    </w:tbl>
    <w:p>
      <w:pPr>
        <w:spacing w:after="60"/>
      </w:pPr>
      <w:r>
        <w:rPr>
          <w:rFonts w:ascii="Arial" w:cs="Arial" w:eastAsia="Arial" w:hAnsi="Arial"/>
          <w:i/>
          <w:iCs/>
          <w:color w:val="5C5C5C"/>
          <w:sz w:val="18"/>
          <w:szCs w:val="18"/>
        </w:rPr>
        <w:t xml:space="preserve">R = Responsible, A = Accountable, C = Consulted, I = Informed.</w:t>
      </w:r>
    </w:p>
    <w:p>
      <w:pPr>
        <w:pStyle w:val="Heading1"/>
        <w:spacing w:after="200" w:before="360"/>
      </w:pPr>
      <w:r>
        <w:rPr>
          <w:rFonts w:ascii="Arial" w:cs="Arial" w:eastAsia="Arial" w:hAnsi="Arial"/>
          <w:b/>
          <w:bCs/>
          <w:color w:val="1A1A1A"/>
          <w:sz w:val="36"/>
          <w:szCs w:val="36"/>
        </w:rPr>
        <w:t xml:space="preserve">13.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Borders>
              <w:top w:val="single" w:color="D6D6D6" w:sz="4"/>
              <w:left w:val="single" w:color="D6D6D6" w:sz="4"/>
              <w:bottom w:val="single" w:color="D6D6D6" w:sz="4"/>
              <w:right w:val="single" w:color="D6D6D6" w:sz="4"/>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Recruitment shortfall in low-volume industries (agriculture, defense, aerospace, libraries)</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High</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Boost outreach budget unlocks at W9. If still short by W11, accept N&lt;10 for that industry with a footnote and reduce per-industry findings to descriptive only.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Industry skew on a channel (e.g., Centiment over-represents retail)</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Channel-mix dashboard reviewed twice weekly. Quota pause on a channel if it exceeds 40% of any single industry.</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Pilot reveals instrument problem (low reliability, attention-check failure spike)</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High</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W5 instrument-iteration window built into schedule. Iteration must not change pre-registered hypotheses; if it would, the relevant hypothesis is dropped and the report flags the omission.</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Public-relations response is muted on launch day</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Embargoed press preview at W+6 secures advance commitments. CEO LinkedIn post sequenced for 09:00 UTC launch.</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Hypothesis is publicly falsified (e.g., H5 inventory-accuracy lift is much lower than expected)</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This is desirable. The report leans into the finding. Pre-registration is the credibility move.</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Open-dataset release triggers respondent re-identification claim</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High</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Anonymization protocol independently reviewed before public release. k-anonymity check (k≥5) on every published cross-tab. Org names stripped before any analysis.</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Statistical adviser unavailable mid-project</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High</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Adviser contract specifies notice period and handoff documentation. Backup adviser identified in W1.</w:t>
            </w:r>
          </w:p>
        </w:tc>
      </w:tr>
      <w:tr>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Conflict-of-interest accusation (Proud Tek paid for the survey)</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Low</w:t>
            </w:r>
          </w:p>
        </w:tc>
        <w:tc>
          <w:tcPr>
            <w:tcW w:type="dxa" w:w="156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Medium</w:t>
            </w:r>
          </w:p>
        </w:tc>
        <w:tc>
          <w:tcPr>
            <w:tcW w:type="dxa" w:w="3120"/>
            <w:tcBorders>
              <w:top w:val="single" w:color="D6D6D6" w:sz="4"/>
              <w:left w:val="single" w:color="D6D6D6" w:sz="4"/>
              <w:bottom w:val="single" w:color="D6D6D6" w:sz="4"/>
              <w:right w:val="single" w:color="D6D6D6" w:sz="4"/>
            </w:tcBorders>
            <w:tcMar>
              <w:top w:type="dxa" w:w="100"/>
              <w:left w:type="dxa" w:w="140"/>
              <w:bottom w:type="dxa" w:w="100"/>
              <w:right w:type="dxa" w:w="140"/>
            </w:tcMar>
          </w:tcPr>
          <w:p>
            <w:r>
              <w:rPr>
                <w:rFonts w:ascii="Arial" w:cs="Arial" w:eastAsia="Arial" w:hAnsi="Arial"/>
                <w:color w:val="1A1A1A"/>
                <w:sz w:val="20"/>
                <w:szCs w:val="20"/>
              </w:rPr>
              <w:t xml:space="preserve">Funding statement front-and-center in every publication. Instrument brand-neutrality independently reviewable since the instrument is public from W3 onward.</w:t>
            </w:r>
          </w:p>
        </w:tc>
      </w:tr>
    </w:tbl>
    <w:p>
      <w:pPr>
        <w:pStyle w:val="Heading1"/>
        <w:spacing w:after="200" w:before="360"/>
      </w:pPr>
      <w:r>
        <w:rPr>
          <w:rFonts w:ascii="Arial" w:cs="Arial" w:eastAsia="Arial" w:hAnsi="Arial"/>
          <w:b/>
          <w:bCs/>
          <w:color w:val="1A1A1A"/>
          <w:sz w:val="36"/>
          <w:szCs w:val="36"/>
        </w:rPr>
        <w:t xml:space="preserve">14. Success metrics</w:t>
      </w:r>
    </w:p>
    <w:p>
      <w:pPr>
        <w:spacing w:after="120" w:line="320"/>
      </w:pPr>
      <w:r>
        <w:rPr>
          <w:rFonts w:ascii="Arial" w:cs="Arial" w:eastAsia="Arial" w:hAnsi="Arial"/>
          <w:color w:val="1A1A1A"/>
          <w:sz w:val="22"/>
          <w:szCs w:val="22"/>
        </w:rPr>
        <w:t xml:space="preserve">Three tiers. Tier 1 — research-integrity metrics — must all be met or the project does not publish. Tier 2 — citation metrics — measured 90 days post-publication. Tier 3 — business metrics — measured 12 months post-publication.</w:t>
      </w:r>
    </w:p>
    <w:p>
      <w:pPr>
        <w:pStyle w:val="Heading2"/>
        <w:spacing w:after="160" w:before="280"/>
      </w:pPr>
      <w:r>
        <w:rPr>
          <w:rFonts w:ascii="Arial" w:cs="Arial" w:eastAsia="Arial" w:hAnsi="Arial"/>
          <w:b/>
          <w:bCs/>
          <w:color w:val="1A1A1A"/>
          <w:sz w:val="28"/>
          <w:szCs w:val="28"/>
        </w:rPr>
        <w:t xml:space="preserve">14.1 Tier 1 — research integrity (must-meet)</w:t>
      </w:r>
    </w:p>
    <w:p>
      <w:pPr>
        <w:pStyle w:val="ListParagraph"/>
        <w:numPr>
          <w:ilvl w:val="0"/>
          <w:numId w:val="2"/>
        </w:numPr>
        <w:spacing w:after="80" w:line="300"/>
      </w:pPr>
      <w:r>
        <w:rPr>
          <w:rFonts w:ascii="Arial" w:cs="Arial" w:eastAsia="Arial" w:hAnsi="Arial"/>
          <w:color w:val="1A1A1A"/>
          <w:sz w:val="22"/>
          <w:szCs w:val="22"/>
        </w:rPr>
        <w:t xml:space="preserve">N≥200 completed responses with N≥8 in every industry (≥10 for at least 15 of 20).</w:t>
      </w:r>
    </w:p>
    <w:p>
      <w:pPr>
        <w:pStyle w:val="ListParagraph"/>
        <w:numPr>
          <w:ilvl w:val="0"/>
          <w:numId w:val="2"/>
        </w:numPr>
        <w:spacing w:after="80" w:line="300"/>
      </w:pPr>
      <w:r>
        <w:rPr>
          <w:rFonts w:ascii="Arial" w:cs="Arial" w:eastAsia="Arial" w:hAnsi="Arial"/>
          <w:color w:val="1A1A1A"/>
          <w:sz w:val="22"/>
          <w:szCs w:val="22"/>
        </w:rPr>
        <w:t xml:space="preserve">Reliability α ≥ 0.75 on the Likert KPI batteries.</w:t>
      </w:r>
    </w:p>
    <w:p>
      <w:pPr>
        <w:pStyle w:val="ListParagraph"/>
        <w:numPr>
          <w:ilvl w:val="0"/>
          <w:numId w:val="2"/>
        </w:numPr>
        <w:spacing w:after="80" w:line="300"/>
      </w:pPr>
      <w:r>
        <w:rPr>
          <w:rFonts w:ascii="Arial" w:cs="Arial" w:eastAsia="Arial" w:hAnsi="Arial"/>
          <w:color w:val="1A1A1A"/>
          <w:sz w:val="22"/>
          <w:szCs w:val="22"/>
        </w:rPr>
        <w:t xml:space="preserve">Attention-check failure rate &lt;15% in the analytic sample.</w:t>
      </w:r>
    </w:p>
    <w:p>
      <w:pPr>
        <w:pStyle w:val="ListParagraph"/>
        <w:numPr>
          <w:ilvl w:val="0"/>
          <w:numId w:val="2"/>
        </w:numPr>
        <w:spacing w:after="80" w:line="300"/>
      </w:pPr>
      <w:r>
        <w:rPr>
          <w:rFonts w:ascii="Arial" w:cs="Arial" w:eastAsia="Arial" w:hAnsi="Arial"/>
          <w:color w:val="1A1A1A"/>
          <w:sz w:val="22"/>
          <w:szCs w:val="22"/>
        </w:rPr>
        <w:t xml:space="preserve">Inter-rater κ ≥ 0.70 on qualitative coding.</w:t>
      </w:r>
    </w:p>
    <w:p>
      <w:pPr>
        <w:pStyle w:val="ListParagraph"/>
        <w:numPr>
          <w:ilvl w:val="0"/>
          <w:numId w:val="2"/>
        </w:numPr>
        <w:spacing w:after="80" w:line="300"/>
      </w:pPr>
      <w:r>
        <w:rPr>
          <w:rFonts w:ascii="Arial" w:cs="Arial" w:eastAsia="Arial" w:hAnsi="Arial"/>
          <w:color w:val="1A1A1A"/>
          <w:sz w:val="22"/>
          <w:szCs w:val="22"/>
        </w:rPr>
        <w:t xml:space="preserve">100% of primary analyses run from the pre-registered plan without unannounced modification.</w:t>
      </w:r>
    </w:p>
    <w:p>
      <w:pPr>
        <w:pStyle w:val="Heading2"/>
        <w:spacing w:after="160" w:before="280"/>
      </w:pPr>
      <w:r>
        <w:rPr>
          <w:rFonts w:ascii="Arial" w:cs="Arial" w:eastAsia="Arial" w:hAnsi="Arial"/>
          <w:b/>
          <w:bCs/>
          <w:color w:val="1A1A1A"/>
          <w:sz w:val="28"/>
          <w:szCs w:val="28"/>
        </w:rPr>
        <w:t xml:space="preserve">14.2 Tier 2 — citations (90 days post-launch)</w:t>
      </w:r>
    </w:p>
    <w:p>
      <w:pPr>
        <w:pStyle w:val="ListParagraph"/>
        <w:numPr>
          <w:ilvl w:val="0"/>
          <w:numId w:val="2"/>
        </w:numPr>
        <w:spacing w:after="80" w:line="300"/>
      </w:pPr>
      <w:r>
        <w:rPr>
          <w:rFonts w:ascii="Arial" w:cs="Arial" w:eastAsia="Arial" w:hAnsi="Arial"/>
          <w:color w:val="1A1A1A"/>
          <w:sz w:val="22"/>
          <w:szCs w:val="22"/>
        </w:rPr>
        <w:t xml:space="preserve">≥3 placements in trade press (RFID Journal, Supply Chain 24/7, Healthcare IT News, Pharmacy Times, Pharmacy Practice News).</w:t>
      </w:r>
    </w:p>
    <w:p>
      <w:pPr>
        <w:pStyle w:val="ListParagraph"/>
        <w:numPr>
          <w:ilvl w:val="0"/>
          <w:numId w:val="2"/>
        </w:numPr>
        <w:spacing w:after="80" w:line="300"/>
      </w:pPr>
      <w:r>
        <w:rPr>
          <w:rFonts w:ascii="Arial" w:cs="Arial" w:eastAsia="Arial" w:hAnsi="Arial"/>
          <w:color w:val="1A1A1A"/>
          <w:sz w:val="22"/>
          <w:szCs w:val="22"/>
        </w:rPr>
        <w:t xml:space="preserve">Listed by name in ≥2 AI-search answers (Perplexity, Bing Copilot, ChatGPT Search) for the queries the study addresses.</w:t>
      </w:r>
    </w:p>
    <w:p>
      <w:pPr>
        <w:pStyle w:val="ListParagraph"/>
        <w:numPr>
          <w:ilvl w:val="0"/>
          <w:numId w:val="2"/>
        </w:numPr>
        <w:spacing w:after="80" w:line="300"/>
      </w:pPr>
      <w:r>
        <w:rPr>
          <w:rFonts w:ascii="Arial" w:cs="Arial" w:eastAsia="Arial" w:hAnsi="Arial"/>
          <w:color w:val="1A1A1A"/>
          <w:sz w:val="22"/>
          <w:szCs w:val="22"/>
        </w:rPr>
        <w:t xml:space="preserve">≥10 inbound links from third-party domains.</w:t>
      </w:r>
    </w:p>
    <w:p>
      <w:pPr>
        <w:pStyle w:val="ListParagraph"/>
        <w:numPr>
          <w:ilvl w:val="0"/>
          <w:numId w:val="2"/>
        </w:numPr>
        <w:spacing w:after="80" w:line="300"/>
      </w:pPr>
      <w:r>
        <w:rPr>
          <w:rFonts w:ascii="Arial" w:cs="Arial" w:eastAsia="Arial" w:hAnsi="Arial"/>
          <w:color w:val="1A1A1A"/>
          <w:sz w:val="22"/>
          <w:szCs w:val="22"/>
        </w:rPr>
        <w:t xml:space="preserve">≥1,000 PDF downloads.</w:t>
      </w:r>
    </w:p>
    <w:p>
      <w:pPr>
        <w:pStyle w:val="Heading2"/>
        <w:spacing w:after="160" w:before="280"/>
      </w:pPr>
      <w:r>
        <w:rPr>
          <w:rFonts w:ascii="Arial" w:cs="Arial" w:eastAsia="Arial" w:hAnsi="Arial"/>
          <w:b/>
          <w:bCs/>
          <w:color w:val="1A1A1A"/>
          <w:sz w:val="28"/>
          <w:szCs w:val="28"/>
        </w:rPr>
        <w:t xml:space="preserve">14.3 Tier 3 — business impact (12 months)</w:t>
      </w:r>
    </w:p>
    <w:p>
      <w:pPr>
        <w:pStyle w:val="ListParagraph"/>
        <w:numPr>
          <w:ilvl w:val="0"/>
          <w:numId w:val="2"/>
        </w:numPr>
        <w:spacing w:after="80" w:line="300"/>
      </w:pPr>
      <w:r>
        <w:rPr>
          <w:rFonts w:ascii="Arial" w:cs="Arial" w:eastAsia="Arial" w:hAnsi="Arial"/>
          <w:color w:val="1A1A1A"/>
          <w:sz w:val="22"/>
          <w:szCs w:val="22"/>
        </w:rPr>
        <w:t xml:space="preserve">Measurable lift in the 20 /industries/ pages for top organic keywords (≥3 positions on at least 10 of 20 industries).</w:t>
      </w:r>
    </w:p>
    <w:p>
      <w:pPr>
        <w:pStyle w:val="ListParagraph"/>
        <w:numPr>
          <w:ilvl w:val="0"/>
          <w:numId w:val="2"/>
        </w:numPr>
        <w:spacing w:after="80" w:line="300"/>
      </w:pPr>
      <w:r>
        <w:rPr>
          <w:rFonts w:ascii="Arial" w:cs="Arial" w:eastAsia="Arial" w:hAnsi="Arial"/>
          <w:color w:val="1A1A1A"/>
          <w:sz w:val="22"/>
          <w:szCs w:val="22"/>
        </w:rPr>
        <w:t xml:space="preserve">Measurable lift in inbound inquiries citing the report (target: ≥10 inquiries with the report as a named touchpoint).</w:t>
      </w:r>
    </w:p>
    <w:p>
      <w:pPr>
        <w:pStyle w:val="ListParagraph"/>
        <w:numPr>
          <w:ilvl w:val="0"/>
          <w:numId w:val="2"/>
        </w:numPr>
        <w:spacing w:after="80" w:line="300"/>
      </w:pPr>
      <w:r>
        <w:rPr>
          <w:rFonts w:ascii="Arial" w:cs="Arial" w:eastAsia="Arial" w:hAnsi="Arial"/>
          <w:color w:val="1A1A1A"/>
          <w:sz w:val="22"/>
          <w:szCs w:val="22"/>
        </w:rPr>
        <w:t xml:space="preserve">At least one direct customer engagement traceable to the report.</w:t>
      </w:r>
    </w:p>
    <w:p>
      <w:pPr>
        <w:pStyle w:val="Heading1"/>
        <w:spacing w:after="200" w:before="360"/>
      </w:pPr>
      <w:r>
        <w:rPr>
          <w:rFonts w:ascii="Arial" w:cs="Arial" w:eastAsia="Arial" w:hAnsi="Arial"/>
          <w:b/>
          <w:bCs/>
          <w:color w:val="1A1A1A"/>
          <w:sz w:val="36"/>
          <w:szCs w:val="36"/>
        </w:rPr>
        <w:t xml:space="preserve">15. Approval and sign-off</w:t>
      </w:r>
    </w:p>
    <w:p>
      <w:pPr>
        <w:spacing w:after="120" w:line="320"/>
      </w:pPr>
      <w:r>
        <w:rPr>
          <w:rFonts w:ascii="Arial" w:cs="Arial" w:eastAsia="Arial" w:hAnsi="Arial"/>
          <w:color w:val="1A1A1A"/>
          <w:sz w:val="22"/>
          <w:szCs w:val="22"/>
        </w:rPr>
        <w:t xml:space="preserve">This Charter is the binding scope, methodology, timeline and budget for the Proud Tek 2026 RFID Industry Adoption Index. Once signed, changes require a written addendum approved by the sponsor.</w:t>
      </w:r>
    </w:p>
    <w:p>
      <w:pPr>
        <w:spacing w:after="80" w:before="320"/>
      </w:pPr>
      <w:r>
        <w:rPr>
          <w:rFonts w:ascii="Arial" w:cs="Arial" w:eastAsia="Arial" w:hAnsi="Arial"/>
          <w:b/>
          <w:bCs/>
          <w:color w:val="1A1A1A"/>
          <w:sz w:val="22"/>
          <w:szCs w:val="22"/>
        </w:rPr>
        <w:t xml:space="preserve">Sponsor</w:t>
      </w:r>
    </w:p>
    <w:p>
      <w:pPr>
        <w:spacing w:after="120" w:line="320"/>
      </w:pPr>
      <w:r>
        <w:rPr>
          <w:rFonts w:ascii="Arial" w:cs="Arial" w:eastAsia="Arial" w:hAnsi="Arial"/>
          <w:color w:val="1A1A1A"/>
          <w:sz w:val="22"/>
          <w:szCs w:val="22"/>
        </w:rPr>
        <w:t xml:space="preserve">Peter Zhang, Principal</w:t>
      </w:r>
    </w:p>
    <w:p>
      <w:pPr>
        <w:spacing w:after="80" w:before="480"/>
      </w:pPr>
      <w:r>
        <w:rPr>
          <w:rFonts w:ascii="Arial" w:cs="Arial" w:eastAsia="Arial" w:hAnsi="Arial"/>
          <w:color w:val="1A1A1A"/>
          <w:sz w:val="22"/>
          <w:szCs w:val="22"/>
        </w:rPr>
        <w:t xml:space="preserve">Signature: </w:t>
      </w:r>
      <w:r>
        <w:rPr>
          <w:rFonts w:ascii="Arial" w:cs="Arial" w:eastAsia="Arial" w:hAnsi="Arial"/>
          <w:color w:val="1A1A1A"/>
          <w:sz w:val="22"/>
          <w:szCs w:val="22"/>
        </w:rPr>
        <w:t xml:space="preserve">_________________________________  </w:t>
      </w:r>
      <w:r>
        <w:rPr>
          <w:rFonts w:ascii="Arial" w:cs="Arial" w:eastAsia="Arial" w:hAnsi="Arial"/>
          <w:color w:val="1A1A1A"/>
          <w:sz w:val="22"/>
          <w:szCs w:val="22"/>
        </w:rPr>
        <w:t xml:space="preserve">Date: __________</w:t>
      </w:r>
    </w:p>
    <w:p>
      <w:pPr>
        <w:spacing w:after="80" w:before="480"/>
      </w:pPr>
      <w:r>
        <w:rPr>
          <w:rFonts w:ascii="Arial" w:cs="Arial" w:eastAsia="Arial" w:hAnsi="Arial"/>
          <w:b/>
          <w:bCs/>
          <w:color w:val="1A1A1A"/>
          <w:sz w:val="22"/>
          <w:szCs w:val="22"/>
        </w:rPr>
        <w:t xml:space="preserve">Research lead</w:t>
      </w:r>
    </w:p>
    <w:p>
      <w:pPr>
        <w:spacing w:after="120" w:line="320"/>
      </w:pPr>
      <w:r>
        <w:rPr>
          <w:rFonts w:ascii="Arial" w:cs="Arial" w:eastAsia="Arial" w:hAnsi="Arial"/>
          <w:color w:val="1A1A1A"/>
          <w:sz w:val="22"/>
          <w:szCs w:val="22"/>
        </w:rPr>
        <w:t xml:space="preserve">ProudTek Editorial Board (designee)</w:t>
      </w:r>
    </w:p>
    <w:p>
      <w:pPr>
        <w:spacing w:after="80" w:before="480"/>
      </w:pPr>
      <w:r>
        <w:rPr>
          <w:rFonts w:ascii="Arial" w:cs="Arial" w:eastAsia="Arial" w:hAnsi="Arial"/>
          <w:color w:val="1A1A1A"/>
          <w:sz w:val="22"/>
          <w:szCs w:val="22"/>
        </w:rPr>
        <w:t xml:space="preserve">Signature: </w:t>
      </w:r>
      <w:r>
        <w:rPr>
          <w:rFonts w:ascii="Arial" w:cs="Arial" w:eastAsia="Arial" w:hAnsi="Arial"/>
          <w:color w:val="1A1A1A"/>
          <w:sz w:val="22"/>
          <w:szCs w:val="22"/>
        </w:rPr>
        <w:t xml:space="preserve">_________________________________  </w:t>
      </w:r>
      <w:r>
        <w:rPr>
          <w:rFonts w:ascii="Arial" w:cs="Arial" w:eastAsia="Arial" w:hAnsi="Arial"/>
          <w:color w:val="1A1A1A"/>
          <w:sz w:val="22"/>
          <w:szCs w:val="22"/>
        </w:rPr>
        <w:t xml:space="preserve">Date: __________</w:t>
      </w:r>
    </w:p>
    <w:p>
      <w:pPr>
        <w:spacing w:after="80" w:before="480"/>
      </w:pPr>
      <w:r>
        <w:rPr>
          <w:rFonts w:ascii="Arial" w:cs="Arial" w:eastAsia="Arial" w:hAnsi="Arial"/>
          <w:b/>
          <w:bCs/>
          <w:color w:val="1A1A1A"/>
          <w:sz w:val="22"/>
          <w:szCs w:val="22"/>
        </w:rPr>
        <w:t xml:space="preserve">Statistical adviser</w:t>
      </w:r>
    </w:p>
    <w:p>
      <w:pPr>
        <w:spacing w:after="120" w:line="320"/>
      </w:pPr>
      <w:r>
        <w:rPr>
          <w:rFonts w:ascii="Arial" w:cs="Arial" w:eastAsia="Arial" w:hAnsi="Arial"/>
          <w:color w:val="1A1A1A"/>
          <w:sz w:val="22"/>
          <w:szCs w:val="22"/>
        </w:rPr>
        <w:t xml:space="preserve">To be confirmed at Week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C5C5C"/>
        <w:sz w:val="18"/>
        <w:szCs w:val="18"/>
      </w:rPr>
      <w:t xml:space="preserve">Confidential — pre-registration version</w:t>
    </w:r>
    <w:r>
      <w:rPr>
        <w:rFonts w:ascii="Arial" w:cs="Arial" w:eastAsia="Arial" w:hAnsi="Arial"/>
        <w:color w:val="5C5C5C"/>
        <w:sz w:val="18"/>
        <w:szCs w:val="18"/>
      </w:rPr>
      <w:t xml:space="preserve">	Page </w:t>
    </w:r>
    <w:r>
      <w:rPr>
        <w:rFonts w:ascii="Arial" w:cs="Arial" w:eastAsia="Arial" w:hAnsi="Arial"/>
        <w:color w:val="5C5C5C"/>
        <w:sz w:val="18"/>
        <w:szCs w:val="18"/>
      </w:rPr>
      <w:fldChar w:fldCharType="begin"/>
      <w:instrText xml:space="preserve">PAGE</w:instrText>
      <w:fldChar w:fldCharType="separate"/>
      <w:fldChar w:fldCharType="end"/>
    </w:r>
    <w:r>
      <w:rPr>
        <w:rFonts w:ascii="Arial" w:cs="Arial" w:eastAsia="Arial" w:hAnsi="Arial"/>
        <w:color w:val="5C5C5C"/>
        <w:sz w:val="18"/>
        <w:szCs w:val="18"/>
      </w:rPr>
      <w:t xml:space="preserve"> of </w:t>
    </w:r>
    <w:r>
      <w:rPr>
        <w:rFonts w:ascii="Arial" w:cs="Arial" w:eastAsia="Arial" w:hAnsi="Arial"/>
        <w:color w:val="5C5C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5C5C5C"/>
        <w:sz w:val="18"/>
        <w:szCs w:val="18"/>
      </w:rPr>
      <w:t xml:space="preserve">Proud Tek Research</w:t>
    </w:r>
    <w:r>
      <w:rPr>
        <w:rFonts w:ascii="Arial" w:cs="Arial" w:eastAsia="Arial" w:hAnsi="Arial"/>
        <w:color w:val="5C5C5C"/>
        <w:sz w:val="18"/>
        <w:szCs w:val="18"/>
      </w:rPr>
      <w:t xml:space="preserve">	2026 RFID Industry Adoption Index — Project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Proud Tek 2026 RFID Industry Adoption Index — Project Charter</dc:title>
  <dc:creator>ProudTek Editorial Board</dc:creator>
  <dc:description>Vendor-neutral primary-data survey of 200 RFID/NFC buyers across 20 industries.</dc:description>
  <cp:lastModifiedBy>Un-named</cp:lastModifiedBy>
  <cp:revision>1</cp:revision>
  <dcterms:created xsi:type="dcterms:W3CDTF">2026-05-11T15:20:02.614Z</dcterms:created>
  <dcterms:modified xsi:type="dcterms:W3CDTF">2026-05-11T15:20:02.614Z</dcterms:modified>
</cp:coreProperties>
</file>

<file path=docProps/custom.xml><?xml version="1.0" encoding="utf-8"?>
<Properties xmlns="http://schemas.openxmlformats.org/officeDocument/2006/custom-properties" xmlns:vt="http://schemas.openxmlformats.org/officeDocument/2006/docPropsVTypes"/>
</file>