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C39A5F"/>
          <w:sz w:val="28"/>
          <w:szCs w:val="28"/>
        </w:rPr>
        <w:t xml:space="preserve">PROUD TEK</w:t>
      </w:r>
    </w:p>
    <w:p>
      <w:pPr>
        <w:spacing w:after="320"/>
        <w:jc w:val="center"/>
      </w:pPr>
      <w:r>
        <w:rPr>
          <w:rFonts w:ascii="Arial" w:cs="Arial" w:eastAsia="Arial" w:hAnsi="Arial"/>
          <w:color w:val="5C5C5C"/>
          <w:sz w:val="22"/>
          <w:szCs w:val="22"/>
        </w:rPr>
        <w:t xml:space="preserve">Research</w:t>
      </w:r>
    </w:p>
    <w:p>
      <w:pPr>
        <w:spacing w:after="200"/>
        <w:jc w:val="center"/>
      </w:pPr>
      <w:r>
        <w:rPr>
          <w:rFonts w:ascii="Arial" w:cs="Arial" w:eastAsia="Arial" w:hAnsi="Arial"/>
          <w:b/>
          <w:bCs/>
          <w:color w:val="1A1A1A"/>
          <w:sz w:val="56"/>
          <w:szCs w:val="56"/>
        </w:rPr>
        <w:t xml:space="preserve">2026 RFID Industry Adoption Index</w:t>
      </w:r>
    </w:p>
    <w:p>
      <w:pPr>
        <w:spacing w:after="480"/>
        <w:jc w:val="center"/>
      </w:pPr>
      <w:r>
        <w:rPr>
          <w:rFonts w:ascii="Arial" w:cs="Arial" w:eastAsia="Arial" w:hAnsi="Arial"/>
          <w:i/>
          <w:iCs/>
          <w:color w:val="5C5C5C"/>
          <w:sz w:val="26"/>
          <w:szCs w:val="26"/>
        </w:rPr>
        <w:t xml:space="preserve">Recruitment &amp; Consent Pack — operational manual for fieldwork</w:t>
      </w:r>
    </w:p>
    <w:p>
      <w:pPr>
        <w:pBdr>
          <w:bottom w:val="single" w:color="C39A5F" w:sz="6" w:space="1"/>
        </w:pBdr>
        <w:spacing w:after="120" w:before="120"/>
      </w:pPr>
      <w:r>
        <w:t xml:space="preserve"/>
      </w:r>
    </w:p>
    <w:p>
      <w:pPr>
        <w:spacing w:after="80" w:before="240"/>
        <w:jc w:val="center"/>
      </w:pPr>
      <w:r>
        <w:rPr>
          <w:rFonts w:ascii="Arial" w:cs="Arial" w:eastAsia="Arial" w:hAnsi="Arial"/>
          <w:b/>
          <w:bCs/>
          <w:color w:val="1A1A1A"/>
          <w:sz w:val="20"/>
          <w:szCs w:val="20"/>
        </w:rPr>
        <w:t xml:space="preserve">Pre-registered companion document</w:t>
      </w:r>
    </w:p>
    <w:p>
      <w:pPr>
        <w:spacing w:after="120"/>
        <w:jc w:val="center"/>
      </w:pPr>
      <w:r>
        <w:rPr>
          <w:rFonts w:ascii="Arial" w:cs="Arial" w:eastAsia="Arial" w:hAnsi="Arial"/>
          <w:color w:val="5C5C5C"/>
          <w:sz w:val="20"/>
          <w:szCs w:val="20"/>
        </w:rPr>
        <w:t xml:space="preserve">Document version 1.0 — 2026-05-11</w:t>
      </w:r>
    </w:p>
    <w:p>
      <w:pPr>
        <w:spacing w:after="480"/>
        <w:jc w:val="center"/>
      </w:pPr>
      <w:r>
        <w:rPr>
          <w:rFonts w:ascii="Arial" w:cs="Arial" w:eastAsia="Arial" w:hAnsi="Arial"/>
          <w:color w:val="5C5C5C"/>
          <w:sz w:val="20"/>
          <w:szCs w:val="20"/>
        </w:rPr>
        <w:t xml:space="preserve">Companion to: 01-project-charter.docx (binding methodology)</w:t>
      </w:r>
    </w:p>
    <w:p>
      <w:pPr>
        <w:pBdr>
          <w:bottom w:val="single" w:color="C39A5F" w:sz="6" w:space="1"/>
        </w:pBdr>
        <w:spacing w:after="120" w:before="120"/>
      </w:pPr>
      <w:r>
        <w:t xml:space="preserve"/>
      </w:r>
    </w:p>
    <w:p>
      <w:pPr>
        <w:spacing w:after="120" w:before="320"/>
        <w:jc w:val="center"/>
      </w:pPr>
      <w:r>
        <w:rPr>
          <w:rFonts w:ascii="Arial" w:cs="Arial" w:eastAsia="Arial" w:hAnsi="Arial"/>
          <w:color w:val="1A1A1A"/>
          <w:sz w:val="22"/>
          <w:szCs w:val="22"/>
        </w:rPr>
        <w:t xml:space="preserve">Prepared by  ProudTek Editorial Board — Research Operations</w:t>
      </w:r>
    </w:p>
    <w:p>
      <w:pPr>
        <w:spacing w:after="80"/>
        <w:jc w:val="center"/>
      </w:pPr>
      <w:r>
        <w:rPr>
          <w:rFonts w:ascii="Arial" w:cs="Arial" w:eastAsia="Arial" w:hAnsi="Arial"/>
          <w:color w:val="1A1A1A"/>
          <w:sz w:val="22"/>
          <w:szCs w:val="22"/>
        </w:rPr>
        <w:t xml:space="preserve">Approving sponsor  Peter Zhang</w:t>
      </w:r>
    </w:p>
    <w:p>
      <w:pPr>
        <w:spacing w:after="80"/>
        <w:jc w:val="center"/>
      </w:pPr>
      <w:r>
        <w:rPr>
          <w:rFonts w:ascii="Arial" w:cs="Arial" w:eastAsia="Arial" w:hAnsi="Arial"/>
          <w:color w:val="5C5C5C"/>
          <w:sz w:val="22"/>
          <w:szCs w:val="22"/>
        </w:rPr>
        <w:t xml:space="preserve">Operational owner  Recruitment Lead (designee)</w:t>
      </w:r>
    </w:p>
    <w:p>
      <w:r>
        <w:br w:type="page"/>
      </w:r>
    </w:p>
    <w:p>
      <w:pPr>
        <w:pStyle w:val="Heading1"/>
        <w:spacing w:after="200" w:before="360"/>
      </w:pPr>
      <w:r>
        <w:rPr>
          <w:rFonts w:ascii="Arial" w:cs="Arial" w:eastAsia="Arial" w:hAnsi="Arial"/>
          <w:b/>
          <w:bCs/>
          <w:color w:val="1A1A1A"/>
          <w:sz w:val="36"/>
          <w:szCs w:val="36"/>
        </w:rPr>
        <w:t xml:space="preserve">Contents</w:t>
      </w:r>
    </w:p>
    <w:p>
      <w:pPr>
        <w:spacing w:after="120" w:line="320"/>
        <w:rPr>
          <w:sz w:val="22"/>
          <w:szCs w:val="22"/>
        </w:rPr>
      </w:pPr>
      <w:r>
        <w:rPr>
          <w:rFonts w:ascii="Arial" w:cs="Arial" w:eastAsia="Arial" w:hAnsi="Arial"/>
          <w:color w:val="1A1A1A"/>
          <w:sz w:val="22"/>
          <w:szCs w:val="22"/>
        </w:rPr>
        <w:t xml:space="preserve">1. Purpose of this pack</w:t>
      </w:r>
    </w:p>
    <w:p>
      <w:pPr>
        <w:spacing w:after="120" w:line="320"/>
        <w:rPr>
          <w:sz w:val="22"/>
          <w:szCs w:val="22"/>
        </w:rPr>
      </w:pPr>
      <w:r>
        <w:rPr>
          <w:rFonts w:ascii="Arial" w:cs="Arial" w:eastAsia="Arial" w:hAnsi="Arial"/>
          <w:color w:val="1A1A1A"/>
          <w:sz w:val="22"/>
          <w:szCs w:val="22"/>
        </w:rPr>
        <w:t xml:space="preserve">2. Respondent persona definitions (20 industries)</w:t>
      </w:r>
    </w:p>
    <w:p>
      <w:pPr>
        <w:spacing w:after="120" w:line="320"/>
        <w:rPr>
          <w:sz w:val="22"/>
          <w:szCs w:val="22"/>
        </w:rPr>
      </w:pPr>
      <w:r>
        <w:rPr>
          <w:rFonts w:ascii="Arial" w:cs="Arial" w:eastAsia="Arial" w:hAnsi="Arial"/>
          <w:color w:val="1A1A1A"/>
          <w:sz w:val="22"/>
          <w:szCs w:val="22"/>
        </w:rPr>
        <w:t xml:space="preserve">3. Channel playbook</w:t>
      </w:r>
    </w:p>
    <w:p>
      <w:pPr>
        <w:spacing w:after="120" w:line="320"/>
        <w:rPr>
          <w:sz w:val="22"/>
          <w:szCs w:val="22"/>
        </w:rPr>
      </w:pPr>
      <w:r>
        <w:rPr>
          <w:rFonts w:ascii="Arial" w:cs="Arial" w:eastAsia="Arial" w:hAnsi="Arial"/>
          <w:color w:val="1A1A1A"/>
          <w:sz w:val="22"/>
          <w:szCs w:val="22"/>
        </w:rPr>
        <w:t xml:space="preserve">4. Incentive design</w:t>
      </w:r>
    </w:p>
    <w:p>
      <w:pPr>
        <w:spacing w:after="120" w:line="320"/>
        <w:rPr>
          <w:sz w:val="22"/>
          <w:szCs w:val="22"/>
        </w:rPr>
      </w:pPr>
      <w:r>
        <w:rPr>
          <w:rFonts w:ascii="Arial" w:cs="Arial" w:eastAsia="Arial" w:hAnsi="Arial"/>
          <w:color w:val="1A1A1A"/>
          <w:sz w:val="22"/>
          <w:szCs w:val="22"/>
        </w:rPr>
        <w:t xml:space="preserve">5. Qualification screener</w:t>
      </w:r>
    </w:p>
    <w:p>
      <w:pPr>
        <w:spacing w:after="120" w:line="320"/>
        <w:rPr>
          <w:sz w:val="22"/>
          <w:szCs w:val="22"/>
        </w:rPr>
      </w:pPr>
      <w:r>
        <w:rPr>
          <w:rFonts w:ascii="Arial" w:cs="Arial" w:eastAsia="Arial" w:hAnsi="Arial"/>
          <w:color w:val="1A1A1A"/>
          <w:sz w:val="22"/>
          <w:szCs w:val="22"/>
        </w:rPr>
        <w:t xml:space="preserve">6. Participant Information Sheet (PIS)</w:t>
      </w:r>
    </w:p>
    <w:p>
      <w:pPr>
        <w:spacing w:after="120" w:line="320"/>
        <w:rPr>
          <w:sz w:val="22"/>
          <w:szCs w:val="22"/>
        </w:rPr>
      </w:pPr>
      <w:r>
        <w:rPr>
          <w:rFonts w:ascii="Arial" w:cs="Arial" w:eastAsia="Arial" w:hAnsi="Arial"/>
          <w:color w:val="1A1A1A"/>
          <w:sz w:val="22"/>
          <w:szCs w:val="22"/>
        </w:rPr>
        <w:t xml:space="preserve">7. Electronic consent form text</w:t>
      </w:r>
    </w:p>
    <w:p>
      <w:pPr>
        <w:spacing w:after="120" w:line="320"/>
        <w:rPr>
          <w:sz w:val="22"/>
          <w:szCs w:val="22"/>
        </w:rPr>
      </w:pPr>
      <w:r>
        <w:rPr>
          <w:rFonts w:ascii="Arial" w:cs="Arial" w:eastAsia="Arial" w:hAnsi="Arial"/>
          <w:color w:val="1A1A1A"/>
          <w:sz w:val="22"/>
          <w:szCs w:val="22"/>
        </w:rPr>
        <w:t xml:space="preserve">8. Anonymization protocol</w:t>
      </w:r>
    </w:p>
    <w:p>
      <w:pPr>
        <w:spacing w:after="120" w:line="320"/>
        <w:rPr>
          <w:sz w:val="22"/>
          <w:szCs w:val="22"/>
        </w:rPr>
      </w:pPr>
      <w:r>
        <w:rPr>
          <w:rFonts w:ascii="Arial" w:cs="Arial" w:eastAsia="Arial" w:hAnsi="Arial"/>
          <w:color w:val="1A1A1A"/>
          <w:sz w:val="22"/>
          <w:szCs w:val="22"/>
        </w:rPr>
        <w:t xml:space="preserve">9. Third-party panel SOW outline (Centiment)</w:t>
      </w:r>
    </w:p>
    <w:p>
      <w:pPr>
        <w:spacing w:after="120" w:line="320"/>
        <w:rPr>
          <w:sz w:val="22"/>
          <w:szCs w:val="22"/>
        </w:rPr>
      </w:pPr>
      <w:r>
        <w:rPr>
          <w:rFonts w:ascii="Arial" w:cs="Arial" w:eastAsia="Arial" w:hAnsi="Arial"/>
          <w:color w:val="1A1A1A"/>
          <w:sz w:val="22"/>
          <w:szCs w:val="22"/>
        </w:rPr>
        <w:t xml:space="preserve">10. Recruitment-team RACI and weekly cadence</w:t>
      </w:r>
    </w:p>
    <w:p>
      <w:pPr>
        <w:spacing w:after="120" w:line="320"/>
        <w:rPr>
          <w:sz w:val="22"/>
          <w:szCs w:val="22"/>
        </w:rPr>
      </w:pPr>
      <w:r>
        <w:rPr>
          <w:rFonts w:ascii="Arial" w:cs="Arial" w:eastAsia="Arial" w:hAnsi="Arial"/>
          <w:color w:val="1A1A1A"/>
          <w:sz w:val="22"/>
          <w:szCs w:val="22"/>
        </w:rPr>
        <w:t xml:space="preserve">11. Compliance contacts and escalation tree</w:t>
      </w:r>
    </w:p>
    <w:p>
      <w:r>
        <w:br w:type="page"/>
      </w:r>
    </w:p>
    <w:p>
      <w:pPr>
        <w:pStyle w:val="Heading1"/>
        <w:spacing w:after="200" w:before="360"/>
      </w:pPr>
      <w:r>
        <w:rPr>
          <w:rFonts w:ascii="Arial" w:cs="Arial" w:eastAsia="Arial" w:hAnsi="Arial"/>
          <w:b/>
          <w:bCs/>
          <w:color w:val="1A1A1A"/>
          <w:sz w:val="36"/>
          <w:szCs w:val="36"/>
        </w:rPr>
        <w:t xml:space="preserve">1. Purpose of this pack</w:t>
      </w:r>
    </w:p>
    <w:p>
      <w:pPr>
        <w:spacing w:after="120" w:line="320"/>
      </w:pPr>
      <w:r>
        <w:rPr>
          <w:rFonts w:ascii="Arial" w:cs="Arial" w:eastAsia="Arial" w:hAnsi="Arial"/>
          <w:color w:val="1A1A1A"/>
          <w:sz w:val="22"/>
          <w:szCs w:val="22"/>
        </w:rPr>
        <w:t xml:space="preserve">This pack is the operational manual that the recruitment team uses to find, contact, qualify and onboard the 200 respondents the Charter authorizes. Where the Charter specifies the what (200 respondents stratified across 20 industries, five channels, with a pre-registered consent and anonymization regime), this pack specifies the how — the message templates, the screeners, the consent text, the SOW with the panel vendor, and the weekly cadence that keeps fieldwork on track.</w:t>
      </w:r>
    </w:p>
    <w:p>
      <w:pPr>
        <w:spacing w:after="120" w:line="320"/>
      </w:pPr>
      <w:r>
        <w:rPr>
          <w:rFonts w:ascii="Arial" w:cs="Arial" w:eastAsia="Arial" w:hAnsi="Arial"/>
          <w:color w:val="1A1A1A"/>
          <w:sz w:val="22"/>
          <w:szCs w:val="22"/>
        </w:rPr>
        <w:t xml:space="preserve">It is intended to be read end-to-end once by anyone joining the recruitment team, then used as a reference. Every artifact below is production-ready: the cold-outreach emails can be sent as written, the screener questions can be loaded into Qualtrics as written, the Participant Information Sheet is the actual PIS shown to respondents at instrument open. Changes to any artifact require a written addendum signed by the sponsor, exactly as Charter changes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C39A5F" w:sz="18"/>
              <w:bottom w:val="single" w:color="D6D6D6" w:sz="4"/>
              <w:right w:val="single" w:color="D6D6D6" w:sz="4"/>
            </w:tcBorders>
            <w:shd w:fill="F8F2E8" w:val="clear"/>
            <w:tcMar>
              <w:top w:type="dxa" w:w="100"/>
              <w:left w:type="dxa" w:w="140"/>
              <w:bottom w:type="dxa" w:w="100"/>
              <w:right w:type="dxa" w:w="140"/>
            </w:tcMar>
          </w:tcPr>
          <w:p>
            <w:pPr>
              <w:spacing w:after="80"/>
            </w:pPr>
            <w:r>
              <w:rPr>
                <w:rFonts w:ascii="Arial" w:cs="Arial" w:eastAsia="Arial" w:hAnsi="Arial"/>
                <w:b/>
                <w:bCs/>
                <w:color w:val="1A1A1A"/>
                <w:sz w:val="20"/>
                <w:szCs w:val="20"/>
              </w:rPr>
              <w:t xml:space="preserve">Relationship to the Charter</w:t>
            </w:r>
          </w:p>
          <w:p>
            <w:pPr>
              <w:spacing w:after="0" w:line="300"/>
            </w:pPr>
            <w:r>
              <w:rPr>
                <w:rFonts w:ascii="Arial" w:cs="Arial" w:eastAsia="Arial" w:hAnsi="Arial"/>
                <w:color w:val="1A1A1A"/>
                <w:sz w:val="22"/>
                <w:szCs w:val="22"/>
              </w:rPr>
              <w:t xml:space="preserve">The Charter (01-project-charter.docx) is the binding scope. This pack does not amend the Charter; it operationalizes Sections 5 (Recruitment), 7 (Data governance and ethics) and 12 (RACI) of the Charter. Any conflict between this pack and the Charter is resolved in favor of the Charter.</w:t>
            </w:r>
          </w:p>
        </w:tc>
      </w:tr>
    </w:tbl>
    <w:p>
      <w:pPr>
        <w:pStyle w:val="Heading2"/>
        <w:spacing w:after="160" w:before="280"/>
      </w:pPr>
      <w:r>
        <w:rPr>
          <w:rFonts w:ascii="Arial" w:cs="Arial" w:eastAsia="Arial" w:hAnsi="Arial"/>
          <w:b/>
          <w:bCs/>
          <w:color w:val="1A1A1A"/>
          <w:sz w:val="28"/>
          <w:szCs w:val="28"/>
        </w:rPr>
        <w:t xml:space="preserve">1.1 Who uses this pack</w:t>
      </w:r>
    </w:p>
    <w:p>
      <w:pPr>
        <w:pStyle w:val="ListParagraph"/>
        <w:numPr>
          <w:ilvl w:val="0"/>
          <w:numId w:val="2"/>
        </w:numPr>
        <w:spacing w:after="80" w:line="300"/>
      </w:pPr>
      <w:r>
        <w:rPr>
          <w:rFonts w:ascii="Arial" w:cs="Arial" w:eastAsia="Arial" w:hAnsi="Arial"/>
          <w:color w:val="1A1A1A"/>
          <w:sz w:val="22"/>
          <w:szCs w:val="22"/>
        </w:rPr>
        <w:t xml:space="preserve">Recruitment Lead — owns the end-to-end recruitment funnel and quota dashboard.</w:t>
      </w:r>
    </w:p>
    <w:p>
      <w:pPr>
        <w:pStyle w:val="ListParagraph"/>
        <w:numPr>
          <w:ilvl w:val="0"/>
          <w:numId w:val="2"/>
        </w:numPr>
        <w:spacing w:after="80" w:line="300"/>
      </w:pPr>
      <w:r>
        <w:rPr>
          <w:rFonts w:ascii="Arial" w:cs="Arial" w:eastAsia="Arial" w:hAnsi="Arial"/>
          <w:color w:val="1A1A1A"/>
          <w:sz w:val="22"/>
          <w:szCs w:val="22"/>
        </w:rPr>
        <w:t xml:space="preserve">Channel owners (5) — one per channel: LinkedIn, Centiment, trade-association, conference, client-referral.</w:t>
      </w:r>
    </w:p>
    <w:p>
      <w:pPr>
        <w:pStyle w:val="ListParagraph"/>
        <w:numPr>
          <w:ilvl w:val="0"/>
          <w:numId w:val="2"/>
        </w:numPr>
        <w:spacing w:after="80" w:line="300"/>
      </w:pPr>
      <w:r>
        <w:rPr>
          <w:rFonts w:ascii="Arial" w:cs="Arial" w:eastAsia="Arial" w:hAnsi="Arial"/>
          <w:color w:val="1A1A1A"/>
          <w:sz w:val="22"/>
          <w:szCs w:val="22"/>
        </w:rPr>
        <w:t xml:space="preserve">Consent administrator — owns the PIS, electronic consent, and the withdrawal mailbox.</w:t>
      </w:r>
    </w:p>
    <w:p>
      <w:pPr>
        <w:pStyle w:val="ListParagraph"/>
        <w:numPr>
          <w:ilvl w:val="0"/>
          <w:numId w:val="2"/>
        </w:numPr>
        <w:spacing w:after="80" w:line="300"/>
      </w:pPr>
      <w:r>
        <w:rPr>
          <w:rFonts w:ascii="Arial" w:cs="Arial" w:eastAsia="Arial" w:hAnsi="Arial"/>
          <w:color w:val="1A1A1A"/>
          <w:sz w:val="22"/>
          <w:szCs w:val="22"/>
        </w:rPr>
        <w:t xml:space="preserve">Anonymization reviewer — independent contractor; signs off on the analytic dataset before any analysis runs.</w:t>
      </w:r>
    </w:p>
    <w:p>
      <w:pPr>
        <w:pStyle w:val="ListParagraph"/>
        <w:numPr>
          <w:ilvl w:val="0"/>
          <w:numId w:val="2"/>
        </w:numPr>
        <w:spacing w:after="80" w:line="300"/>
      </w:pPr>
      <w:r>
        <w:rPr>
          <w:rFonts w:ascii="Arial" w:cs="Arial" w:eastAsia="Arial" w:hAnsi="Arial"/>
          <w:color w:val="1A1A1A"/>
          <w:sz w:val="22"/>
          <w:szCs w:val="22"/>
        </w:rPr>
        <w:t xml:space="preserve">Research Lead — escalation point and weekly review chair.</w:t>
      </w:r>
    </w:p>
    <w:p>
      <w:pPr>
        <w:pStyle w:val="Heading2"/>
        <w:spacing w:after="160" w:before="280"/>
      </w:pPr>
      <w:r>
        <w:rPr>
          <w:rFonts w:ascii="Arial" w:cs="Arial" w:eastAsia="Arial" w:hAnsi="Arial"/>
          <w:b/>
          <w:bCs/>
          <w:color w:val="1A1A1A"/>
          <w:sz w:val="28"/>
          <w:szCs w:val="28"/>
        </w:rPr>
        <w:t xml:space="preserve">1.2 What this pack does not cover</w:t>
      </w:r>
    </w:p>
    <w:p>
      <w:pPr>
        <w:pStyle w:val="ListParagraph"/>
        <w:numPr>
          <w:ilvl w:val="0"/>
          <w:numId w:val="2"/>
        </w:numPr>
        <w:spacing w:after="80" w:line="300"/>
      </w:pPr>
      <w:r>
        <w:rPr>
          <w:rFonts w:ascii="Arial" w:cs="Arial" w:eastAsia="Arial" w:hAnsi="Arial"/>
          <w:color w:val="1A1A1A"/>
          <w:sz w:val="22"/>
          <w:szCs w:val="22"/>
        </w:rPr>
        <w:t xml:space="preserve">Instrument design (lives in the companion Survey Instrument workbook).</w:t>
      </w:r>
    </w:p>
    <w:p>
      <w:pPr>
        <w:pStyle w:val="ListParagraph"/>
        <w:numPr>
          <w:ilvl w:val="0"/>
          <w:numId w:val="2"/>
        </w:numPr>
        <w:spacing w:after="80" w:line="300"/>
      </w:pPr>
      <w:r>
        <w:rPr>
          <w:rFonts w:ascii="Arial" w:cs="Arial" w:eastAsia="Arial" w:hAnsi="Arial"/>
          <w:color w:val="1A1A1A"/>
          <w:sz w:val="22"/>
          <w:szCs w:val="22"/>
        </w:rPr>
        <w:t xml:space="preserve">Analysis plan (Charter Section 8).</w:t>
      </w:r>
    </w:p>
    <w:p>
      <w:pPr>
        <w:pStyle w:val="ListParagraph"/>
        <w:numPr>
          <w:ilvl w:val="0"/>
          <w:numId w:val="2"/>
        </w:numPr>
        <w:spacing w:after="80" w:line="300"/>
      </w:pPr>
      <w:r>
        <w:rPr>
          <w:rFonts w:ascii="Arial" w:cs="Arial" w:eastAsia="Arial" w:hAnsi="Arial"/>
          <w:color w:val="1A1A1A"/>
          <w:sz w:val="22"/>
          <w:szCs w:val="22"/>
        </w:rPr>
        <w:t xml:space="preserve">Report production, design and launch (lives in 03-report-skeleton.docx and 04-media-and-pr-launch-pack.docx).</w:t>
      </w:r>
    </w:p>
    <w:p>
      <w:pPr>
        <w:pStyle w:val="ListParagraph"/>
        <w:numPr>
          <w:ilvl w:val="0"/>
          <w:numId w:val="2"/>
        </w:numPr>
        <w:spacing w:after="80" w:line="300"/>
      </w:pPr>
      <w:r>
        <w:rPr>
          <w:rFonts w:ascii="Arial" w:cs="Arial" w:eastAsia="Arial" w:hAnsi="Arial"/>
          <w:color w:val="1A1A1A"/>
          <w:sz w:val="22"/>
          <w:szCs w:val="22"/>
        </w:rPr>
        <w:t xml:space="preserve">Year-2 (2027) refielding plans (separate Charter addendum).</w:t>
      </w:r>
    </w:p>
    <w:p>
      <w:pPr>
        <w:pStyle w:val="Heading1"/>
        <w:spacing w:after="200" w:before="360"/>
      </w:pPr>
      <w:r>
        <w:rPr>
          <w:rFonts w:ascii="Arial" w:cs="Arial" w:eastAsia="Arial" w:hAnsi="Arial"/>
          <w:b/>
          <w:bCs/>
          <w:color w:val="1A1A1A"/>
          <w:sz w:val="36"/>
          <w:szCs w:val="36"/>
        </w:rPr>
        <w:t xml:space="preserve">2. Respondent persona definitions</w:t>
      </w:r>
    </w:p>
    <w:p>
      <w:pPr>
        <w:spacing w:after="120" w:line="320"/>
      </w:pPr>
      <w:r>
        <w:rPr>
          <w:rFonts w:ascii="Arial" w:cs="Arial" w:eastAsia="Arial" w:hAnsi="Arial"/>
          <w:color w:val="1A1A1A"/>
          <w:sz w:val="22"/>
          <w:szCs w:val="22"/>
        </w:rPr>
        <w:t xml:space="preserve">One persona per industry — twenty in total. For each: the job titles to target on outreach, the seniority band that yields the right decision authority, the decision the persona makes about RFID, the pain points the instrument speaks to, and where the persona is reachable. Use the persona to set LinkedIn Sales Navigator filters, to qualify a Centiment screener, and to write tailored opening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80"/>
        <w:gridCol w:w="1040"/>
        <w:gridCol w:w="1560"/>
        <w:gridCol w:w="1560"/>
        <w:gridCol w:w="156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Industry</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Target titles</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Seniority</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Decision authority</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Pain points the instrument speaks to</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Where they hang out</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Retail &amp; apparel</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VP Supply Chain; Director of Store Ops; Inventory Director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Director–VP</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Buys / approves item-level RFID rollouts</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Walmart Tier 2/3 mandate, on-shelf availability, BOPIS conversion, shrink</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NRF Big Show, RILA, LinkedIn group "Retail Loss Prevention", RFID Lab Auburn newsletter</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Hospitality</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VP IT; Director of Rooms; Guest Experience Director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Director–VP</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Approves keycard / NFC credential vendor changes</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Saflok/VingCard lock migration, mobile-key adoption, DESFire EV3 cutover, linen-tag ROI</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AHLA, HITEC, HFTP, LinkedIn group "Hotel Technology Professionals"</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Healthcare</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Director of Materials Management; Director of Biomedical Engineering; CIO</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Director–VP</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Approves asset-tracking / RTLS / surgical-tray RFID programs</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OR utilization, asset shrinkage, FDA UDI compliance, RTLS battery life</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HIMSS, AAMI, AHRMM, LinkedIn group "Healthcare RTLS"</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Events &amp; venues</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Director of Operations; VP Ticketing; Festival Producer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Manager–VP</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Approves credential, cashless and access-control vendor selection</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Throughput at gates, fraud / counterfeit wristbands, cashless conversion</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IAVM, INTIX, Pollstar, IAFE, LinkedIn group "Event Production Professionals"</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Logistics</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VP Supply Chain; DC Director; Director of Transportation</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Director–VP</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Approves DC / yard / cross-dock RFID rollouts</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Receiving accuracy, dock-door scan-rates, IATA 753 baggage compliance</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CSCMP, WERC, ProMat, MODEX, LinkedIn group "Supply Chain &amp; Logistics Executives"</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Industrial</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Plant Manager; Director of Manufacturing Engineering; Asset Manager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Manager–Director</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Approves WIP / asset / tool-tracking RFID programs</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WIP visibility, tool loss, OEE, MES integration cost</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MESA, AME, IndustryWeek Manufacturing &amp; Technology, LinkedIn group "Smart Manufacturing"</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Libraries</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Library Director; Head of Collections; Systems Librarian</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Manager–Director</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Approves library RFID conversion and self-check rollouts</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Self-check ratio, inventory hours saved, AFI plate cost, ILS integration</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ALA, PLA, LITA, IFLA, LinkedIn group "Library Technology"</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Laundry services</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VP Operations; Director of Plant Operations; National Accounts Director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Director–VP</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Approves linen-chip vendor and laundry-tracking software</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Linen loss per bed-day, par-level accuracy, chip survival rate after 200 cycles</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TRSA, ARTA, Clean Show, LinkedIn group "Commercial Laundry Operations"</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Pharmaceutical</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Director of Serialization; VP Packaging; Compliance Director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Director–VP</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Approves serialization, aggregation and traceability technology</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DSCSA enforcement readiness, EU FMD coexistence, returns saleable-returns volume</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HDA, ISPE, PDA, GS1 Connect, LinkedIn group "Pharma Serialization"</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Luxury brands</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Director of Brand Protection; Head of Anti-Counterfeit; VP Supply Chain</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Director–VP</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Approves authentication and source-tag programs</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Gray market diversion, counterfeit detection at customs, customer-app engagement</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IACC, A-CAPP Center, Premiere Vision, LinkedIn group "Brand Protection Professionals"</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Brand protection</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Director of Brand Protection; IP Director; Anti-Counterfeit Lead</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Manager–Director</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Approves NFC authentication and forensic-marking spend</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Counterfeit seizure rate, online enforcement cost, customer trust score</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IACC, INTA, A-CAPP, LinkedIn group "Anti-Counterfeit Professionals"</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Education</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Director of Campus Card / OneCard; CIO; Director of Library Systems</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Director</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Approves campus credential and library RFID programs</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Mobile-credential adoption, lost-card replacement cost, attendance reporting</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NACCU, EDUCAUSE, ALA, LinkedIn group "Campus Card Professionals"</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Fitness</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COO; Director of IT; Director of Member Experience</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Director–VP</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Approves access-control and locker / towel RFID rollouts</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Tailgating, member churn, locker utilization, towel loss</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IHRSA, Athletic Business, LinkedIn group "Fitness Industry Executives"</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Agriculture</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Livestock Manager; Director of Traceability; VP Producer Relations</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Manager–Director</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Approves animal-ID and field-asset tracking</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USDA traceability rules, herd-management ROI, EID tag retention rate</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USAHA, NCBA, NMPF, LinkedIn group "Livestock Traceability"</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EU compliance</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Head of Sustainability; Director of Packaging Compliance; ESG Lead</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Director–VP</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Approves DPP, battery passport and ESPR readiness investments</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ESPR mandate timeline, DPP data-model gaps, battery passport supplier readiness</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Ellen MacArthur Foundation, GS1, EU EcoLabel forums, LinkedIn group "Digital Product Passport"</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Automotive &amp; tire OEM</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Director of Plant IT; Tire Quality Manager; Director of Serialization</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Manager–Director</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Approves tire-embedded and component RFID tagging</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TREAD Act traceability, BMW/VW supplier mandates, MES integration</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USTMA, SAE, AIAG, LinkedIn group "Automotive Quality"</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Aerospace &amp; aviation MRO</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Director of MRO; Engineering Lead; Supply Chain Director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Director–VP</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Approves ATA Spec 2000 and tool-tracking RFID</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Part traceability, FOD prevention, MRO turnaround time, ATA 2000 mandate progress</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MRO Americas, A4A, SAE, LinkedIn group "Aviation MRO Professionals"</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Data center &amp; IT asset tracking</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Director of DCIM; VP Facilities; IT Asset Manager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Manager–VP</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Approves rack, asset and cable-tracking RFID programs</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Audit cycle time, ghost-asset rate, decommissioning chain-of-custody, ESG reporting</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7x24 Exchange, AFCOM, Uptime Institute, LinkedIn group "Data Center Operations"</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Government &amp; defense</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Director of Logistics; IUID Program Manager; Director of Supply Chain</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Director–GS-15</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Approves IUID and DoD passive RFID programs</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MIL-STD-129R compliance, IUID registry data quality, contractor audit findings</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NDIA, AUSA, AFCEA, LinkedIn group "Defense Logistics"</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Cold chain &amp; food traceability</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Director of Cold Chain; VP Quality; FSMA Compliance Lead</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Manager–VP</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Approves temperature-logger and case-level RFID spend</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FSMA 204 readiness, recall cycle time, EUDR readiness for fish/coffee/cocoa</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GCCA, IFT, IARW, LinkedIn group "Cold Chain &amp; Food Safety"</w:t>
            </w:r>
          </w:p>
        </w:tc>
      </w:tr>
    </w:tbl>
    <w:p>
      <w:pPr>
        <w:spacing w:after="60"/>
      </w:pPr>
      <w:r>
        <w:rPr>
          <w:rFonts w:ascii="Arial" w:cs="Arial" w:eastAsia="Arial" w:hAnsi="Arial"/>
          <w:i/>
          <w:iCs/>
          <w:color w:val="5C5C5C"/>
          <w:sz w:val="18"/>
          <w:szCs w:val="18"/>
        </w:rPr>
        <w:t xml:space="preserve">Seniority bands are heuristics. A senior individual contributor with clear budget authority (e.g., a Principal Engineer with capex sign-off) qualifies even where the persona table indicates Director–VP.</w:t>
      </w:r>
    </w:p>
    <w:p>
      <w:pPr>
        <w:pStyle w:val="Heading1"/>
        <w:spacing w:after="200" w:before="360"/>
      </w:pPr>
      <w:r>
        <w:rPr>
          <w:rFonts w:ascii="Arial" w:cs="Arial" w:eastAsia="Arial" w:hAnsi="Arial"/>
          <w:b/>
          <w:bCs/>
          <w:color w:val="1A1A1A"/>
          <w:sz w:val="36"/>
          <w:szCs w:val="36"/>
        </w:rPr>
        <w:t xml:space="preserve">3. Channel playbook</w:t>
      </w:r>
    </w:p>
    <w:p>
      <w:pPr>
        <w:spacing w:after="120" w:line="320"/>
      </w:pPr>
      <w:r>
        <w:rPr>
          <w:rFonts w:ascii="Arial" w:cs="Arial" w:eastAsia="Arial" w:hAnsi="Arial"/>
          <w:color w:val="1A1A1A"/>
          <w:sz w:val="22"/>
          <w:szCs w:val="22"/>
        </w:rPr>
        <w:t xml:space="preserve">Five channels, each with a target share of the 200 completed responses, a single owner, a weekly cadence, and a do-not-contact rule. If any channel exceeds 40% of any single industry, that channel pauses pending review (Charter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040"/>
        <w:gridCol w:w="2080"/>
        <w:gridCol w:w="416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Channel</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Target %</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Weekly cadence</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LinkedIn Sales Navigator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35%</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Channel Owner — LinkedIn</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Mon list build; Wed send wave 1 (V1); Mon+5 send wave 2 (V2); Mon+10 send wave 3 (V3); Fri lessons-learned.</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Centiment B2B panel</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30%</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Channel Owner — Centiment</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Mon Centiment dashboard review; Wed quota adjustment call with Centiment AM; Fri completion report.</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Trade-association directories</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15%</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Channel Owner — Associations</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Mon outreach to 2-3 associations; Wed follow-up; Fri lessons-learned and association-status table update.</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Conference badge-scan follow-up</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Channel Owner — Events</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Mon segment opt-in list by conference; Wed send V1; Mon+7 send V2 if no response; no V3 (single follow-up only).</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Proud Tek client referrals</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 cap</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Channel Owner — Referrals</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Mon vet candidate list with Research Lead; Wed send referral note; Fri reconcile against 10% cap.</w:t>
            </w:r>
          </w:p>
        </w:tc>
      </w:tr>
    </w:tbl>
    <w:p>
      <w:pPr>
        <w:pStyle w:val="Heading2"/>
        <w:spacing w:after="160" w:before="280"/>
      </w:pPr>
      <w:r>
        <w:rPr>
          <w:rFonts w:ascii="Arial" w:cs="Arial" w:eastAsia="Arial" w:hAnsi="Arial"/>
          <w:b/>
          <w:bCs/>
          <w:color w:val="1A1A1A"/>
          <w:sz w:val="28"/>
          <w:szCs w:val="28"/>
        </w:rPr>
        <w:t xml:space="preserve">3.1 LinkedIn Sales Navigator</w:t>
      </w:r>
    </w:p>
    <w:p>
      <w:pPr>
        <w:spacing w:after="120" w:line="320"/>
      </w:pPr>
      <w:r>
        <w:rPr>
          <w:rFonts w:ascii="Arial" w:cs="Arial" w:eastAsia="Arial" w:hAnsi="Arial"/>
          <w:color w:val="1A1A1A"/>
          <w:sz w:val="22"/>
          <w:szCs w:val="22"/>
        </w:rPr>
        <w:t xml:space="preserve">Highest-volume channel. Sales Nav filters: title (matched to persona table in Section 2), industry, company size band (&gt;=50 employees), country (English-speaking initially; multilingual expansion via Centiment instead). Three-touch sequence over 10 days. Connection request precedes any message; InMail used only where connection is declined twice.</w:t>
      </w:r>
    </w:p>
    <w:p>
      <w:pPr>
        <w:pStyle w:val="Heading3"/>
        <w:spacing w:after="120" w:before="200"/>
      </w:pPr>
      <w:r>
        <w:rPr>
          <w:rFonts w:ascii="Arial" w:cs="Arial" w:eastAsia="Arial" w:hAnsi="Arial"/>
          <w:b/>
          <w:bCs/>
          <w:color w:val="1A1A1A"/>
          <w:sz w:val="24"/>
          <w:szCs w:val="24"/>
        </w:rPr>
        <w:t xml:space="preserve">Message V1 — first touch (day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100"/>
            </w:pPr>
            <w:r>
              <w:rPr>
                <w:rFonts w:ascii="Arial" w:cs="Arial" w:eastAsia="Arial" w:hAnsi="Arial"/>
                <w:b/>
                <w:bCs/>
                <w:color w:val="1A1A1A"/>
                <w:sz w:val="20"/>
                <w:szCs w:val="20"/>
              </w:rPr>
              <w:t xml:space="preserve">Subject: </w:t>
            </w:r>
            <w:r>
              <w:rPr>
                <w:rFonts w:ascii="Arial" w:cs="Arial" w:eastAsia="Arial" w:hAnsi="Arial"/>
                <w:color w:val="1A1A1A"/>
                <w:sz w:val="20"/>
                <w:szCs w:val="20"/>
              </w:rPr>
              <w:t xml:space="preserve">Proud Tek Research — 2026 RFID Adoption Index — {{industry}} cohort</w:t>
            </w:r>
          </w:p>
          <w:p>
            <w:pPr>
              <w:spacing w:after="60" w:line="280"/>
            </w:pPr>
            <w:r>
              <w:rPr>
                <w:rFonts w:ascii="Arial" w:cs="Arial" w:eastAsia="Arial" w:hAnsi="Arial"/>
                <w:color w:val="1A1A1A"/>
                <w:sz w:val="20"/>
                <w:szCs w:val="20"/>
              </w:rPr>
              <w:t xml:space="preserve">Hi {{first_name}},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I'm reaching out from Proud Tek Research. We're running the 2026 RFID Industry Adoption Index — a vendor-neutral, pre-registered survey of 200 RFID/NFC buyers across 20 industries. We are not selling anything; the dataset is being published under CC-BY-4.0.</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I'd like to include {{company}} in the {{industry}} cohort. The instrument is 14 minutes, fully anonymous in the published dataset, and respondents get the full report 14 days before public release. We can also donate USD 50 to Doctors Without Borders, World Food Programme, or Khan Academy on your behalf.</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Would you (or a colleague who owns RFID decisions at {{company}}) be open to participating? Happy to send the Participant Information Sheet first.</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Best,</w:t>
            </w:r>
          </w:p>
          <w:p>
            <w:pPr>
              <w:spacing w:after="60" w:line="280"/>
            </w:pPr>
            <w:r>
              <w:rPr>
                <w:rFonts w:ascii="Arial" w:cs="Arial" w:eastAsia="Arial" w:hAnsi="Arial"/>
                <w:color w:val="1A1A1A"/>
                <w:sz w:val="20"/>
                <w:szCs w:val="20"/>
              </w:rPr>
              <w:t xml:space="preserve">{{recruiter_name}}</w:t>
            </w:r>
          </w:p>
          <w:p>
            <w:pPr>
              <w:spacing w:after="60" w:line="280"/>
            </w:pPr>
            <w:r>
              <w:rPr>
                <w:rFonts w:ascii="Arial" w:cs="Arial" w:eastAsia="Arial" w:hAnsi="Arial"/>
                <w:color w:val="1A1A1A"/>
                <w:sz w:val="20"/>
                <w:szCs w:val="20"/>
              </w:rPr>
              <w:t xml:space="preserve">Proud Tek Research</w:t>
            </w:r>
          </w:p>
        </w:tc>
      </w:tr>
    </w:tbl>
    <w:p>
      <w:pPr>
        <w:pStyle w:val="Heading3"/>
        <w:spacing w:after="120" w:before="200"/>
      </w:pPr>
      <w:r>
        <w:rPr>
          <w:rFonts w:ascii="Arial" w:cs="Arial" w:eastAsia="Arial" w:hAnsi="Arial"/>
          <w:b/>
          <w:bCs/>
          <w:color w:val="1A1A1A"/>
          <w:sz w:val="24"/>
          <w:szCs w:val="24"/>
        </w:rPr>
        <w:t xml:space="preserve">Message V2 — reminder (day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100"/>
            </w:pPr>
            <w:r>
              <w:rPr>
                <w:rFonts w:ascii="Arial" w:cs="Arial" w:eastAsia="Arial" w:hAnsi="Arial"/>
                <w:b/>
                <w:bCs/>
                <w:color w:val="1A1A1A"/>
                <w:sz w:val="20"/>
                <w:szCs w:val="20"/>
              </w:rPr>
              <w:t xml:space="preserve">Subject: </w:t>
            </w:r>
            <w:r>
              <w:rPr>
                <w:rFonts w:ascii="Arial" w:cs="Arial" w:eastAsia="Arial" w:hAnsi="Arial"/>
                <w:color w:val="1A1A1A"/>
                <w:sz w:val="20"/>
                <w:szCs w:val="20"/>
              </w:rPr>
              <w:t xml:space="preserve">Re: 2026 RFID Adoption Index — {{industry}} cohort</w:t>
            </w:r>
          </w:p>
          <w:p>
            <w:pPr>
              <w:spacing w:after="60" w:line="280"/>
            </w:pPr>
            <w:r>
              <w:rPr>
                <w:rFonts w:ascii="Arial" w:cs="Arial" w:eastAsia="Arial" w:hAnsi="Arial"/>
                <w:color w:val="1A1A1A"/>
                <w:sz w:val="20"/>
                <w:szCs w:val="20"/>
              </w:rPr>
              <w:t xml:space="preserve">Hi {{first_name}},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Following up on my note from {{date_v1}} about the Proud Tek 2026 RFID Industry Adoption Index. We're now ~60% to our quota for {{industry}} and still have room for {{company}}.</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Two reasons I'm circling back rather than dropping it: (1) we're stratifying to 10 respondents per industry exactly, so under-represented sectors materially shape the published findings; (2) {{industry}} is one of the verticals where the 2026 mandate timeline (you'll recognize which one) is most consequential, and your perspective would help anchor the chapter.</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14 minutes, anonymous in publication, donation option included. Reply "send it" and I'll drop the link.</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Best,</w:t>
            </w:r>
          </w:p>
          <w:p>
            <w:pPr>
              <w:spacing w:after="60" w:line="280"/>
            </w:pPr>
            <w:r>
              <w:rPr>
                <w:rFonts w:ascii="Arial" w:cs="Arial" w:eastAsia="Arial" w:hAnsi="Arial"/>
                <w:color w:val="1A1A1A"/>
                <w:sz w:val="20"/>
                <w:szCs w:val="20"/>
              </w:rPr>
              <w:t xml:space="preserve">{{recruiter_name}}</w:t>
            </w:r>
          </w:p>
        </w:tc>
      </w:tr>
    </w:tbl>
    <w:p>
      <w:pPr>
        <w:pStyle w:val="Heading3"/>
        <w:spacing w:after="120" w:before="200"/>
      </w:pPr>
      <w:r>
        <w:rPr>
          <w:rFonts w:ascii="Arial" w:cs="Arial" w:eastAsia="Arial" w:hAnsi="Arial"/>
          <w:b/>
          <w:bCs/>
          <w:color w:val="1A1A1A"/>
          <w:sz w:val="24"/>
          <w:szCs w:val="24"/>
        </w:rPr>
        <w:t xml:space="preserve">Message V3 — final reminder (day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100"/>
            </w:pPr>
            <w:r>
              <w:rPr>
                <w:rFonts w:ascii="Arial" w:cs="Arial" w:eastAsia="Arial" w:hAnsi="Arial"/>
                <w:b/>
                <w:bCs/>
                <w:color w:val="1A1A1A"/>
                <w:sz w:val="20"/>
                <w:szCs w:val="20"/>
              </w:rPr>
              <w:t xml:space="preserve">Subject: </w:t>
            </w:r>
            <w:r>
              <w:rPr>
                <w:rFonts w:ascii="Arial" w:cs="Arial" w:eastAsia="Arial" w:hAnsi="Arial"/>
                <w:color w:val="1A1A1A"/>
                <w:sz w:val="20"/>
                <w:szCs w:val="20"/>
              </w:rPr>
              <w:t xml:space="preserve">Last note — 2026 RFID Adoption Index — {{industry}}</w:t>
            </w:r>
          </w:p>
          <w:p>
            <w:pPr>
              <w:spacing w:after="60" w:line="280"/>
            </w:pPr>
            <w:r>
              <w:rPr>
                <w:rFonts w:ascii="Arial" w:cs="Arial" w:eastAsia="Arial" w:hAnsi="Arial"/>
                <w:color w:val="1A1A1A"/>
                <w:sz w:val="20"/>
                <w:szCs w:val="20"/>
              </w:rPr>
              <w:t xml:space="preserve">Hi {{first_name}},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Last note from me on the 2026 RFID Adoption Index — fieldwork closes 2026-08-15 and I don't want to keep you in my outreach list past that.</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If now isn't the right time, no problem at all. If you'd like to forward to a colleague at {{company}} who owns RFID decisions, that's just as useful — happy to credit the introduction in the acknowledgements (with permission).</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If you'd prefer not to hear from Proud Tek Research again, reply "remove" and I will add you to our do-not-contact list across all future studies.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Best,</w:t>
            </w:r>
          </w:p>
          <w:p>
            <w:pPr>
              <w:spacing w:after="60" w:line="280"/>
            </w:pPr>
            <w:r>
              <w:rPr>
                <w:rFonts w:ascii="Arial" w:cs="Arial" w:eastAsia="Arial" w:hAnsi="Arial"/>
                <w:color w:val="1A1A1A"/>
                <w:sz w:val="20"/>
                <w:szCs w:val="20"/>
              </w:rPr>
              <w:t xml:space="preserve">{{recruiter_name}}</w:t>
            </w:r>
          </w:p>
          <w:p>
            <w:pPr>
              <w:spacing w:after="60" w:line="280"/>
            </w:pPr>
            <w:r>
              <w:rPr>
                <w:rFonts w:ascii="Arial" w:cs="Arial" w:eastAsia="Arial" w:hAnsi="Arial"/>
                <w:color w:val="1A1A1A"/>
                <w:sz w:val="20"/>
                <w:szCs w:val="20"/>
              </w:rPr>
              <w:t xml:space="preserve">Proud Tek Research</w:t>
            </w:r>
          </w:p>
        </w:tc>
      </w:tr>
    </w:tbl>
    <w:p>
      <w:pPr>
        <w:pStyle w:val="Heading3"/>
        <w:spacing w:after="120" w:before="200"/>
      </w:pPr>
      <w:r>
        <w:rPr>
          <w:rFonts w:ascii="Arial" w:cs="Arial" w:eastAsia="Arial" w:hAnsi="Arial"/>
          <w:b/>
          <w:bCs/>
          <w:color w:val="1A1A1A"/>
          <w:sz w:val="24"/>
          <w:szCs w:val="24"/>
        </w:rPr>
        <w:t xml:space="preserve">Do-not-contact rules — LinkedIn</w:t>
      </w:r>
    </w:p>
    <w:p>
      <w:pPr>
        <w:pStyle w:val="ListParagraph"/>
        <w:numPr>
          <w:ilvl w:val="0"/>
          <w:numId w:val="2"/>
        </w:numPr>
        <w:spacing w:after="80" w:line="300"/>
      </w:pPr>
      <w:r>
        <w:rPr>
          <w:rFonts w:ascii="Arial" w:cs="Arial" w:eastAsia="Arial" w:hAnsi="Arial"/>
          <w:color w:val="1A1A1A"/>
          <w:sz w:val="22"/>
          <w:szCs w:val="22"/>
        </w:rPr>
        <w:t xml:space="preserve">Anyone who replies "remove" or otherwise asks to stop hearing from us is added to the do-not-contact list within 24 hours.</w:t>
      </w:r>
    </w:p>
    <w:p>
      <w:pPr>
        <w:pStyle w:val="ListParagraph"/>
        <w:numPr>
          <w:ilvl w:val="0"/>
          <w:numId w:val="2"/>
        </w:numPr>
        <w:spacing w:after="80" w:line="300"/>
      </w:pPr>
      <w:r>
        <w:rPr>
          <w:rFonts w:ascii="Arial" w:cs="Arial" w:eastAsia="Arial" w:hAnsi="Arial"/>
          <w:color w:val="1A1A1A"/>
          <w:sz w:val="22"/>
          <w:szCs w:val="22"/>
        </w:rPr>
        <w:t xml:space="preserve">Anyone who has been approached by Proud Tek Research in the last 12 months for any prior study is excluded.</w:t>
      </w:r>
    </w:p>
    <w:p>
      <w:pPr>
        <w:pStyle w:val="ListParagraph"/>
        <w:numPr>
          <w:ilvl w:val="0"/>
          <w:numId w:val="2"/>
        </w:numPr>
        <w:spacing w:after="80" w:line="300"/>
      </w:pPr>
      <w:r>
        <w:rPr>
          <w:rFonts w:ascii="Arial" w:cs="Arial" w:eastAsia="Arial" w:hAnsi="Arial"/>
          <w:color w:val="1A1A1A"/>
          <w:sz w:val="22"/>
          <w:szCs w:val="22"/>
        </w:rPr>
        <w:t xml:space="preserve">Anyone whose LinkedIn profile says "open to work" or whose company shows a layoff in the last 60 days is excluded out of basic decency.</w:t>
      </w:r>
    </w:p>
    <w:p>
      <w:pPr>
        <w:pStyle w:val="ListParagraph"/>
        <w:numPr>
          <w:ilvl w:val="0"/>
          <w:numId w:val="2"/>
        </w:numPr>
        <w:spacing w:after="80" w:line="300"/>
      </w:pPr>
      <w:r>
        <w:rPr>
          <w:rFonts w:ascii="Arial" w:cs="Arial" w:eastAsia="Arial" w:hAnsi="Arial"/>
          <w:color w:val="1A1A1A"/>
          <w:sz w:val="22"/>
          <w:szCs w:val="22"/>
        </w:rPr>
        <w:t xml:space="preserve">Anyone who works at a direct RFID-hardware competitor (Zebra, Impinj, Honeywell, Avery Dennison, SATO, NXP, etc.) is excluded — the instrument is for buyers, not vendors.</w:t>
      </w:r>
    </w:p>
    <w:p>
      <w:pPr>
        <w:pStyle w:val="Heading2"/>
        <w:spacing w:after="160" w:before="280"/>
      </w:pPr>
      <w:r>
        <w:rPr>
          <w:rFonts w:ascii="Arial" w:cs="Arial" w:eastAsia="Arial" w:hAnsi="Arial"/>
          <w:b/>
          <w:bCs/>
          <w:color w:val="1A1A1A"/>
          <w:sz w:val="28"/>
          <w:szCs w:val="28"/>
        </w:rPr>
        <w:t xml:space="preserve">3.2 Centiment B2B panel</w:t>
      </w:r>
    </w:p>
    <w:p>
      <w:pPr>
        <w:spacing w:after="120" w:line="320"/>
      </w:pPr>
      <w:r>
        <w:rPr>
          <w:rFonts w:ascii="Arial" w:cs="Arial" w:eastAsia="Arial" w:hAnsi="Arial"/>
          <w:color w:val="1A1A1A"/>
          <w:sz w:val="22"/>
          <w:szCs w:val="22"/>
        </w:rPr>
        <w:t xml:space="preserve">Centiment runs the highest-volume bulk of the sample. Centiment owns its panel incentive at the standard USD 75 per completed B2B response; Proud Tek pays Centiment, not the panelist. Quota is set in the Centiment platform to mirror our 20-industry stratification. See Section 9 for the SOW outline.</w:t>
      </w:r>
    </w:p>
    <w:p>
      <w:pPr>
        <w:pStyle w:val="ListParagraph"/>
        <w:numPr>
          <w:ilvl w:val="0"/>
          <w:numId w:val="2"/>
        </w:numPr>
        <w:spacing w:after="80" w:line="300"/>
      </w:pPr>
      <w:r>
        <w:rPr>
          <w:rFonts w:ascii="Arial" w:cs="Arial" w:eastAsia="Arial" w:hAnsi="Arial"/>
          <w:color w:val="1A1A1A"/>
          <w:sz w:val="22"/>
          <w:szCs w:val="22"/>
        </w:rPr>
        <w:t xml:space="preserve">Quota imbalance escalation: if Centiment is underperforming on any industry by &gt;=3 responses at the W4 mid-field check, the Centiment AM is asked to widen seniority or country filters within Charter limits.</w:t>
      </w:r>
    </w:p>
    <w:p>
      <w:pPr>
        <w:pStyle w:val="ListParagraph"/>
        <w:numPr>
          <w:ilvl w:val="0"/>
          <w:numId w:val="2"/>
        </w:numPr>
        <w:spacing w:after="80" w:line="300"/>
      </w:pPr>
      <w:r>
        <w:rPr>
          <w:rFonts w:ascii="Arial" w:cs="Arial" w:eastAsia="Arial" w:hAnsi="Arial"/>
          <w:color w:val="1A1A1A"/>
          <w:sz w:val="22"/>
          <w:szCs w:val="22"/>
        </w:rPr>
        <w:t xml:space="preserve">No direct contact between Proud Tek and Centiment panelists. All communication is through Centiment.</w:t>
      </w:r>
    </w:p>
    <w:p>
      <w:pPr>
        <w:pStyle w:val="Heading2"/>
        <w:spacing w:after="160" w:before="280"/>
      </w:pPr>
      <w:r>
        <w:rPr>
          <w:rFonts w:ascii="Arial" w:cs="Arial" w:eastAsia="Arial" w:hAnsi="Arial"/>
          <w:b/>
          <w:bCs/>
          <w:color w:val="1A1A1A"/>
          <w:sz w:val="28"/>
          <w:szCs w:val="28"/>
        </w:rPr>
        <w:t xml:space="preserve">3.3 Trade-association directories</w:t>
      </w:r>
    </w:p>
    <w:p>
      <w:pPr>
        <w:spacing w:after="120" w:line="320"/>
      </w:pPr>
      <w:r>
        <w:rPr>
          <w:rFonts w:ascii="Arial" w:cs="Arial" w:eastAsia="Arial" w:hAnsi="Arial"/>
          <w:color w:val="1A1A1A"/>
          <w:sz w:val="22"/>
          <w:szCs w:val="22"/>
        </w:rPr>
        <w:t xml:space="preserve">Member outreach via partner associations. Permission-first: every association is asked before any member outreach. One outreach per member per quarter cap; member-level do-not-contact lists are honored.</w:t>
      </w:r>
    </w:p>
    <w:p>
      <w:pPr>
        <w:pStyle w:val="Heading3"/>
        <w:spacing w:after="120" w:before="200"/>
      </w:pPr>
      <w:r>
        <w:rPr>
          <w:rFonts w:ascii="Arial" w:cs="Arial" w:eastAsia="Arial" w:hAnsi="Arial"/>
          <w:b/>
          <w:bCs/>
          <w:color w:val="1A1A1A"/>
          <w:sz w:val="24"/>
          <w:szCs w:val="24"/>
        </w:rPr>
        <w:t xml:space="preserve">Association approach 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100"/>
            </w:pPr>
            <w:r>
              <w:rPr>
                <w:rFonts w:ascii="Arial" w:cs="Arial" w:eastAsia="Arial" w:hAnsi="Arial"/>
                <w:b/>
                <w:bCs/>
                <w:color w:val="1A1A1A"/>
                <w:sz w:val="20"/>
                <w:szCs w:val="20"/>
              </w:rPr>
              <w:t xml:space="preserve">Subject: </w:t>
            </w:r>
            <w:r>
              <w:rPr>
                <w:rFonts w:ascii="Arial" w:cs="Arial" w:eastAsia="Arial" w:hAnsi="Arial"/>
                <w:color w:val="1A1A1A"/>
                <w:sz w:val="20"/>
                <w:szCs w:val="20"/>
              </w:rPr>
              <w:t xml:space="preserve">Proud Tek Research — 2026 RFID Adoption Index — member outreach permission</w:t>
            </w:r>
          </w:p>
          <w:p>
            <w:pPr>
              <w:spacing w:after="60" w:line="280"/>
            </w:pPr>
            <w:r>
              <w:rPr>
                <w:rFonts w:ascii="Arial" w:cs="Arial" w:eastAsia="Arial" w:hAnsi="Arial"/>
                <w:color w:val="1A1A1A"/>
                <w:sz w:val="20"/>
                <w:szCs w:val="20"/>
              </w:rPr>
              <w:t xml:space="preserve">Dear {{association_contact}},</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I'm writing on behalf of Proud Tek Research. We're fielding the 2026 RFID Industry Adoption Index, a pre-registered, vendor-neutral primary-data survey of 200 RFID/NFC decision-makers across 20 industries — including the {{association}} member base.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Per our standing courtesy with member associations, I'm asking permission before any direct outreach to {{association}} members. Specifics: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 We will send no more than one outreach per member during the fielding window (2026-05-18 to 2026-08-15).</w:t>
            </w:r>
          </w:p>
          <w:p>
            <w:pPr>
              <w:spacing w:after="60" w:line="280"/>
            </w:pPr>
            <w:r>
              <w:rPr>
                <w:rFonts w:ascii="Arial" w:cs="Arial" w:eastAsia="Arial" w:hAnsi="Arial"/>
                <w:color w:val="1A1A1A"/>
                <w:sz w:val="20"/>
                <w:szCs w:val="20"/>
              </w:rPr>
              <w:t xml:space="preserve">- Members on your do-not-contact list will not be approached.</w:t>
            </w:r>
          </w:p>
          <w:p>
            <w:pPr>
              <w:spacing w:after="60" w:line="280"/>
            </w:pPr>
            <w:r>
              <w:rPr>
                <w:rFonts w:ascii="Arial" w:cs="Arial" w:eastAsia="Arial" w:hAnsi="Arial"/>
                <w:color w:val="1A1A1A"/>
                <w:sz w:val="20"/>
                <w:szCs w:val="20"/>
              </w:rPr>
              <w:t xml:space="preserve">- The instrument is 14 minutes, anonymous in publication, and the dataset will be released under CC-BY-4.0 on 2027-01-28.</w:t>
            </w:r>
          </w:p>
          <w:p>
            <w:pPr>
              <w:spacing w:after="60" w:line="280"/>
            </w:pPr>
            <w:r>
              <w:rPr>
                <w:rFonts w:ascii="Arial" w:cs="Arial" w:eastAsia="Arial" w:hAnsi="Arial"/>
                <w:color w:val="1A1A1A"/>
                <w:sz w:val="20"/>
                <w:szCs w:val="20"/>
              </w:rPr>
              <w:t xml:space="preserve">- We will share the full report with {{association}} 14 days before public release.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Would you be willing to (a) approve the outreach, (b) co-brand a single newsletter mention, or (c) introduce me to your research committee chair? Any of the three works for us.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Best,</w:t>
            </w:r>
          </w:p>
          <w:p>
            <w:pPr>
              <w:spacing w:after="60" w:line="280"/>
            </w:pPr>
            <w:r>
              <w:rPr>
                <w:rFonts w:ascii="Arial" w:cs="Arial" w:eastAsia="Arial" w:hAnsi="Arial"/>
                <w:color w:val="1A1A1A"/>
                <w:sz w:val="20"/>
                <w:szCs w:val="20"/>
              </w:rPr>
              <w:t xml:space="preserve">{{recruiter_name}}</w:t>
            </w:r>
          </w:p>
          <w:p>
            <w:pPr>
              <w:spacing w:after="60" w:line="280"/>
            </w:pPr>
            <w:r>
              <w:rPr>
                <w:rFonts w:ascii="Arial" w:cs="Arial" w:eastAsia="Arial" w:hAnsi="Arial"/>
                <w:color w:val="1A1A1A"/>
                <w:sz w:val="20"/>
                <w:szCs w:val="20"/>
              </w:rPr>
              <w:t xml:space="preserve">Proud Tek Research — research@proudtek.com</w:t>
            </w:r>
          </w:p>
        </w:tc>
      </w:tr>
    </w:tbl>
    <w:p>
      <w:pPr>
        <w:pStyle w:val="Heading3"/>
        <w:spacing w:after="120" w:before="200"/>
      </w:pPr>
      <w:r>
        <w:rPr>
          <w:rFonts w:ascii="Arial" w:cs="Arial" w:eastAsia="Arial" w:hAnsi="Arial"/>
          <w:b/>
          <w:bCs/>
          <w:color w:val="1A1A1A"/>
          <w:sz w:val="24"/>
          <w:szCs w:val="24"/>
        </w:rPr>
        <w:t xml:space="preserve">Do-not-contact rules — associations</w:t>
      </w:r>
    </w:p>
    <w:p>
      <w:pPr>
        <w:pStyle w:val="ListParagraph"/>
        <w:numPr>
          <w:ilvl w:val="0"/>
          <w:numId w:val="2"/>
        </w:numPr>
        <w:spacing w:after="80" w:line="300"/>
      </w:pPr>
      <w:r>
        <w:rPr>
          <w:rFonts w:ascii="Arial" w:cs="Arial" w:eastAsia="Arial" w:hAnsi="Arial"/>
          <w:color w:val="1A1A1A"/>
          <w:sz w:val="22"/>
          <w:szCs w:val="22"/>
        </w:rPr>
        <w:t xml:space="preserve">No outreach until written association approval is in our files.</w:t>
      </w:r>
    </w:p>
    <w:p>
      <w:pPr>
        <w:pStyle w:val="ListParagraph"/>
        <w:numPr>
          <w:ilvl w:val="0"/>
          <w:numId w:val="2"/>
        </w:numPr>
        <w:spacing w:after="80" w:line="300"/>
      </w:pPr>
      <w:r>
        <w:rPr>
          <w:rFonts w:ascii="Arial" w:cs="Arial" w:eastAsia="Arial" w:hAnsi="Arial"/>
          <w:color w:val="1A1A1A"/>
          <w:sz w:val="22"/>
          <w:szCs w:val="22"/>
        </w:rPr>
        <w:t xml:space="preserve">Members on the association suppressed list are excluded.</w:t>
      </w:r>
    </w:p>
    <w:p>
      <w:pPr>
        <w:pStyle w:val="ListParagraph"/>
        <w:numPr>
          <w:ilvl w:val="0"/>
          <w:numId w:val="2"/>
        </w:numPr>
        <w:spacing w:after="80" w:line="300"/>
      </w:pPr>
      <w:r>
        <w:rPr>
          <w:rFonts w:ascii="Arial" w:cs="Arial" w:eastAsia="Arial" w:hAnsi="Arial"/>
          <w:color w:val="1A1A1A"/>
          <w:sz w:val="22"/>
          <w:szCs w:val="22"/>
        </w:rPr>
        <w:t xml:space="preserve">No more than one outreach per member during fielding (V1 only, no V2/V3 reminders without explicit association permission).</w:t>
      </w:r>
    </w:p>
    <w:p>
      <w:pPr>
        <w:pStyle w:val="Heading2"/>
        <w:spacing w:after="160" w:before="280"/>
      </w:pPr>
      <w:r>
        <w:rPr>
          <w:rFonts w:ascii="Arial" w:cs="Arial" w:eastAsia="Arial" w:hAnsi="Arial"/>
          <w:b/>
          <w:bCs/>
          <w:color w:val="1A1A1A"/>
          <w:sz w:val="28"/>
          <w:szCs w:val="28"/>
        </w:rPr>
        <w:t xml:space="preserve">3.4 Conference badge-scan follow-up</w:t>
      </w:r>
    </w:p>
    <w:p>
      <w:pPr>
        <w:spacing w:after="120" w:line="320"/>
      </w:pPr>
      <w:r>
        <w:rPr>
          <w:rFonts w:ascii="Arial" w:cs="Arial" w:eastAsia="Arial" w:hAnsi="Arial"/>
          <w:color w:val="1A1A1A"/>
          <w:sz w:val="22"/>
          <w:szCs w:val="22"/>
        </w:rPr>
        <w:t xml:space="preserve">Lowest-friction channel because the respondent has already opted in. Post-event outreach only to attendees who opted in at the time of the scan; the badge-scan station displays the Charter funding statement and the link to the Participant Information Sheet before consent is taken at the scan.</w:t>
      </w:r>
    </w:p>
    <w:p>
      <w:pPr>
        <w:pStyle w:val="Heading3"/>
        <w:spacing w:after="120" w:before="200"/>
      </w:pPr>
      <w:r>
        <w:rPr>
          <w:rFonts w:ascii="Arial" w:cs="Arial" w:eastAsia="Arial" w:hAnsi="Arial"/>
          <w:b/>
          <w:bCs/>
          <w:color w:val="1A1A1A"/>
          <w:sz w:val="24"/>
          <w:szCs w:val="24"/>
        </w:rPr>
        <w:t xml:space="preserve">Conference follow-up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100"/>
            </w:pPr>
            <w:r>
              <w:rPr>
                <w:rFonts w:ascii="Arial" w:cs="Arial" w:eastAsia="Arial" w:hAnsi="Arial"/>
                <w:b/>
                <w:bCs/>
                <w:color w:val="1A1A1A"/>
                <w:sz w:val="20"/>
                <w:szCs w:val="20"/>
              </w:rPr>
              <w:t xml:space="preserve">Subject: </w:t>
            </w:r>
            <w:r>
              <w:rPr>
                <w:rFonts w:ascii="Arial" w:cs="Arial" w:eastAsia="Arial" w:hAnsi="Arial"/>
                <w:color w:val="1A1A1A"/>
                <w:sz w:val="20"/>
                <w:szCs w:val="20"/>
              </w:rPr>
              <w:t xml:space="preserve">2026 RFID Adoption Index — follow-up from {{conference}}</w:t>
            </w:r>
          </w:p>
          <w:p>
            <w:pPr>
              <w:spacing w:after="60" w:line="280"/>
            </w:pPr>
            <w:r>
              <w:rPr>
                <w:rFonts w:ascii="Arial" w:cs="Arial" w:eastAsia="Arial" w:hAnsi="Arial"/>
                <w:color w:val="1A1A1A"/>
                <w:sz w:val="20"/>
                <w:szCs w:val="20"/>
              </w:rPr>
              <w:t xml:space="preserve">Hi {{first_name}},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We met (briefly!) at {{conference}} — you opted in at the badge-scan station on {{date}} to hear about the Proud Tek 2026 RFID Industry Adoption Index. Thank you for that.</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We're now in field. Here is the link to the 14-minute, fully anonymous instrument: {{instrument_url}}. Respondents get early access to the full report and the option to donate the USD 50 incentive to Doctors Without Borders, World Food Programme, or Khan Academy.</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If you'd prefer that I stop following up, reply "remove" and I'll add you to our do-not-contact list.</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Best,</w:t>
            </w:r>
          </w:p>
          <w:p>
            <w:pPr>
              <w:spacing w:after="60" w:line="280"/>
            </w:pPr>
            <w:r>
              <w:rPr>
                <w:rFonts w:ascii="Arial" w:cs="Arial" w:eastAsia="Arial" w:hAnsi="Arial"/>
                <w:color w:val="1A1A1A"/>
                <w:sz w:val="20"/>
                <w:szCs w:val="20"/>
              </w:rPr>
              <w:t xml:space="preserve">{{recruiter_name}}</w:t>
            </w:r>
          </w:p>
          <w:p>
            <w:pPr>
              <w:spacing w:after="60" w:line="280"/>
            </w:pPr>
            <w:r>
              <w:rPr>
                <w:rFonts w:ascii="Arial" w:cs="Arial" w:eastAsia="Arial" w:hAnsi="Arial"/>
                <w:color w:val="1A1A1A"/>
                <w:sz w:val="20"/>
                <w:szCs w:val="20"/>
              </w:rPr>
              <w:t xml:space="preserve">Proud Tek Research</w:t>
            </w:r>
          </w:p>
        </w:tc>
      </w:tr>
    </w:tbl>
    <w:p>
      <w:pPr>
        <w:pStyle w:val="Heading3"/>
        <w:spacing w:after="120" w:before="200"/>
      </w:pPr>
      <w:r>
        <w:rPr>
          <w:rFonts w:ascii="Arial" w:cs="Arial" w:eastAsia="Arial" w:hAnsi="Arial"/>
          <w:b/>
          <w:bCs/>
          <w:color w:val="1A1A1A"/>
          <w:sz w:val="24"/>
          <w:szCs w:val="24"/>
        </w:rPr>
        <w:t xml:space="preserve">Do-not-contact rules — conferences</w:t>
      </w:r>
    </w:p>
    <w:p>
      <w:pPr>
        <w:pStyle w:val="ListParagraph"/>
        <w:numPr>
          <w:ilvl w:val="0"/>
          <w:numId w:val="2"/>
        </w:numPr>
        <w:spacing w:after="80" w:line="300"/>
      </w:pPr>
      <w:r>
        <w:rPr>
          <w:rFonts w:ascii="Arial" w:cs="Arial" w:eastAsia="Arial" w:hAnsi="Arial"/>
          <w:color w:val="1A1A1A"/>
          <w:sz w:val="22"/>
          <w:szCs w:val="22"/>
        </w:rPr>
        <w:t xml:space="preserve">Only attendees who scanned at the Proud Tek Research station AND ticked the opt-in box are contacted.</w:t>
      </w:r>
    </w:p>
    <w:p>
      <w:pPr>
        <w:pStyle w:val="ListParagraph"/>
        <w:numPr>
          <w:ilvl w:val="0"/>
          <w:numId w:val="2"/>
        </w:numPr>
        <w:spacing w:after="80" w:line="300"/>
      </w:pPr>
      <w:r>
        <w:rPr>
          <w:rFonts w:ascii="Arial" w:cs="Arial" w:eastAsia="Arial" w:hAnsi="Arial"/>
          <w:color w:val="1A1A1A"/>
          <w:sz w:val="22"/>
          <w:szCs w:val="22"/>
        </w:rPr>
        <w:t xml:space="preserve">No more than one follow-up to anyone who has not responded after seven days.</w:t>
      </w:r>
    </w:p>
    <w:p>
      <w:pPr>
        <w:pStyle w:val="ListParagraph"/>
        <w:numPr>
          <w:ilvl w:val="0"/>
          <w:numId w:val="2"/>
        </w:numPr>
        <w:spacing w:after="80" w:line="300"/>
      </w:pPr>
      <w:r>
        <w:rPr>
          <w:rFonts w:ascii="Arial" w:cs="Arial" w:eastAsia="Arial" w:hAnsi="Arial"/>
          <w:color w:val="1A1A1A"/>
          <w:sz w:val="22"/>
          <w:szCs w:val="22"/>
        </w:rPr>
        <w:t xml:space="preserve">Lapse of the opt-in: any opt-in older than 12 months is treated as expired and is not contacted.</w:t>
      </w:r>
    </w:p>
    <w:p>
      <w:pPr>
        <w:pStyle w:val="Heading2"/>
        <w:spacing w:after="160" w:before="280"/>
      </w:pPr>
      <w:r>
        <w:rPr>
          <w:rFonts w:ascii="Arial" w:cs="Arial" w:eastAsia="Arial" w:hAnsi="Arial"/>
          <w:b/>
          <w:bCs/>
          <w:color w:val="1A1A1A"/>
          <w:sz w:val="28"/>
          <w:szCs w:val="28"/>
        </w:rPr>
        <w:t xml:space="preserve">3.5 Proud Tek client referrals</w:t>
      </w:r>
    </w:p>
    <w:p>
      <w:pPr>
        <w:spacing w:after="120" w:line="320"/>
      </w:pPr>
      <w:r>
        <w:rPr>
          <w:rFonts w:ascii="Arial" w:cs="Arial" w:eastAsia="Arial" w:hAnsi="Arial"/>
          <w:color w:val="1A1A1A"/>
          <w:sz w:val="22"/>
          <w:szCs w:val="22"/>
        </w:rPr>
        <w:t xml:space="preserve">Hard-capped at 10% of the final sample. The cap exists to prevent the data being a sample of Proud Tek client base instead of the underlying industry distribution. Robustness analysis re-runs primary results with all client-referred responses excluded; if any primary finding flips, the methodology appendix discloses the sensitivity.</w:t>
      </w:r>
    </w:p>
    <w:p>
      <w:pPr>
        <w:pStyle w:val="Heading3"/>
        <w:spacing w:after="120" w:before="200"/>
      </w:pPr>
      <w:r>
        <w:rPr>
          <w:rFonts w:ascii="Arial" w:cs="Arial" w:eastAsia="Arial" w:hAnsi="Arial"/>
          <w:b/>
          <w:bCs/>
          <w:color w:val="1A1A1A"/>
          <w:sz w:val="24"/>
          <w:szCs w:val="24"/>
        </w:rPr>
        <w:t xml:space="preserve">Referral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D6D6D6" w:sz="4"/>
              <w:bottom w:val="single" w:color="D6D6D6" w:sz="4"/>
              <w:right w:val="single" w:color="D6D6D6" w:sz="4"/>
            </w:tcBorders>
            <w:shd w:fill="F8F2E8" w:val="clear"/>
            <w:tcMar>
              <w:top w:type="dxa" w:w="100"/>
              <w:left w:type="dxa" w:w="140"/>
              <w:bottom w:type="dxa" w:w="100"/>
              <w:right w:type="dxa" w:w="140"/>
            </w:tcMar>
          </w:tcPr>
          <w:p>
            <w:pPr>
              <w:spacing w:after="100"/>
            </w:pPr>
            <w:r>
              <w:rPr>
                <w:rFonts w:ascii="Arial" w:cs="Arial" w:eastAsia="Arial" w:hAnsi="Arial"/>
                <w:b/>
                <w:bCs/>
                <w:color w:val="1A1A1A"/>
                <w:sz w:val="20"/>
                <w:szCs w:val="20"/>
              </w:rPr>
              <w:t xml:space="preserve">Subject: </w:t>
            </w:r>
            <w:r>
              <w:rPr>
                <w:rFonts w:ascii="Arial" w:cs="Arial" w:eastAsia="Arial" w:hAnsi="Arial"/>
                <w:color w:val="1A1A1A"/>
                <w:sz w:val="20"/>
                <w:szCs w:val="20"/>
              </w:rPr>
              <w:t xml:space="preserve">Quick research ask — 2026 RFID Adoption Index</w:t>
            </w:r>
          </w:p>
          <w:p>
            <w:pPr>
              <w:spacing w:after="60" w:line="280"/>
            </w:pPr>
            <w:r>
              <w:rPr>
                <w:rFonts w:ascii="Arial" w:cs="Arial" w:eastAsia="Arial" w:hAnsi="Arial"/>
                <w:color w:val="1A1A1A"/>
                <w:sz w:val="20"/>
                <w:szCs w:val="20"/>
              </w:rPr>
              <w:t xml:space="preserve">Hi {{first_name}},</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Quick ask — separate from any normal Proud Tek work we are doing with {{company}}.</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We're fielding the 2026 RFID Industry Adoption Index, a pre-registered, vendor-neutral survey across 20 industries. We have a hard 10%-of-sample cap on respondents who come from existing Proud Tek client relationships (a Charter-level guardrail to keep the data clean), so I am only reaching out to a small number of clients.</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If you'd be open to taking the 14-minute instrument, or to forwarding it to a colleague who owns RFID decisions, I'd be grateful. To be explicit: we don't see who answers what, your responses are stripped of identifying fields before any Proud Tek staff see analysis, and participation has no commercial implication for our relationship either way.</w:t>
            </w:r>
          </w:p>
          <w:p>
            <w:pPr>
              <w:spacing w:after="60" w:line="280"/>
            </w:pPr>
            <w:r>
              <w:rPr>
                <w:rFonts w:ascii="Arial" w:cs="Arial" w:eastAsia="Arial" w:hAnsi="Arial"/>
                <w:color w:val="1A1A1A"/>
                <w:sz w:val="20"/>
                <w:szCs w:val="20"/>
              </w:rPr>
              <w:t xml:space="preserve"> </w:t>
            </w:r>
          </w:p>
          <w:p>
            <w:pPr>
              <w:spacing w:after="60" w:line="280"/>
            </w:pPr>
            <w:r>
              <w:rPr>
                <w:rFonts w:ascii="Arial" w:cs="Arial" w:eastAsia="Arial" w:hAnsi="Arial"/>
                <w:color w:val="1A1A1A"/>
                <w:sz w:val="20"/>
                <w:szCs w:val="20"/>
              </w:rPr>
              <w:t xml:space="preserve">Best,</w:t>
            </w:r>
          </w:p>
          <w:p>
            <w:pPr>
              <w:spacing w:after="60" w:line="280"/>
            </w:pPr>
            <w:r>
              <w:rPr>
                <w:rFonts w:ascii="Arial" w:cs="Arial" w:eastAsia="Arial" w:hAnsi="Arial"/>
                <w:color w:val="1A1A1A"/>
                <w:sz w:val="20"/>
                <w:szCs w:val="20"/>
              </w:rPr>
              <w:t xml:space="preserve">{{recruiter_name}}</w:t>
            </w:r>
          </w:p>
        </w:tc>
      </w:tr>
    </w:tbl>
    <w:p>
      <w:pPr>
        <w:pStyle w:val="Heading3"/>
        <w:spacing w:after="120" w:before="200"/>
      </w:pPr>
      <w:r>
        <w:rPr>
          <w:rFonts w:ascii="Arial" w:cs="Arial" w:eastAsia="Arial" w:hAnsi="Arial"/>
          <w:b/>
          <w:bCs/>
          <w:color w:val="1A1A1A"/>
          <w:sz w:val="24"/>
          <w:szCs w:val="24"/>
        </w:rPr>
        <w:t xml:space="preserve">Do-not-contact rules — referrals</w:t>
      </w:r>
    </w:p>
    <w:p>
      <w:pPr>
        <w:pStyle w:val="ListParagraph"/>
        <w:numPr>
          <w:ilvl w:val="0"/>
          <w:numId w:val="2"/>
        </w:numPr>
        <w:spacing w:after="80" w:line="300"/>
      </w:pPr>
      <w:r>
        <w:rPr>
          <w:rFonts w:ascii="Arial" w:cs="Arial" w:eastAsia="Arial" w:hAnsi="Arial"/>
          <w:color w:val="1A1A1A"/>
          <w:sz w:val="22"/>
          <w:szCs w:val="22"/>
        </w:rPr>
        <w:t xml:space="preserve">No client may be approached without prior approval from the Proud Tek account owner for that client.</w:t>
      </w:r>
    </w:p>
    <w:p>
      <w:pPr>
        <w:pStyle w:val="ListParagraph"/>
        <w:numPr>
          <w:ilvl w:val="0"/>
          <w:numId w:val="2"/>
        </w:numPr>
        <w:spacing w:after="80" w:line="300"/>
      </w:pPr>
      <w:r>
        <w:rPr>
          <w:rFonts w:ascii="Arial" w:cs="Arial" w:eastAsia="Arial" w:hAnsi="Arial"/>
          <w:color w:val="1A1A1A"/>
          <w:sz w:val="22"/>
          <w:szCs w:val="22"/>
        </w:rPr>
        <w:t xml:space="preserve">Any client who has had an open invoice dispute, contract renewal, or commercial escalation in the last 90 days is excluded.</w:t>
      </w:r>
    </w:p>
    <w:p>
      <w:pPr>
        <w:pStyle w:val="ListParagraph"/>
        <w:numPr>
          <w:ilvl w:val="0"/>
          <w:numId w:val="2"/>
        </w:numPr>
        <w:spacing w:after="80" w:line="300"/>
      </w:pPr>
      <w:r>
        <w:rPr>
          <w:rFonts w:ascii="Arial" w:cs="Arial" w:eastAsia="Arial" w:hAnsi="Arial"/>
          <w:color w:val="1A1A1A"/>
          <w:sz w:val="22"/>
          <w:szCs w:val="22"/>
        </w:rPr>
        <w:t xml:space="preserve">No follow-up beyond one note — referrals are a single-touch channel.</w:t>
      </w:r>
    </w:p>
    <w:p>
      <w:pPr>
        <w:pStyle w:val="ListParagraph"/>
        <w:numPr>
          <w:ilvl w:val="0"/>
          <w:numId w:val="2"/>
        </w:numPr>
        <w:spacing w:after="80" w:line="300"/>
      </w:pPr>
      <w:r>
        <w:rPr>
          <w:rFonts w:ascii="Arial" w:cs="Arial" w:eastAsia="Arial" w:hAnsi="Arial"/>
          <w:color w:val="1A1A1A"/>
          <w:sz w:val="22"/>
          <w:szCs w:val="22"/>
        </w:rPr>
        <w:t xml:space="preserve">Client referrals are flagged in the dataset (a single binary column) to permit the exclusion-test robustness analysis. The flag is never broken down to client name in any published output.</w:t>
      </w:r>
    </w:p>
    <w:p>
      <w:pPr>
        <w:pStyle w:val="Heading1"/>
        <w:spacing w:after="200" w:before="360"/>
      </w:pPr>
      <w:r>
        <w:rPr>
          <w:rFonts w:ascii="Arial" w:cs="Arial" w:eastAsia="Arial" w:hAnsi="Arial"/>
          <w:b/>
          <w:bCs/>
          <w:color w:val="1A1A1A"/>
          <w:sz w:val="36"/>
          <w:szCs w:val="36"/>
        </w:rPr>
        <w:t xml:space="preserve">4. Incentive design</w:t>
      </w:r>
    </w:p>
    <w:p>
      <w:pPr>
        <w:spacing w:after="120" w:line="320"/>
      </w:pPr>
      <w:r>
        <w:rPr>
          <w:rFonts w:ascii="Arial" w:cs="Arial" w:eastAsia="Arial" w:hAnsi="Arial"/>
          <w:color w:val="1A1A1A"/>
          <w:sz w:val="22"/>
          <w:szCs w:val="22"/>
        </w:rPr>
        <w:t xml:space="preserve">Incentives are the single biggest predictor of B2B survey completion above N=10 per cell. Our design balances response quality (incentives high enough to attract serious decision-makers), bias control (no incentive structure that systematically over-rewards specific industries), and compliance (no incentive exceeds the USD 50 cash-equivalent threshold in jurisdictions that limit research payments).</w:t>
      </w:r>
    </w:p>
    <w:p>
      <w:pPr>
        <w:pStyle w:val="Heading2"/>
        <w:spacing w:after="160" w:before="280"/>
      </w:pPr>
      <w:r>
        <w:rPr>
          <w:rFonts w:ascii="Arial" w:cs="Arial" w:eastAsia="Arial" w:hAnsi="Arial"/>
          <w:b/>
          <w:bCs/>
          <w:color w:val="1A1A1A"/>
          <w:sz w:val="28"/>
          <w:szCs w:val="28"/>
        </w:rPr>
        <w:t xml:space="preserve">4.1 Per-response benefits — every respondent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Benefit</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Early-access report</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Full PDF report sent to the respondent 14 days before public release (2026-10-16 vs 2026-10-30). Includes the industry-specific fact sheet for their vertical.</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Charitable donation option</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Proud Tek donates USD 50 per completed response to one of three charities the respondent picks at consent: Doctors Without Borders, World Food Programme, Khan Academy. The donation is made within 30 days of fieldwork close; a single aggregated donation per charity is made, with the per-respondent allocation tracked in the donation log.</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Prize draw</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5 x USD 500 Amazon vouchers drawn at fieldwork close (2026-08-22). All consented completers are eligible; the draw is verifiably random (seeded PRNG, code published with the open dataset).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Named acknowledgement (opt-in)</w:t>
            </w:r>
          </w:p>
        </w:tc>
        <w:tc>
          <w:tcPr>
            <w:tcW w:type="dxa" w:w="62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Respondents who want their name in the report acknowledgements section can opt in at the end of the instrument. The default is no acknowledgement.</w:t>
            </w:r>
          </w:p>
        </w:tc>
      </w:tr>
    </w:tbl>
    <w:p>
      <w:pPr>
        <w:pStyle w:val="Heading2"/>
        <w:spacing w:after="160" w:before="280"/>
      </w:pPr>
      <w:r>
        <w:rPr>
          <w:rFonts w:ascii="Arial" w:cs="Arial" w:eastAsia="Arial" w:hAnsi="Arial"/>
          <w:b/>
          <w:bCs/>
          <w:color w:val="1A1A1A"/>
          <w:sz w:val="28"/>
          <w:szCs w:val="28"/>
        </w:rPr>
        <w:t xml:space="preserve">4.2 Centiment-channel respondents</w:t>
      </w:r>
    </w:p>
    <w:p>
      <w:pPr>
        <w:spacing w:after="120" w:line="320"/>
      </w:pPr>
      <w:r>
        <w:rPr>
          <w:rFonts w:ascii="Arial" w:cs="Arial" w:eastAsia="Arial" w:hAnsi="Arial"/>
          <w:color w:val="1A1A1A"/>
          <w:sz w:val="22"/>
          <w:szCs w:val="22"/>
        </w:rPr>
        <w:t xml:space="preserve">Centiment panelists receive Centiment standard B2B panel incentive (USD 75 per completed response in 2026) directly from Centiment. They do not stack the Proud Tek charitable donation or prize draw — the Centiment incentive is the entire incentive for that channel. This is consistent with Centiment standard terms and prevents incentive-stacking that would bias the cross-channel comparison.</w:t>
      </w:r>
    </w:p>
    <w:p>
      <w:pPr>
        <w:pStyle w:val="Heading2"/>
        <w:spacing w:after="160" w:before="280"/>
      </w:pPr>
      <w:r>
        <w:rPr>
          <w:rFonts w:ascii="Arial" w:cs="Arial" w:eastAsia="Arial" w:hAnsi="Arial"/>
          <w:b/>
          <w:bCs/>
          <w:color w:val="1A1A1A"/>
          <w:sz w:val="28"/>
          <w:szCs w:val="28"/>
        </w:rPr>
        <w:t xml:space="preserve">4.3 Expert-interview honoraria</w:t>
      </w:r>
    </w:p>
    <w:p>
      <w:pPr>
        <w:spacing w:after="120" w:line="320"/>
      </w:pPr>
      <w:r>
        <w:rPr>
          <w:rFonts w:ascii="Arial" w:cs="Arial" w:eastAsia="Arial" w:hAnsi="Arial"/>
          <w:color w:val="1A1A1A"/>
          <w:sz w:val="22"/>
          <w:szCs w:val="22"/>
        </w:rPr>
        <w:t xml:space="preserve">Each of the 20 expert interviewees receives a USD 200 honorarium. Default delivery is a charitable donation to a charity of the interviewee choice (same three options as above, plus a write-in line); cash equivalent is offered only where the interviewee has a stated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C39A5F" w:sz="18"/>
              <w:bottom w:val="single" w:color="D6D6D6" w:sz="4"/>
              <w:right w:val="single" w:color="D6D6D6" w:sz="4"/>
            </w:tcBorders>
            <w:shd w:fill="F8F2E8" w:val="clear"/>
            <w:tcMar>
              <w:top w:type="dxa" w:w="100"/>
              <w:left w:type="dxa" w:w="140"/>
              <w:bottom w:type="dxa" w:w="100"/>
              <w:right w:type="dxa" w:w="140"/>
            </w:tcMar>
          </w:tcPr>
          <w:p>
            <w:pPr>
              <w:spacing w:after="80"/>
            </w:pPr>
            <w:r>
              <w:rPr>
                <w:rFonts w:ascii="Arial" w:cs="Arial" w:eastAsia="Arial" w:hAnsi="Arial"/>
                <w:b/>
                <w:bCs/>
                <w:color w:val="1A1A1A"/>
                <w:sz w:val="20"/>
                <w:szCs w:val="20"/>
              </w:rPr>
              <w:t xml:space="preserve">Legal-compliance note</w:t>
            </w:r>
          </w:p>
          <w:p>
            <w:pPr>
              <w:spacing w:after="0" w:line="300"/>
            </w:pPr>
            <w:r>
              <w:rPr>
                <w:rFonts w:ascii="Arial" w:cs="Arial" w:eastAsia="Arial" w:hAnsi="Arial"/>
                <w:color w:val="1A1A1A"/>
                <w:sz w:val="22"/>
                <w:szCs w:val="22"/>
              </w:rPr>
              <w:t xml:space="preserve">No incentive offered under this study exceeds USD 50 cash-equivalent per respondent in jurisdictions that limit research payments (notably Germany under the BDSG, certain Indian state guidelines, and any DoD-affiliated respondent population covered by the Joint Ethics Regulation). The expert-interview USD 200 honorarium exceeds that threshold and is therefore (a) offered only to respondents who have completed the survey separately, and (b) paid as a charitable donation by default, which is treated as outside the cash-equivalent definition under those frameworks. The Research Lead reviews any jurisdiction-specific concern flagged by the recruitment team within one business day.</w:t>
            </w:r>
          </w:p>
        </w:tc>
      </w:tr>
    </w:tbl>
    <w:p>
      <w:pPr>
        <w:pStyle w:val="Heading2"/>
        <w:spacing w:after="160" w:before="280"/>
      </w:pPr>
      <w:r>
        <w:rPr>
          <w:rFonts w:ascii="Arial" w:cs="Arial" w:eastAsia="Arial" w:hAnsi="Arial"/>
          <w:b/>
          <w:bCs/>
          <w:color w:val="1A1A1A"/>
          <w:sz w:val="28"/>
          <w:szCs w:val="28"/>
        </w:rPr>
        <w:t xml:space="preserve">4.4 Prohibited incentive structures</w:t>
      </w:r>
    </w:p>
    <w:p>
      <w:pPr>
        <w:pStyle w:val="ListParagraph"/>
        <w:numPr>
          <w:ilvl w:val="0"/>
          <w:numId w:val="2"/>
        </w:numPr>
        <w:spacing w:after="80" w:line="300"/>
      </w:pPr>
      <w:r>
        <w:rPr>
          <w:rFonts w:ascii="Arial" w:cs="Arial" w:eastAsia="Arial" w:hAnsi="Arial"/>
          <w:color w:val="1A1A1A"/>
          <w:sz w:val="22"/>
          <w:szCs w:val="22"/>
        </w:rPr>
        <w:t xml:space="preserve">No cash, gift cards or vouchers to government employees (US federal, EU institutions, MoD/DoD). For these respondents, only the charitable-donation option and the early-access report are offered.</w:t>
      </w:r>
    </w:p>
    <w:p>
      <w:pPr>
        <w:pStyle w:val="ListParagraph"/>
        <w:numPr>
          <w:ilvl w:val="0"/>
          <w:numId w:val="2"/>
        </w:numPr>
        <w:spacing w:after="80" w:line="300"/>
      </w:pPr>
      <w:r>
        <w:rPr>
          <w:rFonts w:ascii="Arial" w:cs="Arial" w:eastAsia="Arial" w:hAnsi="Arial"/>
          <w:color w:val="1A1A1A"/>
          <w:sz w:val="22"/>
          <w:szCs w:val="22"/>
        </w:rPr>
        <w:t xml:space="preserve">No incentive contingent on a particular answer or pattern of answers. The incentive is paid on completion, not on content.</w:t>
      </w:r>
    </w:p>
    <w:p>
      <w:pPr>
        <w:pStyle w:val="ListParagraph"/>
        <w:numPr>
          <w:ilvl w:val="0"/>
          <w:numId w:val="2"/>
        </w:numPr>
        <w:spacing w:after="80" w:line="300"/>
      </w:pPr>
      <w:r>
        <w:rPr>
          <w:rFonts w:ascii="Arial" w:cs="Arial" w:eastAsia="Arial" w:hAnsi="Arial"/>
          <w:color w:val="1A1A1A"/>
          <w:sz w:val="22"/>
          <w:szCs w:val="22"/>
        </w:rPr>
        <w:t xml:space="preserve">No incentive tied to onward referral. Referrals are welcomed but not paid; an acknowledgement (with consent) is the only credit offered.</w:t>
      </w:r>
    </w:p>
    <w:p>
      <w:pPr>
        <w:pStyle w:val="ListParagraph"/>
        <w:numPr>
          <w:ilvl w:val="0"/>
          <w:numId w:val="2"/>
        </w:numPr>
        <w:spacing w:after="80" w:line="300"/>
      </w:pPr>
      <w:r>
        <w:rPr>
          <w:rFonts w:ascii="Arial" w:cs="Arial" w:eastAsia="Arial" w:hAnsi="Arial"/>
          <w:color w:val="1A1A1A"/>
          <w:sz w:val="22"/>
          <w:szCs w:val="22"/>
        </w:rPr>
        <w:t xml:space="preserve">No retroactive incentive change after fielding starts. The incentive structure visible at consent is the structure honored.</w:t>
      </w:r>
    </w:p>
    <w:p>
      <w:pPr>
        <w:pStyle w:val="Heading1"/>
        <w:spacing w:after="200" w:before="360"/>
      </w:pPr>
      <w:r>
        <w:rPr>
          <w:rFonts w:ascii="Arial" w:cs="Arial" w:eastAsia="Arial" w:hAnsi="Arial"/>
          <w:b/>
          <w:bCs/>
          <w:color w:val="1A1A1A"/>
          <w:sz w:val="36"/>
          <w:szCs w:val="36"/>
        </w:rPr>
        <w:t xml:space="preserve">5. Qualification screener</w:t>
      </w:r>
    </w:p>
    <w:p>
      <w:pPr>
        <w:spacing w:after="120" w:line="320"/>
      </w:pPr>
      <w:r>
        <w:rPr>
          <w:rFonts w:ascii="Arial" w:cs="Arial" w:eastAsia="Arial" w:hAnsi="Arial"/>
          <w:color w:val="1A1A1A"/>
          <w:sz w:val="22"/>
          <w:szCs w:val="22"/>
        </w:rPr>
        <w:t xml:space="preserve">Five screener items, asked before the Participant Information Sheet is shown and before the instrument opens. Respondents who fail any item see a polite thank-you-but-not-this-time page and are not asked for any further data. Screener responses for failed respondents are not retained beyond a 30-day quota-management window.</w:t>
      </w:r>
    </w:p>
    <w:p>
      <w:pPr>
        <w:pStyle w:val="Heading2"/>
        <w:spacing w:after="160" w:before="280"/>
      </w:pPr>
      <w:r>
        <w:rPr>
          <w:rFonts w:ascii="Arial" w:cs="Arial" w:eastAsia="Arial" w:hAnsi="Arial"/>
          <w:b/>
          <w:bCs/>
          <w:color w:val="1A1A1A"/>
          <w:sz w:val="28"/>
          <w:szCs w:val="28"/>
        </w:rPr>
        <w:t xml:space="preserve">5.1 Screener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120"/>
        <w:gridCol w:w="3120"/>
        <w:gridCol w:w="256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Approve if</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Reject if</w:t>
            </w:r>
          </w:p>
        </w:tc>
      </w:tr>
      <w:tr>
        <w:tc>
          <w:tcPr>
            <w:tcW w:type="dxa" w:w="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S1</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Which industry best describes your organization? (select one of 20)</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Selection matches one of the 20 industries in the Charter sampling frame.</w:t>
            </w:r>
          </w:p>
        </w:tc>
        <w:tc>
          <w:tcPr>
            <w:tcW w:type="dxa" w:w="2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Selection is "Other" or "RFID hardware vendor" or "RFID integrator / system integrator" (those are out-of-scope populations).</w:t>
            </w:r>
          </w:p>
        </w:tc>
      </w:tr>
      <w:tr>
        <w:tc>
          <w:tcPr>
            <w:tcW w:type="dxa" w:w="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S2</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Which best describes your role? (select one of: Procurement / Supply Chain / IT / Operations / Quality &amp; Compliance / Engineering / Brand Protection / Other)</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Selection is one of the seven listed functions.</w:t>
            </w:r>
          </w:p>
        </w:tc>
        <w:tc>
          <w:tcPr>
            <w:tcW w:type="dxa" w:w="2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Selection is "Other" without a write-in that maps to one of the seven.</w:t>
            </w:r>
          </w:p>
        </w:tc>
      </w:tr>
      <w:tr>
        <w:tc>
          <w:tcPr>
            <w:tcW w:type="dxa" w:w="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S3</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Which best describes your decision authority for RFID / NFC technology at your organization? (Approve / Recommend / Influence / None)</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Selection is Approve, Recommend, or Influence.</w:t>
            </w:r>
          </w:p>
        </w:tc>
        <w:tc>
          <w:tcPr>
            <w:tcW w:type="dxa" w:w="2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Selection is "None" — these respondents do not see RFID buying decisions and would not pass our sample-frame test in the Charter.</w:t>
            </w:r>
          </w:p>
        </w:tc>
      </w:tr>
      <w:tr>
        <w:tc>
          <w:tcPr>
            <w:tcW w:type="dxa" w:w="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S4</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How many employees does your organization have? (1-49 / 50-249 / 250-999 / 1,000-9,999 / 10,000+)</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Selection is 50+ (the Charter target population is mid-market and enterprise; SMB has different adoption dynamics and is out of scope for this study).</w:t>
            </w:r>
          </w:p>
        </w:tc>
        <w:tc>
          <w:tcPr>
            <w:tcW w:type="dxa" w:w="2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Selection is 1-49.</w:t>
            </w:r>
          </w:p>
        </w:tc>
      </w:tr>
      <w:tr>
        <w:tc>
          <w:tcPr>
            <w:tcW w:type="dxa" w:w="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S5</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How familiar are you with RFID or NFC technology in your organization operations? (Very / Somewhat / A little / Not at all)</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Selection is Very or Somewhat.</w:t>
            </w:r>
          </w:p>
        </w:tc>
        <w:tc>
          <w:tcPr>
            <w:tcW w:type="dxa" w:w="2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Selection is "A little" or "Not at all" — these respondents cannot meaningfully answer the substantive items.</w:t>
            </w:r>
          </w:p>
        </w:tc>
      </w:tr>
    </w:tbl>
    <w:p>
      <w:pPr>
        <w:pStyle w:val="Heading2"/>
        <w:spacing w:after="160" w:before="280"/>
      </w:pPr>
      <w:r>
        <w:rPr>
          <w:rFonts w:ascii="Arial" w:cs="Arial" w:eastAsia="Arial" w:hAnsi="Arial"/>
          <w:b/>
          <w:bCs/>
          <w:color w:val="1A1A1A"/>
          <w:sz w:val="28"/>
          <w:szCs w:val="28"/>
        </w:rPr>
        <w:t xml:space="preserve">5.2 Approve criteria — all must be true</w:t>
      </w:r>
    </w:p>
    <w:p>
      <w:pPr>
        <w:pStyle w:val="ListParagraph"/>
        <w:numPr>
          <w:ilvl w:val="0"/>
          <w:numId w:val="2"/>
        </w:numPr>
        <w:spacing w:after="80" w:line="300"/>
      </w:pPr>
      <w:r>
        <w:rPr>
          <w:rFonts w:ascii="Arial" w:cs="Arial" w:eastAsia="Arial" w:hAnsi="Arial"/>
          <w:color w:val="1A1A1A"/>
          <w:sz w:val="22"/>
          <w:szCs w:val="22"/>
        </w:rPr>
        <w:t xml:space="preserve">Industry is one of 20.</w:t>
      </w:r>
    </w:p>
    <w:p>
      <w:pPr>
        <w:pStyle w:val="ListParagraph"/>
        <w:numPr>
          <w:ilvl w:val="0"/>
          <w:numId w:val="2"/>
        </w:numPr>
        <w:spacing w:after="80" w:line="300"/>
      </w:pPr>
      <w:r>
        <w:rPr>
          <w:rFonts w:ascii="Arial" w:cs="Arial" w:eastAsia="Arial" w:hAnsi="Arial"/>
          <w:color w:val="1A1A1A"/>
          <w:sz w:val="22"/>
          <w:szCs w:val="22"/>
        </w:rPr>
        <w:t xml:space="preserve">Role is one of seven listed functions.</w:t>
      </w:r>
    </w:p>
    <w:p>
      <w:pPr>
        <w:pStyle w:val="ListParagraph"/>
        <w:numPr>
          <w:ilvl w:val="0"/>
          <w:numId w:val="2"/>
        </w:numPr>
        <w:spacing w:after="80" w:line="300"/>
      </w:pPr>
      <w:r>
        <w:rPr>
          <w:rFonts w:ascii="Arial" w:cs="Arial" w:eastAsia="Arial" w:hAnsi="Arial"/>
          <w:color w:val="1A1A1A"/>
          <w:sz w:val="22"/>
          <w:szCs w:val="22"/>
        </w:rPr>
        <w:t xml:space="preserve">Decision authority is Approve / Recommend / Influence.</w:t>
      </w:r>
    </w:p>
    <w:p>
      <w:pPr>
        <w:pStyle w:val="ListParagraph"/>
        <w:numPr>
          <w:ilvl w:val="0"/>
          <w:numId w:val="2"/>
        </w:numPr>
        <w:spacing w:after="80" w:line="300"/>
      </w:pPr>
      <w:r>
        <w:rPr>
          <w:rFonts w:ascii="Arial" w:cs="Arial" w:eastAsia="Arial" w:hAnsi="Arial"/>
          <w:color w:val="1A1A1A"/>
          <w:sz w:val="22"/>
          <w:szCs w:val="22"/>
        </w:rPr>
        <w:t xml:space="preserve">Organization is 50+ employees.</w:t>
      </w:r>
    </w:p>
    <w:p>
      <w:pPr>
        <w:pStyle w:val="ListParagraph"/>
        <w:numPr>
          <w:ilvl w:val="0"/>
          <w:numId w:val="2"/>
        </w:numPr>
        <w:spacing w:after="80" w:line="300"/>
      </w:pPr>
      <w:r>
        <w:rPr>
          <w:rFonts w:ascii="Arial" w:cs="Arial" w:eastAsia="Arial" w:hAnsi="Arial"/>
          <w:color w:val="1A1A1A"/>
          <w:sz w:val="22"/>
          <w:szCs w:val="22"/>
        </w:rPr>
        <w:t xml:space="preserve">RFID/NFC familiarity is Very or Somewhat.</w:t>
      </w:r>
    </w:p>
    <w:p>
      <w:pPr>
        <w:pStyle w:val="ListParagraph"/>
        <w:numPr>
          <w:ilvl w:val="0"/>
          <w:numId w:val="2"/>
        </w:numPr>
        <w:spacing w:after="80" w:line="300"/>
      </w:pPr>
      <w:r>
        <w:rPr>
          <w:rFonts w:ascii="Arial" w:cs="Arial" w:eastAsia="Arial" w:hAnsi="Arial"/>
          <w:color w:val="1A1A1A"/>
          <w:sz w:val="22"/>
          <w:szCs w:val="22"/>
        </w:rPr>
        <w:t xml:space="preserve">Email domain is not on the vendor-exclusion list (Zebra, Impinj, Honeywell, Avery Dennison, SATO, NXP, etc.).</w:t>
      </w:r>
    </w:p>
    <w:p>
      <w:pPr>
        <w:pStyle w:val="ListParagraph"/>
        <w:numPr>
          <w:ilvl w:val="0"/>
          <w:numId w:val="2"/>
        </w:numPr>
        <w:spacing w:after="80" w:line="300"/>
      </w:pPr>
      <w:r>
        <w:rPr>
          <w:rFonts w:ascii="Arial" w:cs="Arial" w:eastAsia="Arial" w:hAnsi="Arial"/>
          <w:color w:val="1A1A1A"/>
          <w:sz w:val="22"/>
          <w:szCs w:val="22"/>
        </w:rPr>
        <w:t xml:space="preserve">No prior completed response from the same email domain in this fielding cycle (deduplication).</w:t>
      </w:r>
    </w:p>
    <w:p>
      <w:pPr>
        <w:pStyle w:val="Heading2"/>
        <w:spacing w:after="160" w:before="280"/>
      </w:pPr>
      <w:r>
        <w:rPr>
          <w:rFonts w:ascii="Arial" w:cs="Arial" w:eastAsia="Arial" w:hAnsi="Arial"/>
          <w:b/>
          <w:bCs/>
          <w:color w:val="1A1A1A"/>
          <w:sz w:val="28"/>
          <w:szCs w:val="28"/>
        </w:rPr>
        <w:t xml:space="preserve">5.3 Reject handling</w:t>
      </w:r>
    </w:p>
    <w:p>
      <w:pPr>
        <w:pStyle w:val="ListParagraph"/>
        <w:numPr>
          <w:ilvl w:val="0"/>
          <w:numId w:val="2"/>
        </w:numPr>
        <w:spacing w:after="80" w:line="300"/>
      </w:pPr>
      <w:r>
        <w:rPr>
          <w:rFonts w:ascii="Arial" w:cs="Arial" w:eastAsia="Arial" w:hAnsi="Arial"/>
          <w:color w:val="1A1A1A"/>
          <w:sz w:val="22"/>
          <w:szCs w:val="22"/>
        </w:rPr>
        <w:t xml:space="preserve">Rejected respondents see a thank-you page that explains the study has filled its quota for that profile. The page links to /research/methodology/ for transparency and offers an opt-in for the 2027 cycle.</w:t>
      </w:r>
    </w:p>
    <w:p>
      <w:pPr>
        <w:pStyle w:val="ListParagraph"/>
        <w:numPr>
          <w:ilvl w:val="0"/>
          <w:numId w:val="2"/>
        </w:numPr>
        <w:spacing w:after="80" w:line="300"/>
      </w:pPr>
      <w:r>
        <w:rPr>
          <w:rFonts w:ascii="Arial" w:cs="Arial" w:eastAsia="Arial" w:hAnsi="Arial"/>
          <w:color w:val="1A1A1A"/>
          <w:sz w:val="22"/>
          <w:szCs w:val="22"/>
        </w:rPr>
        <w:t xml:space="preserve">Rejected respondents are not asked to consent to anything beyond what the landing page already discloses.</w:t>
      </w:r>
    </w:p>
    <w:p>
      <w:pPr>
        <w:pStyle w:val="ListParagraph"/>
        <w:numPr>
          <w:ilvl w:val="0"/>
          <w:numId w:val="2"/>
        </w:numPr>
        <w:spacing w:after="80" w:line="300"/>
      </w:pPr>
      <w:r>
        <w:rPr>
          <w:rFonts w:ascii="Arial" w:cs="Arial" w:eastAsia="Arial" w:hAnsi="Arial"/>
          <w:color w:val="1A1A1A"/>
          <w:sz w:val="22"/>
          <w:szCs w:val="22"/>
        </w:rPr>
        <w:t xml:space="preserve">Screener responses for rejected respondents are retained for 30 days for quota-management diagnostics, then deleted.</w:t>
      </w:r>
    </w:p>
    <w:p>
      <w:pPr>
        <w:pStyle w:val="Heading1"/>
        <w:spacing w:after="200" w:before="360"/>
      </w:pPr>
      <w:r>
        <w:rPr>
          <w:rFonts w:ascii="Arial" w:cs="Arial" w:eastAsia="Arial" w:hAnsi="Arial"/>
          <w:b/>
          <w:bCs/>
          <w:color w:val="1A1A1A"/>
          <w:sz w:val="36"/>
          <w:szCs w:val="36"/>
        </w:rPr>
        <w:t xml:space="preserve">6. Participant Information Sheet (PIS)</w:t>
      </w:r>
    </w:p>
    <w:p>
      <w:pPr>
        <w:spacing w:after="120" w:line="320"/>
      </w:pPr>
      <w:r>
        <w:rPr>
          <w:rFonts w:ascii="Arial" w:cs="Arial" w:eastAsia="Arial" w:hAnsi="Arial"/>
          <w:color w:val="1A1A1A"/>
          <w:sz w:val="22"/>
          <w:szCs w:val="22"/>
        </w:rPr>
        <w:t xml:space="preserve">The Participant Information Sheet is the document the respondent reads after passing the screener and before the electronic consent. It is the substantive disclosure that GDPR Article 13 and the CCPA "at or before collection" requirement both require. Below is the text shown to the respondent. It is also available at /research/methodology/consent/ as a stand-alone document the respondent can save before participating.</w:t>
      </w:r>
    </w:p>
    <w:p>
      <w:pPr>
        <w:pBdr>
          <w:bottom w:val="single" w:color="C39A5F" w:sz="6" w:space="1"/>
        </w:pBdr>
        <w:spacing w:after="120" w:before="120"/>
      </w:pPr>
      <w:r>
        <w:t xml:space="preserve"/>
      </w:r>
    </w:p>
    <w:p>
      <w:pPr>
        <w:pStyle w:val="Heading2"/>
        <w:spacing w:after="160" w:before="280"/>
      </w:pPr>
      <w:r>
        <w:rPr>
          <w:rFonts w:ascii="Arial" w:cs="Arial" w:eastAsia="Arial" w:hAnsi="Arial"/>
          <w:b/>
          <w:bCs/>
          <w:color w:val="1A1A1A"/>
          <w:sz w:val="28"/>
          <w:szCs w:val="28"/>
        </w:rPr>
        <w:t xml:space="preserve">Participant Information Sheet</w:t>
      </w:r>
    </w:p>
    <w:p>
      <w:pPr>
        <w:pStyle w:val="Heading3"/>
        <w:spacing w:after="120" w:before="200"/>
      </w:pPr>
      <w:r>
        <w:rPr>
          <w:rFonts w:ascii="Arial" w:cs="Arial" w:eastAsia="Arial" w:hAnsi="Arial"/>
          <w:b/>
          <w:bCs/>
          <w:color w:val="1A1A1A"/>
          <w:sz w:val="24"/>
          <w:szCs w:val="24"/>
        </w:rPr>
        <w:t xml:space="preserve">Proud Tek 2026 RFID Industry Adoption Index</w:t>
      </w:r>
    </w:p>
    <w:p>
      <w:pPr>
        <w:spacing w:after="60"/>
      </w:pPr>
      <w:r>
        <w:rPr>
          <w:rFonts w:ascii="Arial" w:cs="Arial" w:eastAsia="Arial" w:hAnsi="Arial"/>
          <w:i/>
          <w:iCs/>
          <w:color w:val="5C5C5C"/>
          <w:sz w:val="18"/>
          <w:szCs w:val="18"/>
        </w:rPr>
        <w:t xml:space="preserve">Version 1.0 — effective 2026-05-18</w:t>
      </w:r>
    </w:p>
    <w:p>
      <w:pPr>
        <w:pStyle w:val="Heading3"/>
        <w:spacing w:after="120" w:before="200"/>
      </w:pPr>
      <w:r>
        <w:rPr>
          <w:rFonts w:ascii="Arial" w:cs="Arial" w:eastAsia="Arial" w:hAnsi="Arial"/>
          <w:b/>
          <w:bCs/>
          <w:color w:val="1A1A1A"/>
          <w:sz w:val="24"/>
          <w:szCs w:val="24"/>
        </w:rPr>
        <w:t xml:space="preserve">1. What this study is about</w:t>
      </w:r>
    </w:p>
    <w:p>
      <w:pPr>
        <w:spacing w:after="120" w:line="320"/>
      </w:pPr>
      <w:r>
        <w:rPr>
          <w:rFonts w:ascii="Arial" w:cs="Arial" w:eastAsia="Arial" w:hAnsi="Arial"/>
          <w:color w:val="1A1A1A"/>
          <w:sz w:val="22"/>
          <w:szCs w:val="22"/>
        </w:rPr>
        <w:t xml:space="preserve">Proud Tek Research is running the 2026 RFID Industry Adoption Index, a vendor-neutral, pre-registered survey of 200 RFID and NFC buyers across 20 industries. The study answers five questions about how organizations are adopting RFID/NFC, how they are tracking against mandates, what they expect and realize in KPI lift, how they select vendors, and what they intend to do in 2027.</w:t>
      </w:r>
    </w:p>
    <w:p>
      <w:pPr>
        <w:pStyle w:val="Heading3"/>
        <w:spacing w:after="120" w:before="200"/>
      </w:pPr>
      <w:r>
        <w:rPr>
          <w:rFonts w:ascii="Arial" w:cs="Arial" w:eastAsia="Arial" w:hAnsi="Arial"/>
          <w:b/>
          <w:bCs/>
          <w:color w:val="1A1A1A"/>
          <w:sz w:val="24"/>
          <w:szCs w:val="24"/>
        </w:rPr>
        <w:t xml:space="preserve">2. Who funds the study</w:t>
      </w:r>
    </w:p>
    <w:p>
      <w:pPr>
        <w:spacing w:after="120" w:line="320"/>
      </w:pPr>
      <w:r>
        <w:rPr>
          <w:rFonts w:ascii="Arial" w:cs="Arial" w:eastAsia="Arial" w:hAnsi="Arial"/>
          <w:color w:val="1A1A1A"/>
          <w:sz w:val="22"/>
          <w:szCs w:val="22"/>
        </w:rPr>
        <w:t xml:space="preserve">The study is funded entirely from Proud Tek internal marketing R&amp;D budget (USD 28,500). No external co-funding from RFID hardware vendors, integrators, or end-user clients is accepted. The funding statement is reproduced in every public deliverable.</w:t>
      </w:r>
    </w:p>
    <w:p>
      <w:pPr>
        <w:pStyle w:val="Heading3"/>
        <w:spacing w:after="120" w:before="200"/>
      </w:pPr>
      <w:r>
        <w:rPr>
          <w:rFonts w:ascii="Arial" w:cs="Arial" w:eastAsia="Arial" w:hAnsi="Arial"/>
          <w:b/>
          <w:bCs/>
          <w:color w:val="1A1A1A"/>
          <w:sz w:val="24"/>
          <w:szCs w:val="24"/>
        </w:rPr>
        <w:t xml:space="preserve">3. Who is asking you</w:t>
      </w:r>
    </w:p>
    <w:p>
      <w:pPr>
        <w:spacing w:after="120" w:line="320"/>
      </w:pPr>
      <w:r>
        <w:rPr>
          <w:rFonts w:ascii="Arial" w:cs="Arial" w:eastAsia="Arial" w:hAnsi="Arial"/>
          <w:color w:val="1A1A1A"/>
          <w:sz w:val="22"/>
          <w:szCs w:val="22"/>
        </w:rPr>
        <w:t xml:space="preserve">Proud Tek Research, a research program within Proud Tek. The data controller is Proud Tek. The data processor for the survey platform is Qualtrics LLC. Contact: research@proudtek.com.</w:t>
      </w:r>
    </w:p>
    <w:p>
      <w:pPr>
        <w:pStyle w:val="Heading3"/>
        <w:spacing w:after="120" w:before="200"/>
      </w:pPr>
      <w:r>
        <w:rPr>
          <w:rFonts w:ascii="Arial" w:cs="Arial" w:eastAsia="Arial" w:hAnsi="Arial"/>
          <w:b/>
          <w:bCs/>
          <w:color w:val="1A1A1A"/>
          <w:sz w:val="24"/>
          <w:szCs w:val="24"/>
        </w:rPr>
        <w:t xml:space="preserve">4. What we collect</w:t>
      </w:r>
    </w:p>
    <w:p>
      <w:pPr>
        <w:spacing w:after="120" w:line="320"/>
      </w:pPr>
      <w:r>
        <w:rPr>
          <w:rFonts w:ascii="Arial" w:cs="Arial" w:eastAsia="Arial" w:hAnsi="Arial"/>
          <w:color w:val="1A1A1A"/>
          <w:sz w:val="22"/>
          <w:szCs w:val="22"/>
        </w:rPr>
        <w:t xml:space="preserve">The instrument is approximately 14 minutes and 25-30 questions. We collect: your industry, role, organization size, RFID/NFC deployment specifics, mandate exposure, KPI performance, vendor selection criteria, and 2027 deployment intent. For deduplication and follow-up only, we also collect your name, organization name, and email — these three fields are stripped before any analysis and never appear in the published dataset.</w:t>
      </w:r>
    </w:p>
    <w:p>
      <w:pPr>
        <w:pStyle w:val="Heading3"/>
        <w:spacing w:after="120" w:before="200"/>
      </w:pPr>
      <w:r>
        <w:rPr>
          <w:rFonts w:ascii="Arial" w:cs="Arial" w:eastAsia="Arial" w:hAnsi="Arial"/>
          <w:b/>
          <w:bCs/>
          <w:color w:val="1A1A1A"/>
          <w:sz w:val="24"/>
          <w:szCs w:val="24"/>
        </w:rPr>
        <w:t xml:space="preserve">5. How we use it</w:t>
      </w:r>
    </w:p>
    <w:p>
      <w:pPr>
        <w:pStyle w:val="ListParagraph"/>
        <w:numPr>
          <w:ilvl w:val="0"/>
          <w:numId w:val="2"/>
        </w:numPr>
        <w:spacing w:after="80" w:line="300"/>
      </w:pPr>
      <w:r>
        <w:rPr>
          <w:rFonts w:ascii="Arial" w:cs="Arial" w:eastAsia="Arial" w:hAnsi="Arial"/>
          <w:color w:val="1A1A1A"/>
          <w:sz w:val="22"/>
          <w:szCs w:val="22"/>
        </w:rPr>
        <w:t xml:space="preserve">Aggregate analysis: every published statistic uses only the anonymized dataset (your name, organization and email are not in it).</w:t>
      </w:r>
    </w:p>
    <w:p>
      <w:pPr>
        <w:pStyle w:val="ListParagraph"/>
        <w:numPr>
          <w:ilvl w:val="0"/>
          <w:numId w:val="2"/>
        </w:numPr>
        <w:spacing w:after="80" w:line="300"/>
      </w:pPr>
      <w:r>
        <w:rPr>
          <w:rFonts w:ascii="Arial" w:cs="Arial" w:eastAsia="Arial" w:hAnsi="Arial"/>
          <w:color w:val="1A1A1A"/>
          <w:sz w:val="22"/>
          <w:szCs w:val="22"/>
        </w:rPr>
        <w:t xml:space="preserve">Cross-tabulation: k-anonymity check (k&gt;=5) on every published cross-tab — no published cell represents fewer than five respondents.</w:t>
      </w:r>
    </w:p>
    <w:p>
      <w:pPr>
        <w:pStyle w:val="ListParagraph"/>
        <w:numPr>
          <w:ilvl w:val="0"/>
          <w:numId w:val="2"/>
        </w:numPr>
        <w:spacing w:after="80" w:line="300"/>
      </w:pPr>
      <w:r>
        <w:rPr>
          <w:rFonts w:ascii="Arial" w:cs="Arial" w:eastAsia="Arial" w:hAnsi="Arial"/>
          <w:color w:val="1A1A1A"/>
          <w:sz w:val="22"/>
          <w:szCs w:val="22"/>
        </w:rPr>
        <w:t xml:space="preserve">Publication: aggregate findings appear in the public report (PDF, HTML, .pptx) and the open dataset (CC-BY-4.0).</w:t>
      </w:r>
    </w:p>
    <w:p>
      <w:pPr>
        <w:pStyle w:val="ListParagraph"/>
        <w:numPr>
          <w:ilvl w:val="0"/>
          <w:numId w:val="2"/>
        </w:numPr>
        <w:spacing w:after="80" w:line="300"/>
      </w:pPr>
      <w:r>
        <w:rPr>
          <w:rFonts w:ascii="Arial" w:cs="Arial" w:eastAsia="Arial" w:hAnsi="Arial"/>
          <w:color w:val="1A1A1A"/>
          <w:sz w:val="22"/>
          <w:szCs w:val="22"/>
        </w:rPr>
        <w:t xml:space="preserve">Quotes: open-text answers may be quoted in the report only with your explicit consent at consent-time and only after we have offered you the chance to review the quote in context.</w:t>
      </w:r>
    </w:p>
    <w:p>
      <w:pPr>
        <w:pStyle w:val="Heading3"/>
        <w:spacing w:after="120" w:before="200"/>
      </w:pPr>
      <w:r>
        <w:rPr>
          <w:rFonts w:ascii="Arial" w:cs="Arial" w:eastAsia="Arial" w:hAnsi="Arial"/>
          <w:b/>
          <w:bCs/>
          <w:color w:val="1A1A1A"/>
          <w:sz w:val="24"/>
          <w:szCs w:val="24"/>
        </w:rPr>
        <w:t xml:space="preserve">6. Anonymization</w:t>
      </w:r>
    </w:p>
    <w:p>
      <w:pPr>
        <w:spacing w:after="120" w:line="320"/>
      </w:pPr>
      <w:r>
        <w:rPr>
          <w:rFonts w:ascii="Arial" w:cs="Arial" w:eastAsia="Arial" w:hAnsi="Arial"/>
          <w:color w:val="1A1A1A"/>
          <w:sz w:val="22"/>
          <w:szCs w:val="22"/>
        </w:rPr>
        <w:t xml:space="preserve">Within five business days of your submission, your name, organization name and email address are removed from your record. The remaining response data is your "analytic record", and is the only version any analyst sees. The mapping between your identifying fields and your analytic record is kept on a separate encrypted store, used only to honor a withdrawal request, and deleted after 24 months.</w:t>
      </w:r>
    </w:p>
    <w:p>
      <w:pPr>
        <w:pStyle w:val="Heading3"/>
        <w:spacing w:after="120" w:before="200"/>
      </w:pPr>
      <w:r>
        <w:rPr>
          <w:rFonts w:ascii="Arial" w:cs="Arial" w:eastAsia="Arial" w:hAnsi="Arial"/>
          <w:b/>
          <w:bCs/>
          <w:color w:val="1A1A1A"/>
          <w:sz w:val="24"/>
          <w:szCs w:val="24"/>
        </w:rPr>
        <w:t xml:space="preserve">7. Retention</w:t>
      </w:r>
    </w:p>
    <w:p>
      <w:pPr>
        <w:pStyle w:val="ListParagraph"/>
        <w:numPr>
          <w:ilvl w:val="0"/>
          <w:numId w:val="2"/>
        </w:numPr>
        <w:spacing w:after="80" w:line="300"/>
      </w:pPr>
      <w:r>
        <w:rPr>
          <w:rFonts w:ascii="Arial" w:cs="Arial" w:eastAsia="Arial" w:hAnsi="Arial"/>
          <w:color w:val="1A1A1A"/>
          <w:sz w:val="22"/>
          <w:szCs w:val="22"/>
        </w:rPr>
        <w:t xml:space="preserve">Raw responses (including your name, organization and email): retained 24 months on Qualtrics XM, encrypted at rest, then deleted.</w:t>
      </w:r>
    </w:p>
    <w:p>
      <w:pPr>
        <w:pStyle w:val="ListParagraph"/>
        <w:numPr>
          <w:ilvl w:val="0"/>
          <w:numId w:val="2"/>
        </w:numPr>
        <w:spacing w:after="80" w:line="300"/>
      </w:pPr>
      <w:r>
        <w:rPr>
          <w:rFonts w:ascii="Arial" w:cs="Arial" w:eastAsia="Arial" w:hAnsi="Arial"/>
          <w:color w:val="1A1A1A"/>
          <w:sz w:val="22"/>
          <w:szCs w:val="22"/>
        </w:rPr>
        <w:t xml:space="preserve">Analytic dataset (anonymized): retained indefinitely and published under CC-BY-4.0 on 2027-01-28.</w:t>
      </w:r>
    </w:p>
    <w:p>
      <w:pPr>
        <w:pStyle w:val="ListParagraph"/>
        <w:numPr>
          <w:ilvl w:val="0"/>
          <w:numId w:val="2"/>
        </w:numPr>
        <w:spacing w:after="80" w:line="300"/>
      </w:pPr>
      <w:r>
        <w:rPr>
          <w:rFonts w:ascii="Arial" w:cs="Arial" w:eastAsia="Arial" w:hAnsi="Arial"/>
          <w:color w:val="1A1A1A"/>
          <w:sz w:val="22"/>
          <w:szCs w:val="22"/>
        </w:rPr>
        <w:t xml:space="preserve">Screener responses for rejected respondents: 30 days, then deleted.</w:t>
      </w:r>
    </w:p>
    <w:p>
      <w:pPr>
        <w:pStyle w:val="Heading3"/>
        <w:spacing w:after="120" w:before="200"/>
      </w:pPr>
      <w:r>
        <w:rPr>
          <w:rFonts w:ascii="Arial" w:cs="Arial" w:eastAsia="Arial" w:hAnsi="Arial"/>
          <w:b/>
          <w:bCs/>
          <w:color w:val="1A1A1A"/>
          <w:sz w:val="24"/>
          <w:szCs w:val="24"/>
        </w:rPr>
        <w:t xml:space="preserve">8. Your rights</w:t>
      </w:r>
    </w:p>
    <w:p>
      <w:pPr>
        <w:pStyle w:val="ListParagraph"/>
        <w:numPr>
          <w:ilvl w:val="0"/>
          <w:numId w:val="2"/>
        </w:numPr>
        <w:spacing w:after="80" w:line="300"/>
      </w:pPr>
      <w:r>
        <w:rPr>
          <w:rFonts w:ascii="Arial" w:cs="Arial" w:eastAsia="Arial" w:hAnsi="Arial"/>
          <w:color w:val="1A1A1A"/>
          <w:sz w:val="22"/>
          <w:szCs w:val="22"/>
        </w:rPr>
        <w:t xml:space="preserve">Right to withdraw: you can withdraw at any time during the instrument with no consequence, and after submission within 90 days by emailing research@proudtek.com with the subject "withdraw". Withdrawal removes your record from both the raw and the analytic datasets.</w:t>
      </w:r>
    </w:p>
    <w:p>
      <w:pPr>
        <w:pStyle w:val="ListParagraph"/>
        <w:numPr>
          <w:ilvl w:val="0"/>
          <w:numId w:val="2"/>
        </w:numPr>
        <w:spacing w:after="80" w:line="300"/>
      </w:pPr>
      <w:r>
        <w:rPr>
          <w:rFonts w:ascii="Arial" w:cs="Arial" w:eastAsia="Arial" w:hAnsi="Arial"/>
          <w:color w:val="1A1A1A"/>
          <w:sz w:val="22"/>
          <w:szCs w:val="22"/>
        </w:rPr>
        <w:t xml:space="preserve">Right to access: you may request a copy of the data we hold about you by emailing the address above.</w:t>
      </w:r>
    </w:p>
    <w:p>
      <w:pPr>
        <w:pStyle w:val="ListParagraph"/>
        <w:numPr>
          <w:ilvl w:val="0"/>
          <w:numId w:val="2"/>
        </w:numPr>
        <w:spacing w:after="80" w:line="300"/>
      </w:pPr>
      <w:r>
        <w:rPr>
          <w:rFonts w:ascii="Arial" w:cs="Arial" w:eastAsia="Arial" w:hAnsi="Arial"/>
          <w:color w:val="1A1A1A"/>
          <w:sz w:val="22"/>
          <w:szCs w:val="22"/>
        </w:rPr>
        <w:t xml:space="preserve">Right to rectification: you may correct any inaccurate field.</w:t>
      </w:r>
    </w:p>
    <w:p>
      <w:pPr>
        <w:pStyle w:val="ListParagraph"/>
        <w:numPr>
          <w:ilvl w:val="0"/>
          <w:numId w:val="2"/>
        </w:numPr>
        <w:spacing w:after="80" w:line="300"/>
      </w:pPr>
      <w:r>
        <w:rPr>
          <w:rFonts w:ascii="Arial" w:cs="Arial" w:eastAsia="Arial" w:hAnsi="Arial"/>
          <w:color w:val="1A1A1A"/>
          <w:sz w:val="22"/>
          <w:szCs w:val="22"/>
        </w:rPr>
        <w:t xml:space="preserve">Right to erasure: see the right to withdraw, above.</w:t>
      </w:r>
    </w:p>
    <w:p>
      <w:pPr>
        <w:pStyle w:val="ListParagraph"/>
        <w:numPr>
          <w:ilvl w:val="0"/>
          <w:numId w:val="2"/>
        </w:numPr>
        <w:spacing w:after="80" w:line="300"/>
      </w:pPr>
      <w:r>
        <w:rPr>
          <w:rFonts w:ascii="Arial" w:cs="Arial" w:eastAsia="Arial" w:hAnsi="Arial"/>
          <w:color w:val="1A1A1A"/>
          <w:sz w:val="22"/>
          <w:szCs w:val="22"/>
        </w:rPr>
        <w:t xml:space="preserve">Right to portability: we will provide your record in machine-readable format on request.</w:t>
      </w:r>
    </w:p>
    <w:p>
      <w:pPr>
        <w:pStyle w:val="ListParagraph"/>
        <w:numPr>
          <w:ilvl w:val="0"/>
          <w:numId w:val="2"/>
        </w:numPr>
        <w:spacing w:after="80" w:line="300"/>
      </w:pPr>
      <w:r>
        <w:rPr>
          <w:rFonts w:ascii="Arial" w:cs="Arial" w:eastAsia="Arial" w:hAnsi="Arial"/>
          <w:color w:val="1A1A1A"/>
          <w:sz w:val="22"/>
          <w:szCs w:val="22"/>
        </w:rPr>
        <w:t xml:space="preserve">Right to object / restrict: you may ask us to stop processing your data for any reason.</w:t>
      </w:r>
    </w:p>
    <w:p>
      <w:pPr>
        <w:pStyle w:val="Heading3"/>
        <w:spacing w:after="120" w:before="200"/>
      </w:pPr>
      <w:r>
        <w:rPr>
          <w:rFonts w:ascii="Arial" w:cs="Arial" w:eastAsia="Arial" w:hAnsi="Arial"/>
          <w:b/>
          <w:bCs/>
          <w:color w:val="1A1A1A"/>
          <w:sz w:val="24"/>
          <w:szCs w:val="24"/>
        </w:rPr>
        <w:t xml:space="preserve">9. Legal basis</w:t>
      </w:r>
    </w:p>
    <w:p>
      <w:pPr>
        <w:spacing w:after="120" w:line="320"/>
      </w:pPr>
      <w:r>
        <w:rPr>
          <w:rFonts w:ascii="Arial" w:cs="Arial" w:eastAsia="Arial" w:hAnsi="Arial"/>
          <w:color w:val="1A1A1A"/>
          <w:sz w:val="22"/>
          <w:szCs w:val="22"/>
        </w:rPr>
        <w:t xml:space="preserve">GDPR Article 6(1)(a) — explicit consent. Your participation is voluntary. Withdrawing consent does not affect the lawfulness of processing carried out before the withdrawal. For California residents, the CCPA categories of personal information we collect are identifiers (name, email), professional information (role, organization), and commercial information (RFID purchase decisions); we do not sell personal information; you have the right to know, delete and opt-out.</w:t>
      </w:r>
    </w:p>
    <w:p>
      <w:pPr>
        <w:pStyle w:val="Heading3"/>
        <w:spacing w:after="120" w:before="200"/>
      </w:pPr>
      <w:r>
        <w:rPr>
          <w:rFonts w:ascii="Arial" w:cs="Arial" w:eastAsia="Arial" w:hAnsi="Arial"/>
          <w:b/>
          <w:bCs/>
          <w:color w:val="1A1A1A"/>
          <w:sz w:val="24"/>
          <w:szCs w:val="24"/>
        </w:rPr>
        <w:t xml:space="preserve">10. Complaint route</w:t>
      </w:r>
    </w:p>
    <w:p>
      <w:pPr>
        <w:pStyle w:val="ListParagraph"/>
        <w:numPr>
          <w:ilvl w:val="0"/>
          <w:numId w:val="2"/>
        </w:numPr>
        <w:spacing w:after="80" w:line="300"/>
      </w:pPr>
      <w:r>
        <w:rPr>
          <w:rFonts w:ascii="Arial" w:cs="Arial" w:eastAsia="Arial" w:hAnsi="Arial"/>
          <w:color w:val="1A1A1A"/>
          <w:sz w:val="22"/>
          <w:szCs w:val="22"/>
        </w:rPr>
        <w:t xml:space="preserve">UK respondents: Information Commissioner Office (ICO), https://ico.org.uk, 0303 123 1113.</w:t>
      </w:r>
    </w:p>
    <w:p>
      <w:pPr>
        <w:pStyle w:val="ListParagraph"/>
        <w:numPr>
          <w:ilvl w:val="0"/>
          <w:numId w:val="2"/>
        </w:numPr>
        <w:spacing w:after="80" w:line="300"/>
      </w:pPr>
      <w:r>
        <w:rPr>
          <w:rFonts w:ascii="Arial" w:cs="Arial" w:eastAsia="Arial" w:hAnsi="Arial"/>
          <w:color w:val="1A1A1A"/>
          <w:sz w:val="22"/>
          <w:szCs w:val="22"/>
        </w:rPr>
        <w:t xml:space="preserve">EU respondents: your national data protection supervisory authority. A directory is at https://edpb.europa.eu/about-edpb/about-edpb/members_en.</w:t>
      </w:r>
    </w:p>
    <w:p>
      <w:pPr>
        <w:pStyle w:val="ListParagraph"/>
        <w:numPr>
          <w:ilvl w:val="0"/>
          <w:numId w:val="2"/>
        </w:numPr>
        <w:spacing w:after="80" w:line="300"/>
      </w:pPr>
      <w:r>
        <w:rPr>
          <w:rFonts w:ascii="Arial" w:cs="Arial" w:eastAsia="Arial" w:hAnsi="Arial"/>
          <w:color w:val="1A1A1A"/>
          <w:sz w:val="22"/>
          <w:szCs w:val="22"/>
        </w:rPr>
        <w:t xml:space="preserve">California respondents: California Attorney General, https://oag.ca.gov/privacy/ccpa.</w:t>
      </w:r>
    </w:p>
    <w:p>
      <w:pPr>
        <w:pStyle w:val="ListParagraph"/>
        <w:numPr>
          <w:ilvl w:val="0"/>
          <w:numId w:val="2"/>
        </w:numPr>
        <w:spacing w:after="80" w:line="300"/>
      </w:pPr>
      <w:r>
        <w:rPr>
          <w:rFonts w:ascii="Arial" w:cs="Arial" w:eastAsia="Arial" w:hAnsi="Arial"/>
          <w:color w:val="1A1A1A"/>
          <w:sz w:val="22"/>
          <w:szCs w:val="22"/>
        </w:rPr>
        <w:t xml:space="preserve">All respondents: you can also write to research@proudtek.com first and we will investigate within 10 business days.</w:t>
      </w:r>
    </w:p>
    <w:p>
      <w:pPr>
        <w:pStyle w:val="Heading3"/>
        <w:spacing w:after="120" w:before="200"/>
      </w:pPr>
      <w:r>
        <w:rPr>
          <w:rFonts w:ascii="Arial" w:cs="Arial" w:eastAsia="Arial" w:hAnsi="Arial"/>
          <w:b/>
          <w:bCs/>
          <w:color w:val="1A1A1A"/>
          <w:sz w:val="24"/>
          <w:szCs w:val="24"/>
        </w:rPr>
        <w:t xml:space="preserve">11. Contacts</w:t>
      </w:r>
    </w:p>
    <w:p>
      <w:pPr>
        <w:pStyle w:val="ListParagraph"/>
        <w:numPr>
          <w:ilvl w:val="0"/>
          <w:numId w:val="2"/>
        </w:numPr>
        <w:spacing w:after="80" w:line="300"/>
      </w:pPr>
      <w:r>
        <w:rPr>
          <w:rFonts w:ascii="Arial" w:cs="Arial" w:eastAsia="Arial" w:hAnsi="Arial"/>
          <w:color w:val="1A1A1A"/>
          <w:sz w:val="22"/>
          <w:szCs w:val="22"/>
        </w:rPr>
        <w:t xml:space="preserve">Data controller — Proud Tek, research@proudtek.com.</w:t>
      </w:r>
    </w:p>
    <w:p>
      <w:pPr>
        <w:pStyle w:val="ListParagraph"/>
        <w:numPr>
          <w:ilvl w:val="0"/>
          <w:numId w:val="2"/>
        </w:numPr>
        <w:spacing w:after="80" w:line="300"/>
      </w:pPr>
      <w:r>
        <w:rPr>
          <w:rFonts w:ascii="Arial" w:cs="Arial" w:eastAsia="Arial" w:hAnsi="Arial"/>
          <w:color w:val="1A1A1A"/>
          <w:sz w:val="22"/>
          <w:szCs w:val="22"/>
        </w:rPr>
        <w:t xml:space="preserve">Data Protection contact — dpo@proudtek.com.</w:t>
      </w:r>
    </w:p>
    <w:p>
      <w:pPr>
        <w:pStyle w:val="ListParagraph"/>
        <w:numPr>
          <w:ilvl w:val="0"/>
          <w:numId w:val="2"/>
        </w:numPr>
        <w:spacing w:after="80" w:line="300"/>
      </w:pPr>
      <w:r>
        <w:rPr>
          <w:rFonts w:ascii="Arial" w:cs="Arial" w:eastAsia="Arial" w:hAnsi="Arial"/>
          <w:color w:val="1A1A1A"/>
          <w:sz w:val="22"/>
          <w:szCs w:val="22"/>
        </w:rPr>
        <w:t xml:space="preserve">Research Lead — research-lead@proudtek.com.</w:t>
      </w:r>
    </w:p>
    <w:p>
      <w:pPr>
        <w:pStyle w:val="ListParagraph"/>
        <w:numPr>
          <w:ilvl w:val="0"/>
          <w:numId w:val="2"/>
        </w:numPr>
        <w:spacing w:after="80" w:line="300"/>
      </w:pPr>
      <w:r>
        <w:rPr>
          <w:rFonts w:ascii="Arial" w:cs="Arial" w:eastAsia="Arial" w:hAnsi="Arial"/>
          <w:color w:val="1A1A1A"/>
          <w:sz w:val="22"/>
          <w:szCs w:val="22"/>
        </w:rPr>
        <w:t xml:space="preserve">Independent ethics adviser — name and email recorded in the methodology appendix.</w:t>
      </w:r>
    </w:p>
    <w:p>
      <w:pPr>
        <w:pBdr>
          <w:bottom w:val="single" w:color="C39A5F" w:sz="6" w:space="1"/>
        </w:pBdr>
        <w:spacing w:after="120" w:before="120"/>
      </w:pPr>
      <w:r>
        <w:t xml:space="preserve"/>
      </w:r>
    </w:p>
    <w:p>
      <w:pPr>
        <w:pStyle w:val="Heading1"/>
        <w:spacing w:after="200" w:before="360"/>
      </w:pPr>
      <w:r>
        <w:rPr>
          <w:rFonts w:ascii="Arial" w:cs="Arial" w:eastAsia="Arial" w:hAnsi="Arial"/>
          <w:b/>
          <w:bCs/>
          <w:color w:val="1A1A1A"/>
          <w:sz w:val="36"/>
          <w:szCs w:val="36"/>
        </w:rPr>
        <w:t xml:space="preserve">7. Electronic consent form text</w:t>
      </w:r>
    </w:p>
    <w:p>
      <w:pPr>
        <w:spacing w:after="120" w:line="320"/>
      </w:pPr>
      <w:r>
        <w:rPr>
          <w:rFonts w:ascii="Arial" w:cs="Arial" w:eastAsia="Arial" w:hAnsi="Arial"/>
          <w:color w:val="1A1A1A"/>
          <w:sz w:val="22"/>
          <w:szCs w:val="22"/>
        </w:rPr>
        <w:t xml:space="preserve">The electronic consent screen appears between the Participant Information Sheet and the substantive instrument. The respondent must tick "I agree to all of the above" to proceed; partial consent ends the instrument with a thank-you page. The exact wording below is loaded into Qualtrics; any change to wording requires sponsor sign-off.</w:t>
      </w:r>
    </w:p>
    <w:p>
      <w:pPr>
        <w:pBdr>
          <w:bottom w:val="single" w:color="C39A5F" w:sz="6" w:space="1"/>
        </w:pBdr>
        <w:spacing w:after="120" w:before="120"/>
      </w:pPr>
      <w:r>
        <w:t xml:space="preserve"/>
      </w:r>
    </w:p>
    <w:p>
      <w:pPr>
        <w:pStyle w:val="Heading2"/>
        <w:spacing w:after="160" w:before="280"/>
      </w:pPr>
      <w:r>
        <w:rPr>
          <w:rFonts w:ascii="Arial" w:cs="Arial" w:eastAsia="Arial" w:hAnsi="Arial"/>
          <w:b/>
          <w:bCs/>
          <w:color w:val="1A1A1A"/>
          <w:sz w:val="28"/>
          <w:szCs w:val="28"/>
        </w:rPr>
        <w:t xml:space="preserve">Electronic consent — Proud Tek 2026 RFID Industry Adoption Index</w:t>
      </w:r>
    </w:p>
    <w:p>
      <w:pPr>
        <w:spacing w:after="120" w:line="320"/>
      </w:pPr>
      <w:r>
        <w:rPr>
          <w:rFonts w:ascii="Arial" w:cs="Arial" w:eastAsia="Arial" w:hAnsi="Arial"/>
          <w:color w:val="1A1A1A"/>
          <w:sz w:val="22"/>
          <w:szCs w:val="22"/>
        </w:rPr>
        <w:t xml:space="preserve">Please confirm each of the following before continuing. You can save a copy of the Participant Information Sheet (PDF) at /research/methodology/consent/.</w:t>
      </w:r>
    </w:p>
    <w:p>
      <w:pPr>
        <w:pStyle w:val="ListParagraph"/>
        <w:numPr>
          <w:ilvl w:val="0"/>
          <w:numId w:val="2"/>
        </w:numPr>
        <w:spacing w:after="80" w:line="300"/>
      </w:pPr>
      <w:r>
        <w:rPr>
          <w:rFonts w:ascii="Arial" w:cs="Arial" w:eastAsia="Arial" w:hAnsi="Arial"/>
          <w:color w:val="1A1A1A"/>
          <w:sz w:val="22"/>
          <w:szCs w:val="22"/>
        </w:rPr>
        <w:t xml:space="preserve">(1) I have read the Participant Information Sheet (version 1.0, dated 2026-05-18) and have had the opportunity to ask questions.</w:t>
      </w:r>
    </w:p>
    <w:p>
      <w:pPr>
        <w:pStyle w:val="ListParagraph"/>
        <w:numPr>
          <w:ilvl w:val="0"/>
          <w:numId w:val="2"/>
        </w:numPr>
        <w:spacing w:after="80" w:line="300"/>
      </w:pPr>
      <w:r>
        <w:rPr>
          <w:rFonts w:ascii="Arial" w:cs="Arial" w:eastAsia="Arial" w:hAnsi="Arial"/>
          <w:color w:val="1A1A1A"/>
          <w:sz w:val="22"/>
          <w:szCs w:val="22"/>
        </w:rPr>
        <w:t xml:space="preserve">(2) I understand that my participation is voluntary and that I can withdraw at any time during the instrument without consequence, and within 90 days after submission by emailing research@proudtek.com.</w:t>
      </w:r>
    </w:p>
    <w:p>
      <w:pPr>
        <w:pStyle w:val="ListParagraph"/>
        <w:numPr>
          <w:ilvl w:val="0"/>
          <w:numId w:val="2"/>
        </w:numPr>
        <w:spacing w:after="80" w:line="300"/>
      </w:pPr>
      <w:r>
        <w:rPr>
          <w:rFonts w:ascii="Arial" w:cs="Arial" w:eastAsia="Arial" w:hAnsi="Arial"/>
          <w:color w:val="1A1A1A"/>
          <w:sz w:val="22"/>
          <w:szCs w:val="22"/>
        </w:rPr>
        <w:t xml:space="preserve">(3) I consent to Proud Tek Research collecting the data described in the Participant Information Sheet, including my name, organization name and email for the purposes of deduplication and follow-up only.</w:t>
      </w:r>
    </w:p>
    <w:p>
      <w:pPr>
        <w:pStyle w:val="ListParagraph"/>
        <w:numPr>
          <w:ilvl w:val="0"/>
          <w:numId w:val="2"/>
        </w:numPr>
        <w:spacing w:after="80" w:line="300"/>
      </w:pPr>
      <w:r>
        <w:rPr>
          <w:rFonts w:ascii="Arial" w:cs="Arial" w:eastAsia="Arial" w:hAnsi="Arial"/>
          <w:color w:val="1A1A1A"/>
          <w:sz w:val="22"/>
          <w:szCs w:val="22"/>
        </w:rPr>
        <w:t xml:space="preserve">(4) I understand that my name, organization name and email will be removed from my response within five business days of submission, and that only the anonymized record will be used for analysis or publication.</w:t>
      </w:r>
    </w:p>
    <w:p>
      <w:pPr>
        <w:pStyle w:val="ListParagraph"/>
        <w:numPr>
          <w:ilvl w:val="0"/>
          <w:numId w:val="2"/>
        </w:numPr>
        <w:spacing w:after="80" w:line="300"/>
      </w:pPr>
      <w:r>
        <w:rPr>
          <w:rFonts w:ascii="Arial" w:cs="Arial" w:eastAsia="Arial" w:hAnsi="Arial"/>
          <w:color w:val="1A1A1A"/>
          <w:sz w:val="22"/>
          <w:szCs w:val="22"/>
        </w:rPr>
        <w:t xml:space="preserve">(5) I consent to my anonymized response being published as part of the open dataset under CC-BY-4.0 on or after 2027-01-28.</w:t>
      </w:r>
    </w:p>
    <w:p>
      <w:pPr>
        <w:pStyle w:val="ListParagraph"/>
        <w:numPr>
          <w:ilvl w:val="0"/>
          <w:numId w:val="2"/>
        </w:numPr>
        <w:spacing w:after="80" w:line="300"/>
      </w:pPr>
      <w:r>
        <w:rPr>
          <w:rFonts w:ascii="Arial" w:cs="Arial" w:eastAsia="Arial" w:hAnsi="Arial"/>
          <w:color w:val="1A1A1A"/>
          <w:sz w:val="22"/>
          <w:szCs w:val="22"/>
        </w:rPr>
        <w:t xml:space="preserve">(6) I understand that my open-text answers will not be quoted in any published material without my separate, explicit consent.</w:t>
      </w:r>
    </w:p>
    <w:p>
      <w:pPr>
        <w:pStyle w:val="ListParagraph"/>
        <w:numPr>
          <w:ilvl w:val="0"/>
          <w:numId w:val="2"/>
        </w:numPr>
        <w:spacing w:after="80" w:line="300"/>
      </w:pPr>
      <w:r>
        <w:rPr>
          <w:rFonts w:ascii="Arial" w:cs="Arial" w:eastAsia="Arial" w:hAnsi="Arial"/>
          <w:color w:val="1A1A1A"/>
          <w:sz w:val="22"/>
          <w:szCs w:val="22"/>
        </w:rPr>
        <w:t xml:space="preserve">(7) I understand that aggregate findings derived from my response (alongside those of other respondents) will appear in the public report and may be cited by media, AI search, and third parties.</w:t>
      </w:r>
    </w:p>
    <w:p>
      <w:pPr>
        <w:pStyle w:val="ListParagraph"/>
        <w:numPr>
          <w:ilvl w:val="0"/>
          <w:numId w:val="2"/>
        </w:numPr>
        <w:spacing w:after="80" w:line="300"/>
      </w:pPr>
      <w:r>
        <w:rPr>
          <w:rFonts w:ascii="Arial" w:cs="Arial" w:eastAsia="Arial" w:hAnsi="Arial"/>
          <w:color w:val="1A1A1A"/>
          <w:sz w:val="22"/>
          <w:szCs w:val="22"/>
        </w:rPr>
        <w:t xml:space="preserve">(8) I consent to Proud Tek Research contacting me up to two times after my submission for the limited purposes of (a) confirming a quote, (b) inviting me to the optional expert interview, or (c) sending me the early-access report. I can decline any of these contacts.</w:t>
      </w:r>
    </w:p>
    <w:p>
      <w:pPr>
        <w:pStyle w:val="ListParagraph"/>
        <w:numPr>
          <w:ilvl w:val="0"/>
          <w:numId w:val="2"/>
        </w:numPr>
        <w:spacing w:after="80" w:line="300"/>
      </w:pPr>
      <w:r>
        <w:rPr>
          <w:rFonts w:ascii="Arial" w:cs="Arial" w:eastAsia="Arial" w:hAnsi="Arial"/>
          <w:color w:val="1A1A1A"/>
          <w:sz w:val="22"/>
          <w:szCs w:val="22"/>
        </w:rPr>
        <w:t xml:space="preserve">(9) I understand my legal rights under GDPR / CCPA as outlined in the Participant Information Sheet, including the right to access, rectify, erase, port, restrict and object.</w:t>
      </w:r>
    </w:p>
    <w:p>
      <w:pPr>
        <w:pStyle w:val="ListParagraph"/>
        <w:numPr>
          <w:ilvl w:val="0"/>
          <w:numId w:val="2"/>
        </w:numPr>
        <w:spacing w:after="80" w:line="300"/>
      </w:pPr>
      <w:r>
        <w:rPr>
          <w:rFonts w:ascii="Arial" w:cs="Arial" w:eastAsia="Arial" w:hAnsi="Arial"/>
          <w:color w:val="1A1A1A"/>
          <w:sz w:val="22"/>
          <w:szCs w:val="22"/>
        </w:rPr>
        <w:t xml:space="preserve">(10) I confirm that I am 18 or older and am providing this consent on my own behalf.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C39A5F" w:sz="18"/>
              <w:bottom w:val="single" w:color="D6D6D6" w:sz="4"/>
              <w:right w:val="single" w:color="D6D6D6" w:sz="4"/>
            </w:tcBorders>
            <w:shd w:fill="F8F2E8" w:val="clear"/>
            <w:tcMar>
              <w:top w:type="dxa" w:w="100"/>
              <w:left w:type="dxa" w:w="140"/>
              <w:bottom w:type="dxa" w:w="100"/>
              <w:right w:type="dxa" w:w="140"/>
            </w:tcMar>
          </w:tcPr>
          <w:p>
            <w:pPr>
              <w:spacing w:after="80"/>
            </w:pPr>
            <w:r>
              <w:rPr>
                <w:rFonts w:ascii="Arial" w:cs="Arial" w:eastAsia="Arial" w:hAnsi="Arial"/>
                <w:b/>
                <w:bCs/>
                <w:color w:val="1A1A1A"/>
                <w:sz w:val="20"/>
                <w:szCs w:val="20"/>
              </w:rPr>
              <w:t xml:space="preserve">Confirmation</w:t>
            </w:r>
          </w:p>
          <w:p>
            <w:pPr>
              <w:spacing w:after="0" w:line="300"/>
            </w:pPr>
            <w:r>
              <w:rPr>
                <w:rFonts w:ascii="Arial" w:cs="Arial" w:eastAsia="Arial" w:hAnsi="Arial"/>
                <w:color w:val="1A1A1A"/>
                <w:sz w:val="22"/>
                <w:szCs w:val="22"/>
              </w:rPr>
              <w:t xml:space="preserve">Tick: [ ] I agree to all of the above and consent to participate in the 2026 RFID Industry Adoption Index.</w:t>
            </w:r>
          </w:p>
        </w:tc>
      </w:tr>
    </w:tbl>
    <w:p>
      <w:pPr>
        <w:spacing w:after="60"/>
      </w:pPr>
      <w:r>
        <w:rPr>
          <w:rFonts w:ascii="Arial" w:cs="Arial" w:eastAsia="Arial" w:hAnsi="Arial"/>
          <w:i/>
          <w:iCs/>
          <w:color w:val="5C5C5C"/>
          <w:sz w:val="18"/>
          <w:szCs w:val="18"/>
        </w:rPr>
        <w:t xml:space="preserve">Date and timestamp captured automatically. The respondent IP is not stored beyond initial deduplication; only a salted hash of the IP is retained.</w:t>
      </w:r>
    </w:p>
    <w:p>
      <w:pPr>
        <w:pBdr>
          <w:bottom w:val="single" w:color="C39A5F" w:sz="6" w:space="1"/>
        </w:pBdr>
        <w:spacing w:after="120" w:before="120"/>
      </w:pPr>
      <w:r>
        <w:t xml:space="preserve"/>
      </w:r>
    </w:p>
    <w:p>
      <w:pPr>
        <w:pStyle w:val="Heading2"/>
        <w:spacing w:after="160" w:before="280"/>
      </w:pPr>
      <w:r>
        <w:rPr>
          <w:rFonts w:ascii="Arial" w:cs="Arial" w:eastAsia="Arial" w:hAnsi="Arial"/>
          <w:b/>
          <w:bCs/>
          <w:color w:val="1A1A1A"/>
          <w:sz w:val="28"/>
          <w:szCs w:val="28"/>
        </w:rPr>
        <w:t xml:space="preserve">7.1 Quote-level consent (separate, only if applicable)</w:t>
      </w:r>
    </w:p>
    <w:p>
      <w:pPr>
        <w:spacing w:after="120" w:line="320"/>
      </w:pPr>
      <w:r>
        <w:rPr>
          <w:rFonts w:ascii="Arial" w:cs="Arial" w:eastAsia="Arial" w:hAnsi="Arial"/>
          <w:color w:val="1A1A1A"/>
          <w:sz w:val="22"/>
          <w:szCs w:val="22"/>
        </w:rPr>
        <w:t xml:space="preserve">Where an open-text answer is being considered for direct quotation in the report, a follow-up email is sent to the respondent with the proposed quote in context and a request for explicit quote-level consent. The respondent may approve, decline, edit, or request paraphrase-only treatment. No quote runs without an affirmative reply.</w:t>
      </w:r>
    </w:p>
    <w:p>
      <w:pPr>
        <w:pStyle w:val="Heading1"/>
        <w:spacing w:after="200" w:before="360"/>
      </w:pPr>
      <w:r>
        <w:rPr>
          <w:rFonts w:ascii="Arial" w:cs="Arial" w:eastAsia="Arial" w:hAnsi="Arial"/>
          <w:b/>
          <w:bCs/>
          <w:color w:val="1A1A1A"/>
          <w:sz w:val="36"/>
          <w:szCs w:val="36"/>
        </w:rPr>
        <w:t xml:space="preserve">8. Anonymization protocol</w:t>
      </w:r>
    </w:p>
    <w:p>
      <w:pPr>
        <w:spacing w:after="120" w:line="320"/>
      </w:pPr>
      <w:r>
        <w:rPr>
          <w:rFonts w:ascii="Arial" w:cs="Arial" w:eastAsia="Arial" w:hAnsi="Arial"/>
          <w:color w:val="1A1A1A"/>
          <w:sz w:val="22"/>
          <w:szCs w:val="22"/>
        </w:rPr>
        <w:t xml:space="preserve">Anonymization is the step where the raw response record (with name, organization and email) becomes the analytic record (without). It happens within five business days of submission. The protocol below is the script the anonymization administrator follows; the script is automated where reliable, manual where judgment is required.</w:t>
      </w:r>
    </w:p>
    <w:p>
      <w:pPr>
        <w:pStyle w:val="Heading2"/>
        <w:spacing w:after="160" w:before="280"/>
      </w:pPr>
      <w:r>
        <w:rPr>
          <w:rFonts w:ascii="Arial" w:cs="Arial" w:eastAsia="Arial" w:hAnsi="Arial"/>
          <w:b/>
          <w:bCs/>
          <w:color w:val="1A1A1A"/>
          <w:sz w:val="28"/>
          <w:szCs w:val="28"/>
        </w:rPr>
        <w:t xml:space="preserve">8.1 Step-by-step procedure</w:t>
      </w:r>
    </w:p>
    <w:p>
      <w:pPr>
        <w:pStyle w:val="ListParagraph"/>
        <w:numPr>
          <w:ilvl w:val="0"/>
          <w:numId w:val="3"/>
        </w:numPr>
        <w:spacing w:after="80" w:line="300"/>
      </w:pPr>
      <w:r>
        <w:rPr>
          <w:rFonts w:ascii="Arial" w:cs="Arial" w:eastAsia="Arial" w:hAnsi="Arial"/>
          <w:color w:val="1A1A1A"/>
          <w:sz w:val="22"/>
          <w:szCs w:val="22"/>
        </w:rPr>
        <w:t xml:space="preserve">Within five business days of submission, the anonymization administrator pulls the raw export from Qualtrics XM.</w:t>
      </w:r>
    </w:p>
    <w:p>
      <w:pPr>
        <w:pStyle w:val="ListParagraph"/>
        <w:numPr>
          <w:ilvl w:val="0"/>
          <w:numId w:val="3"/>
        </w:numPr>
        <w:spacing w:after="80" w:line="300"/>
      </w:pPr>
      <w:r>
        <w:rPr>
          <w:rFonts w:ascii="Arial" w:cs="Arial" w:eastAsia="Arial" w:hAnsi="Arial"/>
          <w:color w:val="1A1A1A"/>
          <w:sz w:val="22"/>
          <w:szCs w:val="22"/>
        </w:rPr>
        <w:t xml:space="preserve">Field strip — these fields are removed entirely from the analytic record: respondent first name, respondent last name, respondent email, organization name, respondent LinkedIn URL (if collected via channel), respondent phone (if collected via panel).</w:t>
      </w:r>
    </w:p>
    <w:p>
      <w:pPr>
        <w:pStyle w:val="ListParagraph"/>
        <w:numPr>
          <w:ilvl w:val="0"/>
          <w:numId w:val="3"/>
        </w:numPr>
        <w:spacing w:after="80" w:line="300"/>
      </w:pPr>
      <w:r>
        <w:rPr>
          <w:rFonts w:ascii="Arial" w:cs="Arial" w:eastAsia="Arial" w:hAnsi="Arial"/>
          <w:color w:val="1A1A1A"/>
          <w:sz w:val="22"/>
          <w:szCs w:val="22"/>
        </w:rPr>
        <w:t xml:space="preserve">Field bucket — these fields are bucketed to reduce re-identification risk: organization size (5 bands not raw headcount), country (region — North America / EMEA / APAC / LATAM — not exact country), industry sub-segment (top-level industry only in any published cross-tab; sub-segment retained only in the locked dataset).</w:t>
      </w:r>
    </w:p>
    <w:p>
      <w:pPr>
        <w:pStyle w:val="ListParagraph"/>
        <w:numPr>
          <w:ilvl w:val="0"/>
          <w:numId w:val="3"/>
        </w:numPr>
        <w:spacing w:after="80" w:line="300"/>
      </w:pPr>
      <w:r>
        <w:rPr>
          <w:rFonts w:ascii="Arial" w:cs="Arial" w:eastAsia="Arial" w:hAnsi="Arial"/>
          <w:color w:val="1A1A1A"/>
          <w:sz w:val="22"/>
          <w:szCs w:val="22"/>
        </w:rPr>
        <w:t xml:space="preserve">Field retain — these fields are retained as captured: all substantive items (Q4-Q25), industry, role, decision authority, organization-size band, RFID familiarity, all KPI numerics, all ranked-choice items, all Likert items.</w:t>
      </w:r>
    </w:p>
    <w:p>
      <w:pPr>
        <w:pStyle w:val="ListParagraph"/>
        <w:numPr>
          <w:ilvl w:val="0"/>
          <w:numId w:val="3"/>
        </w:numPr>
        <w:spacing w:after="80" w:line="300"/>
      </w:pPr>
      <w:r>
        <w:rPr>
          <w:rFonts w:ascii="Arial" w:cs="Arial" w:eastAsia="Arial" w:hAnsi="Arial"/>
          <w:color w:val="1A1A1A"/>
          <w:sz w:val="22"/>
          <w:szCs w:val="22"/>
        </w:rPr>
        <w:t xml:space="preserve">Field flag — these fields are retained as binary flags only: client-referral flag (1/0), conference-attendee flag (1/0), expert-interview flag (1/0). These permit robustness analysis without identifying any respondent.</w:t>
      </w:r>
    </w:p>
    <w:p>
      <w:pPr>
        <w:pStyle w:val="ListParagraph"/>
        <w:numPr>
          <w:ilvl w:val="0"/>
          <w:numId w:val="3"/>
        </w:numPr>
        <w:spacing w:after="80" w:line="300"/>
      </w:pPr>
      <w:r>
        <w:rPr>
          <w:rFonts w:ascii="Arial" w:cs="Arial" w:eastAsia="Arial" w:hAnsi="Arial"/>
          <w:color w:val="1A1A1A"/>
          <w:sz w:val="22"/>
          <w:szCs w:val="22"/>
        </w:rPr>
        <w:t xml:space="preserve">k-anonymity check — for every cross-tab that will be published, run the k-anonymity test. Any cell of size &lt;5 must be collapsed or suppressed before publication.</w:t>
      </w:r>
    </w:p>
    <w:p>
      <w:pPr>
        <w:pStyle w:val="ListParagraph"/>
        <w:numPr>
          <w:ilvl w:val="0"/>
          <w:numId w:val="3"/>
        </w:numPr>
        <w:spacing w:after="80" w:line="300"/>
      </w:pPr>
      <w:r>
        <w:rPr>
          <w:rFonts w:ascii="Arial" w:cs="Arial" w:eastAsia="Arial" w:hAnsi="Arial"/>
          <w:color w:val="1A1A1A"/>
          <w:sz w:val="22"/>
          <w:szCs w:val="22"/>
        </w:rPr>
        <w:t xml:space="preserve">Review log entry — the anonymization administrator logs every record: timestamp, record ID, fields stripped, fields bucketed, k-anonymity check outcome.</w:t>
      </w:r>
    </w:p>
    <w:p>
      <w:pPr>
        <w:pStyle w:val="ListParagraph"/>
        <w:numPr>
          <w:ilvl w:val="0"/>
          <w:numId w:val="3"/>
        </w:numPr>
        <w:spacing w:after="80" w:line="300"/>
      </w:pPr>
      <w:r>
        <w:rPr>
          <w:rFonts w:ascii="Arial" w:cs="Arial" w:eastAsia="Arial" w:hAnsi="Arial"/>
          <w:color w:val="1A1A1A"/>
          <w:sz w:val="22"/>
          <w:szCs w:val="22"/>
        </w:rPr>
        <w:t xml:space="preserve">Sign-off — the anonymization reviewer (independent contractor, see Section 1) signs off the analytic dataset before any analysis runs.</w:t>
      </w:r>
    </w:p>
    <w:p>
      <w:pPr>
        <w:pStyle w:val="Heading2"/>
        <w:spacing w:after="160" w:before="280"/>
      </w:pPr>
      <w:r>
        <w:rPr>
          <w:rFonts w:ascii="Arial" w:cs="Arial" w:eastAsia="Arial" w:hAnsi="Arial"/>
          <w:b/>
          <w:bCs/>
          <w:color w:val="1A1A1A"/>
          <w:sz w:val="28"/>
          <w:szCs w:val="28"/>
        </w:rPr>
        <w:t xml:space="preserve">8.2 k-anonymity check</w:t>
      </w:r>
    </w:p>
    <w:p>
      <w:pPr>
        <w:spacing w:after="120" w:line="320"/>
      </w:pPr>
      <w:r>
        <w:rPr>
          <w:rFonts w:ascii="Arial" w:cs="Arial" w:eastAsia="Arial" w:hAnsi="Arial"/>
          <w:color w:val="1A1A1A"/>
          <w:sz w:val="22"/>
          <w:szCs w:val="22"/>
        </w:rPr>
        <w:t xml:space="preserve">For every published cross-tab (e.g., "share of full-production RFID deployments by industry x organization size band"), the smallest cell must contain at least 5 respondents. If a cell is smaller, the row or column is collapsed (e.g., 1,000-9,999 and 10,000+ merged to 1,000+) until k&gt;=5 holds for every cell. The published cross-tab is the one that passes; the underlying finer cross-tab is retained only in the locked dataset and is never published.</w:t>
      </w:r>
    </w:p>
    <w:p>
      <w:pPr>
        <w:pStyle w:val="Heading2"/>
        <w:spacing w:after="160" w:before="280"/>
      </w:pPr>
      <w:r>
        <w:rPr>
          <w:rFonts w:ascii="Arial" w:cs="Arial" w:eastAsia="Arial" w:hAnsi="Arial"/>
          <w:b/>
          <w:bCs/>
          <w:color w:val="1A1A1A"/>
          <w:sz w:val="28"/>
          <w:szCs w:val="28"/>
        </w:rPr>
        <w:t xml:space="preserve">8.3 Review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080"/>
        <w:gridCol w:w="2080"/>
        <w:gridCol w:w="208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Record ID</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Reviewer</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(populated)</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(populated)</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Initial anonymization run</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Anonymization administrator</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Logged at each batch.</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(populated)</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(populated)</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k-anonymity check on cross-tab</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Anonymization reviewer</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Cross-tab ID logged.</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(populated)</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(populated)</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Quote-level consent confirmed</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Consent administrator</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Email thread archived.</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(populated)</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(populated)</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Withdrawal request actioned</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Consent administrator</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Confirmation sent to respondent.</w:t>
            </w:r>
          </w:p>
        </w:tc>
      </w:tr>
    </w:tbl>
    <w:p>
      <w:pPr>
        <w:spacing w:after="60"/>
      </w:pPr>
      <w:r>
        <w:rPr>
          <w:rFonts w:ascii="Arial" w:cs="Arial" w:eastAsia="Arial" w:hAnsi="Arial"/>
          <w:i/>
          <w:iCs/>
          <w:color w:val="5C5C5C"/>
          <w:sz w:val="18"/>
          <w:szCs w:val="18"/>
        </w:rPr>
        <w:t xml:space="preserve">The review log is held on Proud Tek-controlled storage and made available to the independent ethics adviser on request. Per-record entries are retained for 24 months alongside the raw dataset, then deleted.</w:t>
      </w:r>
    </w:p>
    <w:p>
      <w:pPr>
        <w:pStyle w:val="Heading2"/>
        <w:spacing w:after="160" w:before="280"/>
      </w:pPr>
      <w:r>
        <w:rPr>
          <w:rFonts w:ascii="Arial" w:cs="Arial" w:eastAsia="Arial" w:hAnsi="Arial"/>
          <w:b/>
          <w:bCs/>
          <w:color w:val="1A1A1A"/>
          <w:sz w:val="28"/>
          <w:szCs w:val="28"/>
        </w:rPr>
        <w:t xml:space="preserve">8.4 Sign-off</w:t>
      </w:r>
    </w:p>
    <w:p>
      <w:pPr>
        <w:spacing w:after="120" w:line="320"/>
      </w:pPr>
      <w:r>
        <w:rPr>
          <w:rFonts w:ascii="Arial" w:cs="Arial" w:eastAsia="Arial" w:hAnsi="Arial"/>
          <w:color w:val="1A1A1A"/>
          <w:sz w:val="22"/>
          <w:szCs w:val="22"/>
        </w:rPr>
        <w:t xml:space="preserve">No analysis runs against the analytic dataset until the anonymization reviewer signs off in writing. The sign-off statement is: "I confirm that the analytic dataset for the 2026 RFID Industry Adoption Index has been anonymized per the protocol in section 8 of the Recruitment &amp; Consent Pack, and that the k-anonymity (k&gt;=5) test holds for every published cross-tab as specified by the Research Lead." The statement is countersigned by the Research Lead.</w:t>
      </w:r>
    </w:p>
    <w:p>
      <w:pPr>
        <w:pStyle w:val="Heading1"/>
        <w:spacing w:after="200" w:before="360"/>
      </w:pPr>
      <w:r>
        <w:rPr>
          <w:rFonts w:ascii="Arial" w:cs="Arial" w:eastAsia="Arial" w:hAnsi="Arial"/>
          <w:b/>
          <w:bCs/>
          <w:color w:val="1A1A1A"/>
          <w:sz w:val="36"/>
          <w:szCs w:val="36"/>
        </w:rPr>
        <w:t xml:space="preserve">9. Third-party panel SOW outline (Centiment)</w:t>
      </w:r>
    </w:p>
    <w:p>
      <w:pPr>
        <w:spacing w:after="120" w:line="320"/>
      </w:pPr>
      <w:r>
        <w:rPr>
          <w:rFonts w:ascii="Arial" w:cs="Arial" w:eastAsia="Arial" w:hAnsi="Arial"/>
          <w:color w:val="1A1A1A"/>
          <w:sz w:val="22"/>
          <w:szCs w:val="22"/>
        </w:rPr>
        <w:t xml:space="preserve">The statement of work below is the operational summary of the Centiment engagement for the 2026 cycle. The signed legal SOW (commercial-in-confidence) is held by Proud Tek Procurement; this outline is the version the recruitment team uses day-to-day.</w:t>
      </w:r>
    </w:p>
    <w:p>
      <w:pPr>
        <w:pStyle w:val="Heading2"/>
        <w:spacing w:after="160" w:before="280"/>
      </w:pPr>
      <w:r>
        <w:rPr>
          <w:rFonts w:ascii="Arial" w:cs="Arial" w:eastAsia="Arial" w:hAnsi="Arial"/>
          <w:b/>
          <w:bCs/>
          <w:color w:val="1A1A1A"/>
          <w:sz w:val="28"/>
          <w:szCs w:val="28"/>
        </w:rPr>
        <w:t xml:space="preserve">9.1 Scope</w:t>
      </w:r>
    </w:p>
    <w:p>
      <w:pPr>
        <w:pStyle w:val="ListParagraph"/>
        <w:numPr>
          <w:ilvl w:val="0"/>
          <w:numId w:val="2"/>
        </w:numPr>
        <w:spacing w:after="80" w:line="300"/>
      </w:pPr>
      <w:r>
        <w:rPr>
          <w:rFonts w:ascii="Arial" w:cs="Arial" w:eastAsia="Arial" w:hAnsi="Arial"/>
          <w:color w:val="1A1A1A"/>
          <w:sz w:val="22"/>
          <w:szCs w:val="22"/>
        </w:rPr>
        <w:t xml:space="preserve">Centiment delivers up to 60 completed B2B responses to the Proud Tek 2026 RFID Industry Adoption Index instrument, against the Charter 20-industry stratified quota.</w:t>
      </w:r>
    </w:p>
    <w:p>
      <w:pPr>
        <w:pStyle w:val="ListParagraph"/>
        <w:numPr>
          <w:ilvl w:val="0"/>
          <w:numId w:val="2"/>
        </w:numPr>
        <w:spacing w:after="80" w:line="300"/>
      </w:pPr>
      <w:r>
        <w:rPr>
          <w:rFonts w:ascii="Arial" w:cs="Arial" w:eastAsia="Arial" w:hAnsi="Arial"/>
          <w:color w:val="1A1A1A"/>
          <w:sz w:val="22"/>
          <w:szCs w:val="22"/>
        </w:rPr>
        <w:t xml:space="preserve">Centiment owns end-to-end panel sourcing, screening (using the Section 5 screener loaded into the Centiment platform), incentive payment to panelists, and quality control.</w:t>
      </w:r>
    </w:p>
    <w:p>
      <w:pPr>
        <w:pStyle w:val="ListParagraph"/>
        <w:numPr>
          <w:ilvl w:val="0"/>
          <w:numId w:val="2"/>
        </w:numPr>
        <w:spacing w:after="80" w:line="300"/>
      </w:pPr>
      <w:r>
        <w:rPr>
          <w:rFonts w:ascii="Arial" w:cs="Arial" w:eastAsia="Arial" w:hAnsi="Arial"/>
          <w:color w:val="1A1A1A"/>
          <w:sz w:val="22"/>
          <w:szCs w:val="22"/>
        </w:rPr>
        <w:t xml:space="preserve">Out of scope for Centiment: instrument design (Proud Tek), anonymization (Proud Tek), analysis and publication (Proud Tek).</w:t>
      </w:r>
    </w:p>
    <w:p>
      <w:pPr>
        <w:pStyle w:val="Heading2"/>
        <w:spacing w:after="160" w:before="280"/>
      </w:pPr>
      <w:r>
        <w:rPr>
          <w:rFonts w:ascii="Arial" w:cs="Arial" w:eastAsia="Arial" w:hAnsi="Arial"/>
          <w:b/>
          <w:bCs/>
          <w:color w:val="1A1A1A"/>
          <w:sz w:val="28"/>
          <w:szCs w:val="28"/>
        </w:rPr>
        <w:t xml:space="preserve">9.2 Deliverables</w:t>
      </w:r>
    </w:p>
    <w:p>
      <w:pPr>
        <w:pStyle w:val="ListParagraph"/>
        <w:numPr>
          <w:ilvl w:val="0"/>
          <w:numId w:val="2"/>
        </w:numPr>
        <w:spacing w:after="80" w:line="300"/>
      </w:pPr>
      <w:r>
        <w:rPr>
          <w:rFonts w:ascii="Arial" w:cs="Arial" w:eastAsia="Arial" w:hAnsi="Arial"/>
          <w:color w:val="1A1A1A"/>
          <w:sz w:val="22"/>
          <w:szCs w:val="22"/>
        </w:rPr>
        <w:t xml:space="preserve">Daily quota dashboard accessible to the Recruitment Lead.</w:t>
      </w:r>
    </w:p>
    <w:p>
      <w:pPr>
        <w:pStyle w:val="ListParagraph"/>
        <w:numPr>
          <w:ilvl w:val="0"/>
          <w:numId w:val="2"/>
        </w:numPr>
        <w:spacing w:after="80" w:line="300"/>
      </w:pPr>
      <w:r>
        <w:rPr>
          <w:rFonts w:ascii="Arial" w:cs="Arial" w:eastAsia="Arial" w:hAnsi="Arial"/>
          <w:color w:val="1A1A1A"/>
          <w:sz w:val="22"/>
          <w:szCs w:val="22"/>
        </w:rPr>
        <w:t xml:space="preserve">Weekly written status report (Friday) covering responses-to-date by industry, channel mix within Centiment panel, attention-check failure rate, and any flagged respondents.</w:t>
      </w:r>
    </w:p>
    <w:p>
      <w:pPr>
        <w:pStyle w:val="ListParagraph"/>
        <w:numPr>
          <w:ilvl w:val="0"/>
          <w:numId w:val="2"/>
        </w:numPr>
        <w:spacing w:after="80" w:line="300"/>
      </w:pPr>
      <w:r>
        <w:rPr>
          <w:rFonts w:ascii="Arial" w:cs="Arial" w:eastAsia="Arial" w:hAnsi="Arial"/>
          <w:color w:val="1A1A1A"/>
          <w:sz w:val="22"/>
          <w:szCs w:val="22"/>
        </w:rPr>
        <w:t xml:space="preserve">Final delivery: clean export of completed responses to Qualtrics, with Centiment panelist ID as the join key.</w:t>
      </w:r>
    </w:p>
    <w:p>
      <w:pPr>
        <w:pStyle w:val="ListParagraph"/>
        <w:numPr>
          <w:ilvl w:val="0"/>
          <w:numId w:val="2"/>
        </w:numPr>
        <w:spacing w:after="80" w:line="300"/>
      </w:pPr>
      <w:r>
        <w:rPr>
          <w:rFonts w:ascii="Arial" w:cs="Arial" w:eastAsia="Arial" w:hAnsi="Arial"/>
          <w:color w:val="1A1A1A"/>
          <w:sz w:val="22"/>
          <w:szCs w:val="22"/>
        </w:rPr>
        <w:t xml:space="preserve">Post-fielding audit report on response quality: completion-time distribution, attention-check pass rate, straight-line response rate.</w:t>
      </w:r>
    </w:p>
    <w:p>
      <w:pPr>
        <w:pStyle w:val="Heading2"/>
        <w:spacing w:after="160" w:before="280"/>
      </w:pPr>
      <w:r>
        <w:rPr>
          <w:rFonts w:ascii="Arial" w:cs="Arial" w:eastAsia="Arial" w:hAnsi="Arial"/>
          <w:b/>
          <w:bCs/>
          <w:color w:val="1A1A1A"/>
          <w:sz w:val="28"/>
          <w:szCs w:val="28"/>
        </w:rPr>
        <w:t xml:space="preserve">9.3 Panel quality controls</w:t>
      </w:r>
    </w:p>
    <w:p>
      <w:pPr>
        <w:pStyle w:val="ListParagraph"/>
        <w:numPr>
          <w:ilvl w:val="0"/>
          <w:numId w:val="2"/>
        </w:numPr>
        <w:spacing w:after="80" w:line="300"/>
      </w:pPr>
      <w:r>
        <w:rPr>
          <w:rFonts w:ascii="Arial" w:cs="Arial" w:eastAsia="Arial" w:hAnsi="Arial"/>
          <w:color w:val="1A1A1A"/>
          <w:sz w:val="22"/>
          <w:szCs w:val="22"/>
        </w:rPr>
        <w:t xml:space="preserve">Centiment panelists are pre-screened B2B professionals. Centiment confirms minimum 6 months of platform engagement and at least one prior B2B completion.</w:t>
      </w:r>
    </w:p>
    <w:p>
      <w:pPr>
        <w:pStyle w:val="ListParagraph"/>
        <w:numPr>
          <w:ilvl w:val="0"/>
          <w:numId w:val="2"/>
        </w:numPr>
        <w:spacing w:after="80" w:line="300"/>
      </w:pPr>
      <w:r>
        <w:rPr>
          <w:rFonts w:ascii="Arial" w:cs="Arial" w:eastAsia="Arial" w:hAnsi="Arial"/>
          <w:color w:val="1A1A1A"/>
          <w:sz w:val="22"/>
          <w:szCs w:val="22"/>
        </w:rPr>
        <w:t xml:space="preserve">In-survey: completion-time floor (median x 0.33) and ceiling (median x 3.0); responses outside the band are returned to Centiment for replacement at Centiment cost.</w:t>
      </w:r>
    </w:p>
    <w:p>
      <w:pPr>
        <w:pStyle w:val="ListParagraph"/>
        <w:numPr>
          <w:ilvl w:val="0"/>
          <w:numId w:val="2"/>
        </w:numPr>
        <w:spacing w:after="80" w:line="300"/>
      </w:pPr>
      <w:r>
        <w:rPr>
          <w:rFonts w:ascii="Arial" w:cs="Arial" w:eastAsia="Arial" w:hAnsi="Arial"/>
          <w:color w:val="1A1A1A"/>
          <w:sz w:val="22"/>
          <w:szCs w:val="22"/>
        </w:rPr>
        <w:t xml:space="preserve">Attention checks: two instructed-response items per Charter. Failure of either invalidates the response; failure leads to replacement at Centiment cost.</w:t>
      </w:r>
    </w:p>
    <w:p>
      <w:pPr>
        <w:pStyle w:val="ListParagraph"/>
        <w:numPr>
          <w:ilvl w:val="0"/>
          <w:numId w:val="2"/>
        </w:numPr>
        <w:spacing w:after="80" w:line="300"/>
      </w:pPr>
      <w:r>
        <w:rPr>
          <w:rFonts w:ascii="Arial" w:cs="Arial" w:eastAsia="Arial" w:hAnsi="Arial"/>
          <w:color w:val="1A1A1A"/>
          <w:sz w:val="22"/>
          <w:szCs w:val="22"/>
        </w:rPr>
        <w:t xml:space="preserve">Deduplication: Centiment confirms one response per panelist; Proud Tek runs a second deduplication on email domain at intake.</w:t>
      </w:r>
    </w:p>
    <w:p>
      <w:pPr>
        <w:pStyle w:val="Heading2"/>
        <w:spacing w:after="160" w:before="280"/>
      </w:pPr>
      <w:r>
        <w:rPr>
          <w:rFonts w:ascii="Arial" w:cs="Arial" w:eastAsia="Arial" w:hAnsi="Arial"/>
          <w:b/>
          <w:bCs/>
          <w:color w:val="1A1A1A"/>
          <w:sz w:val="28"/>
          <w:szCs w:val="28"/>
        </w:rPr>
        <w:t xml:space="preserve">9.4 IP, exclusivity, data handling</w:t>
      </w:r>
    </w:p>
    <w:p>
      <w:pPr>
        <w:pStyle w:val="ListParagraph"/>
        <w:numPr>
          <w:ilvl w:val="0"/>
          <w:numId w:val="2"/>
        </w:numPr>
        <w:spacing w:after="80" w:line="300"/>
      </w:pPr>
      <w:r>
        <w:rPr>
          <w:rFonts w:ascii="Arial" w:cs="Arial" w:eastAsia="Arial" w:hAnsi="Arial"/>
          <w:color w:val="1A1A1A"/>
          <w:sz w:val="22"/>
          <w:szCs w:val="22"/>
        </w:rPr>
        <w:t xml:space="preserve">All responses delivered are the property of Proud Tek. Centiment retains no analytical right to the substantive data.</w:t>
      </w:r>
    </w:p>
    <w:p>
      <w:pPr>
        <w:pStyle w:val="ListParagraph"/>
        <w:numPr>
          <w:ilvl w:val="0"/>
          <w:numId w:val="2"/>
        </w:numPr>
        <w:spacing w:after="80" w:line="300"/>
      </w:pPr>
      <w:r>
        <w:rPr>
          <w:rFonts w:ascii="Arial" w:cs="Arial" w:eastAsia="Arial" w:hAnsi="Arial"/>
          <w:color w:val="1A1A1A"/>
          <w:sz w:val="22"/>
          <w:szCs w:val="22"/>
        </w:rPr>
        <w:t xml:space="preserve">Centiment may not use the instrument, the screener or the persona definitions for any other engagement.</w:t>
      </w:r>
    </w:p>
    <w:p>
      <w:pPr>
        <w:pStyle w:val="ListParagraph"/>
        <w:numPr>
          <w:ilvl w:val="0"/>
          <w:numId w:val="2"/>
        </w:numPr>
        <w:spacing w:after="80" w:line="300"/>
      </w:pPr>
      <w:r>
        <w:rPr>
          <w:rFonts w:ascii="Arial" w:cs="Arial" w:eastAsia="Arial" w:hAnsi="Arial"/>
          <w:color w:val="1A1A1A"/>
          <w:sz w:val="22"/>
          <w:szCs w:val="22"/>
        </w:rPr>
        <w:t xml:space="preserve">Personal data handling: Centiment is the data controller for panelist personal information (name, email, demographic profile) under Centiment privacy policy. Proud Tek does not see any panelist personal information at any point — the Centiment panelist ID is a pseudonym only.</w:t>
      </w:r>
    </w:p>
    <w:p>
      <w:pPr>
        <w:pStyle w:val="ListParagraph"/>
        <w:numPr>
          <w:ilvl w:val="0"/>
          <w:numId w:val="2"/>
        </w:numPr>
        <w:spacing w:after="80" w:line="300"/>
      </w:pPr>
      <w:r>
        <w:rPr>
          <w:rFonts w:ascii="Arial" w:cs="Arial" w:eastAsia="Arial" w:hAnsi="Arial"/>
          <w:color w:val="1A1A1A"/>
          <w:sz w:val="22"/>
          <w:szCs w:val="22"/>
        </w:rPr>
        <w:t xml:space="preserve">Sub-processors: Centiment sub-processors list is provided to Proud Tek and any change is notified in advance.</w:t>
      </w:r>
    </w:p>
    <w:p>
      <w:pPr>
        <w:pStyle w:val="Heading2"/>
        <w:spacing w:after="160" w:before="280"/>
      </w:pPr>
      <w:r>
        <w:rPr>
          <w:rFonts w:ascii="Arial" w:cs="Arial" w:eastAsia="Arial" w:hAnsi="Arial"/>
          <w:b/>
          <w:bCs/>
          <w:color w:val="1A1A1A"/>
          <w:sz w:val="28"/>
          <w:szCs w:val="28"/>
        </w:rPr>
        <w:t xml:space="preserve">9.5 Fees and payment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Fee per completed response</w:t>
            </w:r>
          </w:p>
        </w:tc>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USD 75 per qualified completion. Replacements for invalidated responses are at Centiment cost.</w:t>
            </w:r>
          </w:p>
        </w:tc>
      </w:tr>
      <w:tr>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Target volume</w:t>
            </w:r>
          </w:p>
        </w:tc>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Up to 60 completions over the 2026 fielding window.</w:t>
            </w:r>
          </w:p>
        </w:tc>
      </w:tr>
      <w:tr>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Maximum exposure</w:t>
            </w:r>
          </w:p>
        </w:tc>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USD 4,500 total (60 x USD 75). Charter Section 11 line item.</w:t>
            </w:r>
          </w:p>
        </w:tc>
      </w:tr>
      <w:tr>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Payment milestones</w:t>
            </w:r>
          </w:p>
        </w:tc>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50% on field open (2026-06-15); 50% on final delivery (within 14 days of fieldwork close).</w:t>
            </w:r>
          </w:p>
        </w:tc>
      </w:tr>
      <w:tr>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Payment terms</w:t>
            </w:r>
          </w:p>
        </w:tc>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Net 30 from invoice receipt. USD wire transfer.</w:t>
            </w:r>
          </w:p>
        </w:tc>
      </w:tr>
      <w:tr>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Termination</w:t>
            </w:r>
          </w:p>
        </w:tc>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Either party may terminate with 14 days notice; pro-rata refund for undelivered completions.</w:t>
            </w:r>
          </w:p>
        </w:tc>
      </w:tr>
    </w:tbl>
    <w:p>
      <w:pPr>
        <w:pStyle w:val="Heading2"/>
        <w:spacing w:after="160" w:before="280"/>
      </w:pPr>
      <w:r>
        <w:rPr>
          <w:rFonts w:ascii="Arial" w:cs="Arial" w:eastAsia="Arial" w:hAnsi="Arial"/>
          <w:b/>
          <w:bCs/>
          <w:color w:val="1A1A1A"/>
          <w:sz w:val="28"/>
          <w:szCs w:val="28"/>
        </w:rPr>
        <w:t xml:space="preserve">9.6 Reporting &amp; governance</w:t>
      </w:r>
    </w:p>
    <w:p>
      <w:pPr>
        <w:pStyle w:val="ListParagraph"/>
        <w:numPr>
          <w:ilvl w:val="0"/>
          <w:numId w:val="2"/>
        </w:numPr>
        <w:spacing w:after="80" w:line="300"/>
      </w:pPr>
      <w:r>
        <w:rPr>
          <w:rFonts w:ascii="Arial" w:cs="Arial" w:eastAsia="Arial" w:hAnsi="Arial"/>
          <w:color w:val="1A1A1A"/>
          <w:sz w:val="22"/>
          <w:szCs w:val="22"/>
        </w:rPr>
        <w:t xml:space="preserve">Weekly status call — Wednesday 16:00 UTC, Centiment AM and Proud Tek Recruitment Lead.</w:t>
      </w:r>
    </w:p>
    <w:p>
      <w:pPr>
        <w:pStyle w:val="ListParagraph"/>
        <w:numPr>
          <w:ilvl w:val="0"/>
          <w:numId w:val="2"/>
        </w:numPr>
        <w:spacing w:after="80" w:line="300"/>
      </w:pPr>
      <w:r>
        <w:rPr>
          <w:rFonts w:ascii="Arial" w:cs="Arial" w:eastAsia="Arial" w:hAnsi="Arial"/>
          <w:color w:val="1A1A1A"/>
          <w:sz w:val="22"/>
          <w:szCs w:val="22"/>
        </w:rPr>
        <w:t xml:space="preserve">Escalation path — Centiment AM -&gt; Centiment Operations Director -&gt; Proud Tek Research Lead.</w:t>
      </w:r>
    </w:p>
    <w:p>
      <w:pPr>
        <w:pStyle w:val="ListParagraph"/>
        <w:numPr>
          <w:ilvl w:val="0"/>
          <w:numId w:val="2"/>
        </w:numPr>
        <w:spacing w:after="80" w:line="300"/>
      </w:pPr>
      <w:r>
        <w:rPr>
          <w:rFonts w:ascii="Arial" w:cs="Arial" w:eastAsia="Arial" w:hAnsi="Arial"/>
          <w:color w:val="1A1A1A"/>
          <w:sz w:val="22"/>
          <w:szCs w:val="22"/>
        </w:rPr>
        <w:t xml:space="preserve">Issue log — maintained jointly; reviewed at every weekly call.</w:t>
      </w:r>
    </w:p>
    <w:p>
      <w:pPr>
        <w:pStyle w:val="Heading1"/>
        <w:spacing w:after="200" w:before="360"/>
      </w:pPr>
      <w:r>
        <w:rPr>
          <w:rFonts w:ascii="Arial" w:cs="Arial" w:eastAsia="Arial" w:hAnsi="Arial"/>
          <w:b/>
          <w:bCs/>
          <w:color w:val="1A1A1A"/>
          <w:sz w:val="36"/>
          <w:szCs w:val="36"/>
        </w:rPr>
        <w:t xml:space="preserve">10. Recruitment-team RACI and weekly cadence</w:t>
      </w:r>
    </w:p>
    <w:p>
      <w:pPr>
        <w:spacing w:after="120" w:line="320"/>
      </w:pPr>
      <w:r>
        <w:rPr>
          <w:rFonts w:ascii="Arial" w:cs="Arial" w:eastAsia="Arial" w:hAnsi="Arial"/>
          <w:color w:val="1A1A1A"/>
          <w:sz w:val="22"/>
          <w:szCs w:val="22"/>
        </w:rPr>
        <w:t xml:space="preserve">Eight roles, five channels, three weekly fixed touchpoints. The cadence is deliberately rhythmic — Monday is for setup, Wednesday is for outreach, Friday is for lessons-learned — to make schedule slip visible the moment it happens.</w:t>
      </w:r>
    </w:p>
    <w:p>
      <w:pPr>
        <w:pStyle w:val="Heading2"/>
        <w:spacing w:after="160" w:before="280"/>
      </w:pPr>
      <w:r>
        <w:rPr>
          <w:rFonts w:ascii="Arial" w:cs="Arial" w:eastAsia="Arial" w:hAnsi="Arial"/>
          <w:b/>
          <w:bCs/>
          <w:color w:val="1A1A1A"/>
          <w:sz w:val="28"/>
          <w:szCs w:val="28"/>
        </w:rPr>
        <w:t xml:space="preserve">10.1 RACI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040"/>
        <w:gridCol w:w="1040"/>
        <w:gridCol w:w="1040"/>
        <w:gridCol w:w="1040"/>
        <w:gridCol w:w="1040"/>
        <w:gridCol w:w="208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Activity</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Sponsor</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Research Lead</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Recruitment Lead</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Channel owners</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Consent admin</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Vendor</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Quota dashboard maintained</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Outreach copy reviewed</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Outreach sends</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 (Centiment)</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Screener applied at intake</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 (Centiment)</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Consent recorded</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R/A</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Anonymization</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R/A</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Withdrawal requests actioned</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R/A</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Channel mix monitoring</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Quota close / channel pause decision</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Boost-outreach budget release</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r>
    </w:tbl>
    <w:p>
      <w:pPr>
        <w:spacing w:after="60"/>
      </w:pPr>
      <w:r>
        <w:rPr>
          <w:rFonts w:ascii="Arial" w:cs="Arial" w:eastAsia="Arial" w:hAnsi="Arial"/>
          <w:i/>
          <w:iCs/>
          <w:color w:val="5C5C5C"/>
          <w:sz w:val="18"/>
          <w:szCs w:val="18"/>
        </w:rPr>
        <w:t xml:space="preserve">R = Responsible, A = Accountable, C = Consulted, I = Informed.</w:t>
      </w:r>
    </w:p>
    <w:p>
      <w:pPr>
        <w:pStyle w:val="Heading2"/>
        <w:spacing w:after="160" w:before="280"/>
      </w:pPr>
      <w:r>
        <w:rPr>
          <w:rFonts w:ascii="Arial" w:cs="Arial" w:eastAsia="Arial" w:hAnsi="Arial"/>
          <w:b/>
          <w:bCs/>
          <w:color w:val="1A1A1A"/>
          <w:sz w:val="28"/>
          <w:szCs w:val="28"/>
        </w:rPr>
        <w:t xml:space="preserve">10.2 Weekly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Activity</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Monday</w:t>
            </w:r>
          </w:p>
        </w:tc>
        <w:tc>
          <w:tcPr>
            <w:tcW w:type="dxa" w:w="780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Quota dashboard review — Recruitment Lead chairs. Channel owners report previous-week completes, current-week target, blockers. Decision: continue / boost / pause per channel.</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Wednesday</w:t>
            </w:r>
          </w:p>
        </w:tc>
        <w:tc>
          <w:tcPr>
            <w:tcW w:type="dxa" w:w="780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Outreach send window — LinkedIn V1/V2/V3 waves, association V1/V2, conference V1, referral V1. Centiment AM call. Consent admin reports the previous week withdrawals and quote-consent activity.</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Friday</w:t>
            </w:r>
          </w:p>
        </w:tc>
        <w:tc>
          <w:tcPr>
            <w:tcW w:type="dxa" w:w="780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Lessons-learned — what worked, what did not, what to change next Monday. Outreach-copy A/B test results reviewed. Risk register updated.</w:t>
            </w:r>
          </w:p>
        </w:tc>
      </w:tr>
    </w:tbl>
    <w:p>
      <w:pPr>
        <w:pStyle w:val="Heading2"/>
        <w:spacing w:after="160" w:before="280"/>
      </w:pPr>
      <w:r>
        <w:rPr>
          <w:rFonts w:ascii="Arial" w:cs="Arial" w:eastAsia="Arial" w:hAnsi="Arial"/>
          <w:b/>
          <w:bCs/>
          <w:color w:val="1A1A1A"/>
          <w:sz w:val="28"/>
          <w:szCs w:val="28"/>
        </w:rPr>
        <w:t xml:space="preserve">10.3 Mid-field reviews</w:t>
      </w:r>
    </w:p>
    <w:p>
      <w:pPr>
        <w:pStyle w:val="ListParagraph"/>
        <w:numPr>
          <w:ilvl w:val="0"/>
          <w:numId w:val="2"/>
        </w:numPr>
        <w:spacing w:after="80" w:line="300"/>
      </w:pPr>
      <w:r>
        <w:rPr>
          <w:rFonts w:ascii="Arial" w:cs="Arial" w:eastAsia="Arial" w:hAnsi="Arial"/>
          <w:color w:val="1A1A1A"/>
          <w:sz w:val="22"/>
          <w:szCs w:val="22"/>
        </w:rPr>
        <w:t xml:space="preserve">W4 (2026-06-12) — pilot review. Reliability alpha confirmed; instrument tweaks decided; any pre-registered hypothesis flagged for drop if required.</w:t>
      </w:r>
    </w:p>
    <w:p>
      <w:pPr>
        <w:pStyle w:val="ListParagraph"/>
        <w:numPr>
          <w:ilvl w:val="0"/>
          <w:numId w:val="2"/>
        </w:numPr>
        <w:spacing w:after="80" w:line="300"/>
      </w:pPr>
      <w:r>
        <w:rPr>
          <w:rFonts w:ascii="Arial" w:cs="Arial" w:eastAsia="Arial" w:hAnsi="Arial"/>
          <w:color w:val="1A1A1A"/>
          <w:sz w:val="22"/>
          <w:szCs w:val="22"/>
        </w:rPr>
        <w:t xml:space="preserve">W7 (2026-07-03) — mid-field channel-mix review. Any channel exceeding 40% of any industry pauses. Boost-outreach budget unlock decision.</w:t>
      </w:r>
    </w:p>
    <w:p>
      <w:pPr>
        <w:pStyle w:val="ListParagraph"/>
        <w:numPr>
          <w:ilvl w:val="0"/>
          <w:numId w:val="2"/>
        </w:numPr>
        <w:spacing w:after="80" w:line="300"/>
      </w:pPr>
      <w:r>
        <w:rPr>
          <w:rFonts w:ascii="Arial" w:cs="Arial" w:eastAsia="Arial" w:hAnsi="Arial"/>
          <w:color w:val="1A1A1A"/>
          <w:sz w:val="22"/>
          <w:szCs w:val="22"/>
        </w:rPr>
        <w:t xml:space="preserve">W10 (2026-08-15) — fieldwork close target. Underfilled industries reviewed; 7-day boost window unlocked where needed.</w:t>
      </w:r>
    </w:p>
    <w:p>
      <w:pPr>
        <w:pStyle w:val="ListParagraph"/>
        <w:numPr>
          <w:ilvl w:val="0"/>
          <w:numId w:val="2"/>
        </w:numPr>
        <w:spacing w:after="80" w:line="300"/>
      </w:pPr>
      <w:r>
        <w:rPr>
          <w:rFonts w:ascii="Arial" w:cs="Arial" w:eastAsia="Arial" w:hAnsi="Arial"/>
          <w:color w:val="1A1A1A"/>
          <w:sz w:val="22"/>
          <w:szCs w:val="22"/>
        </w:rPr>
        <w:t xml:space="preserve">W11 (2026-08-22) — final fieldwork close. Anonymization sprint begins.</w:t>
      </w:r>
    </w:p>
    <w:p>
      <w:pPr>
        <w:pStyle w:val="Heading1"/>
        <w:spacing w:after="200" w:before="360"/>
      </w:pPr>
      <w:r>
        <w:rPr>
          <w:rFonts w:ascii="Arial" w:cs="Arial" w:eastAsia="Arial" w:hAnsi="Arial"/>
          <w:b/>
          <w:bCs/>
          <w:color w:val="1A1A1A"/>
          <w:sz w:val="36"/>
          <w:szCs w:val="36"/>
        </w:rPr>
        <w:t xml:space="preserve">11. Compliance contacts and escalation tree</w:t>
      </w:r>
    </w:p>
    <w:p>
      <w:pPr>
        <w:spacing w:after="120" w:line="320"/>
      </w:pPr>
      <w:r>
        <w:rPr>
          <w:rFonts w:ascii="Arial" w:cs="Arial" w:eastAsia="Arial" w:hAnsi="Arial"/>
          <w:color w:val="1A1A1A"/>
          <w:sz w:val="22"/>
          <w:szCs w:val="22"/>
        </w:rPr>
        <w:t xml:space="preserve">Single point of contact for every plausible compliance question, with escalation paths documented in advance. The aim is that any concern raised in any channel reaches the right person inside one business day.</w:t>
      </w:r>
    </w:p>
    <w:p>
      <w:pPr>
        <w:pStyle w:val="Heading2"/>
        <w:spacing w:after="160" w:before="280"/>
      </w:pPr>
      <w:r>
        <w:rPr>
          <w:rFonts w:ascii="Arial" w:cs="Arial" w:eastAsia="Arial" w:hAnsi="Arial"/>
          <w:b/>
          <w:bCs/>
          <w:color w:val="1A1A1A"/>
          <w:sz w:val="28"/>
          <w:szCs w:val="28"/>
        </w:rPr>
        <w:t xml:space="preserve">11.1 Internal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Name (placeholder)</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Contact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Sponsor</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Peter Zhang</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sponsor@proudtek.com</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Research Lead</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ProudTek Editorial Board (designee)</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research-lead@proudtek.com</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Recruitment Lead</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Designee</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recruitment@proudtek.com</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Consent administrator</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Designee</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research@proudtek.com</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Data Protection contact</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Designee</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dpo@proudtek.com</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Independent ethics adviser</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Designee (external)</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ethics-adviser@proudtek.com</w:t>
            </w:r>
          </w:p>
        </w:tc>
      </w:tr>
    </w:tbl>
    <w:p>
      <w:pPr>
        <w:pStyle w:val="Heading2"/>
        <w:spacing w:after="160" w:before="280"/>
      </w:pPr>
      <w:r>
        <w:rPr>
          <w:rFonts w:ascii="Arial" w:cs="Arial" w:eastAsia="Arial" w:hAnsi="Arial"/>
          <w:b/>
          <w:bCs/>
          <w:color w:val="1A1A1A"/>
          <w:sz w:val="28"/>
          <w:szCs w:val="28"/>
        </w:rPr>
        <w:t xml:space="preserve">11.2 Vendor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Vendor</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Contact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Qualtrics LLC</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Survey platform / data processor</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Standard Qualtrics support + named AM</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Centiment Inc.</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B2B panel</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Named AM at Centiment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Otter.ai</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Interview transcription</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Standard Otter support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Atlas.ti</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Qualitative coding</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Standard support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Business Wire</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Press release distribution</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Named AM at Business Wire</w:t>
            </w:r>
          </w:p>
        </w:tc>
      </w:tr>
    </w:tbl>
    <w:p>
      <w:pPr>
        <w:pStyle w:val="Heading2"/>
        <w:spacing w:after="160" w:before="280"/>
      </w:pPr>
      <w:r>
        <w:rPr>
          <w:rFonts w:ascii="Arial" w:cs="Arial" w:eastAsia="Arial" w:hAnsi="Arial"/>
          <w:b/>
          <w:bCs/>
          <w:color w:val="1A1A1A"/>
          <w:sz w:val="28"/>
          <w:szCs w:val="28"/>
        </w:rPr>
        <w:t xml:space="preserve">11.3 Regulatory complaint routes (reproduced from PIS)</w:t>
      </w:r>
    </w:p>
    <w:p>
      <w:pPr>
        <w:pStyle w:val="ListParagraph"/>
        <w:numPr>
          <w:ilvl w:val="0"/>
          <w:numId w:val="2"/>
        </w:numPr>
        <w:spacing w:after="80" w:line="300"/>
      </w:pPr>
      <w:r>
        <w:rPr>
          <w:rFonts w:ascii="Arial" w:cs="Arial" w:eastAsia="Arial" w:hAnsi="Arial"/>
          <w:color w:val="1A1A1A"/>
          <w:sz w:val="22"/>
          <w:szCs w:val="22"/>
        </w:rPr>
        <w:t xml:space="preserve">UK — Information Commissioner Office (ICO), https://ico.org.uk, 0303 123 1113.</w:t>
      </w:r>
    </w:p>
    <w:p>
      <w:pPr>
        <w:pStyle w:val="ListParagraph"/>
        <w:numPr>
          <w:ilvl w:val="0"/>
          <w:numId w:val="2"/>
        </w:numPr>
        <w:spacing w:after="80" w:line="300"/>
      </w:pPr>
      <w:r>
        <w:rPr>
          <w:rFonts w:ascii="Arial" w:cs="Arial" w:eastAsia="Arial" w:hAnsi="Arial"/>
          <w:color w:val="1A1A1A"/>
          <w:sz w:val="22"/>
          <w:szCs w:val="22"/>
        </w:rPr>
        <w:t xml:space="preserve">EU — national supervisory authority via https://edpb.europa.eu/about-edpb/about-edpb/members_en.</w:t>
      </w:r>
    </w:p>
    <w:p>
      <w:pPr>
        <w:pStyle w:val="ListParagraph"/>
        <w:numPr>
          <w:ilvl w:val="0"/>
          <w:numId w:val="2"/>
        </w:numPr>
        <w:spacing w:after="80" w:line="300"/>
      </w:pPr>
      <w:r>
        <w:rPr>
          <w:rFonts w:ascii="Arial" w:cs="Arial" w:eastAsia="Arial" w:hAnsi="Arial"/>
          <w:color w:val="1A1A1A"/>
          <w:sz w:val="22"/>
          <w:szCs w:val="22"/>
        </w:rPr>
        <w:t xml:space="preserve">California — California Attorney General, https://oag.ca.gov/privacy/ccpa.</w:t>
      </w:r>
    </w:p>
    <w:p>
      <w:pPr>
        <w:pStyle w:val="ListParagraph"/>
        <w:numPr>
          <w:ilvl w:val="0"/>
          <w:numId w:val="2"/>
        </w:numPr>
        <w:spacing w:after="80" w:line="300"/>
      </w:pPr>
      <w:r>
        <w:rPr>
          <w:rFonts w:ascii="Arial" w:cs="Arial" w:eastAsia="Arial" w:hAnsi="Arial"/>
          <w:color w:val="1A1A1A"/>
          <w:sz w:val="22"/>
          <w:szCs w:val="22"/>
        </w:rPr>
        <w:t xml:space="preserve">All — research@proudtek.com (first-line response within 10 business days).</w:t>
      </w:r>
    </w:p>
    <w:p>
      <w:pPr>
        <w:pStyle w:val="Heading2"/>
        <w:spacing w:after="160" w:before="280"/>
      </w:pPr>
      <w:r>
        <w:rPr>
          <w:rFonts w:ascii="Arial" w:cs="Arial" w:eastAsia="Arial" w:hAnsi="Arial"/>
          <w:b/>
          <w:bCs/>
          <w:color w:val="1A1A1A"/>
          <w:sz w:val="28"/>
          <w:szCs w:val="28"/>
        </w:rPr>
        <w:t xml:space="preserve">11.4 Escalation tree</w:t>
      </w:r>
    </w:p>
    <w:p>
      <w:pPr>
        <w:pStyle w:val="ListParagraph"/>
        <w:numPr>
          <w:ilvl w:val="0"/>
          <w:numId w:val="3"/>
        </w:numPr>
        <w:spacing w:after="80" w:line="300"/>
      </w:pPr>
      <w:r>
        <w:rPr>
          <w:rFonts w:ascii="Arial" w:cs="Arial" w:eastAsia="Arial" w:hAnsi="Arial"/>
          <w:color w:val="1A1A1A"/>
          <w:sz w:val="22"/>
          <w:szCs w:val="22"/>
        </w:rPr>
        <w:t xml:space="preserve">Any compliance concern raised in any channel is routed to research@proudtek.com (consent administrator) within one business day.</w:t>
      </w:r>
    </w:p>
    <w:p>
      <w:pPr>
        <w:pStyle w:val="ListParagraph"/>
        <w:numPr>
          <w:ilvl w:val="0"/>
          <w:numId w:val="3"/>
        </w:numPr>
        <w:spacing w:after="80" w:line="300"/>
      </w:pPr>
      <w:r>
        <w:rPr>
          <w:rFonts w:ascii="Arial" w:cs="Arial" w:eastAsia="Arial" w:hAnsi="Arial"/>
          <w:color w:val="1A1A1A"/>
          <w:sz w:val="22"/>
          <w:szCs w:val="22"/>
        </w:rPr>
        <w:t xml:space="preserve">If the concern relates to GDPR, CCPA, or any other privacy regime, the Data Protection contact (dpo@proudtek.com) is copied.</w:t>
      </w:r>
    </w:p>
    <w:p>
      <w:pPr>
        <w:pStyle w:val="ListParagraph"/>
        <w:numPr>
          <w:ilvl w:val="0"/>
          <w:numId w:val="3"/>
        </w:numPr>
        <w:spacing w:after="80" w:line="300"/>
      </w:pPr>
      <w:r>
        <w:rPr>
          <w:rFonts w:ascii="Arial" w:cs="Arial" w:eastAsia="Arial" w:hAnsi="Arial"/>
          <w:color w:val="1A1A1A"/>
          <w:sz w:val="22"/>
          <w:szCs w:val="22"/>
        </w:rPr>
        <w:t xml:space="preserve">If the concern relates to research ethics (consent quality, incentive structure, anonymization), the independent ethics adviser is copied.</w:t>
      </w:r>
    </w:p>
    <w:p>
      <w:pPr>
        <w:pStyle w:val="ListParagraph"/>
        <w:numPr>
          <w:ilvl w:val="0"/>
          <w:numId w:val="3"/>
        </w:numPr>
        <w:spacing w:after="80" w:line="300"/>
      </w:pPr>
      <w:r>
        <w:rPr>
          <w:rFonts w:ascii="Arial" w:cs="Arial" w:eastAsia="Arial" w:hAnsi="Arial"/>
          <w:color w:val="1A1A1A"/>
          <w:sz w:val="22"/>
          <w:szCs w:val="22"/>
        </w:rPr>
        <w:t xml:space="preserve">If the concern is unresolved within five business days, the Research Lead is escalated.</w:t>
      </w:r>
    </w:p>
    <w:p>
      <w:pPr>
        <w:pStyle w:val="ListParagraph"/>
        <w:numPr>
          <w:ilvl w:val="0"/>
          <w:numId w:val="3"/>
        </w:numPr>
        <w:spacing w:after="80" w:line="300"/>
      </w:pPr>
      <w:r>
        <w:rPr>
          <w:rFonts w:ascii="Arial" w:cs="Arial" w:eastAsia="Arial" w:hAnsi="Arial"/>
          <w:color w:val="1A1A1A"/>
          <w:sz w:val="22"/>
          <w:szCs w:val="22"/>
        </w:rPr>
        <w:t xml:space="preserve">If the concern is unresolved within ten business days or involves a regulator, the Sponsor is escalated.</w:t>
      </w:r>
    </w:p>
    <w:p>
      <w:pPr>
        <w:pStyle w:val="ListParagraph"/>
        <w:numPr>
          <w:ilvl w:val="0"/>
          <w:numId w:val="3"/>
        </w:numPr>
        <w:spacing w:after="80" w:line="300"/>
      </w:pPr>
      <w:r>
        <w:rPr>
          <w:rFonts w:ascii="Arial" w:cs="Arial" w:eastAsia="Arial" w:hAnsi="Arial"/>
          <w:color w:val="1A1A1A"/>
          <w:sz w:val="22"/>
          <w:szCs w:val="22"/>
        </w:rPr>
        <w:t xml:space="preserve">All escalations are logged in the risk register and reported at the next weekly Friday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C39A5F" w:sz="18"/>
              <w:bottom w:val="single" w:color="D6D6D6" w:sz="4"/>
              <w:right w:val="single" w:color="D6D6D6" w:sz="4"/>
            </w:tcBorders>
            <w:shd w:fill="F8F2E8" w:val="clear"/>
            <w:tcMar>
              <w:top w:type="dxa" w:w="100"/>
              <w:left w:type="dxa" w:w="140"/>
              <w:bottom w:type="dxa" w:w="100"/>
              <w:right w:type="dxa" w:w="140"/>
            </w:tcMar>
          </w:tcPr>
          <w:p>
            <w:pPr>
              <w:spacing w:after="80"/>
            </w:pPr>
            <w:r>
              <w:rPr>
                <w:rFonts w:ascii="Arial" w:cs="Arial" w:eastAsia="Arial" w:hAnsi="Arial"/>
                <w:b/>
                <w:bCs/>
                <w:color w:val="1A1A1A"/>
                <w:sz w:val="20"/>
                <w:szCs w:val="20"/>
              </w:rPr>
              <w:t xml:space="preserve">A note on dignity</w:t>
            </w:r>
          </w:p>
          <w:p>
            <w:pPr>
              <w:spacing w:after="0" w:line="300"/>
            </w:pPr>
            <w:r>
              <w:rPr>
                <w:rFonts w:ascii="Arial" w:cs="Arial" w:eastAsia="Arial" w:hAnsi="Arial"/>
                <w:color w:val="1A1A1A"/>
                <w:sz w:val="22"/>
                <w:szCs w:val="22"/>
              </w:rPr>
              <w:t xml:space="preserve">Every respondent gave us 14 minutes of their working day. Every association gave us access to a member list it could just as easily have withheld. Every charity will receive a real wire transfer because someone clicked "donate" instead of "Amazon voucher". This pack reads like compliance scaffolding because that is what it is — but the underlying frame is straightforward: behave well so the next study can run at all.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C5C5C"/>
        <w:sz w:val="18"/>
        <w:szCs w:val="18"/>
      </w:rPr>
      <w:t xml:space="preserve">Confidential — operational manual</w:t>
    </w:r>
    <w:r>
      <w:rPr>
        <w:rFonts w:ascii="Arial" w:cs="Arial" w:eastAsia="Arial" w:hAnsi="Arial"/>
        <w:color w:val="5C5C5C"/>
        <w:sz w:val="18"/>
        <w:szCs w:val="18"/>
      </w:rPr>
      <w:t xml:space="preserve">	Page </w:t>
    </w:r>
    <w:r>
      <w:rPr>
        <w:rFonts w:ascii="Arial" w:cs="Arial" w:eastAsia="Arial" w:hAnsi="Arial"/>
        <w:color w:val="5C5C5C"/>
        <w:sz w:val="18"/>
        <w:szCs w:val="18"/>
      </w:rPr>
      <w:fldChar w:fldCharType="begin"/>
      <w:instrText xml:space="preserve">PAGE</w:instrText>
      <w:fldChar w:fldCharType="separate"/>
      <w:fldChar w:fldCharType="end"/>
    </w:r>
    <w:r>
      <w:rPr>
        <w:rFonts w:ascii="Arial" w:cs="Arial" w:eastAsia="Arial" w:hAnsi="Arial"/>
        <w:color w:val="5C5C5C"/>
        <w:sz w:val="18"/>
        <w:szCs w:val="18"/>
      </w:rPr>
      <w:t xml:space="preserve"> of </w:t>
    </w:r>
    <w:r>
      <w:rPr>
        <w:rFonts w:ascii="Arial" w:cs="Arial" w:eastAsia="Arial" w:hAnsi="Arial"/>
        <w:color w:val="5C5C5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color w:val="5C5C5C"/>
        <w:sz w:val="18"/>
        <w:szCs w:val="18"/>
      </w:rPr>
      <w:t xml:space="preserve">Proud Tek Research</w:t>
    </w:r>
    <w:r>
      <w:rPr>
        <w:rFonts w:ascii="Arial" w:cs="Arial" w:eastAsia="Arial" w:hAnsi="Arial"/>
        <w:color w:val="5C5C5C"/>
        <w:sz w:val="18"/>
        <w:szCs w:val="18"/>
      </w:rPr>
      <w:t xml:space="preserve">	2026 RFID Industry Adoption Index — Recruitment &amp; Consent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Proud Tek 2026 RFID Industry Adoption Index — Recruitment &amp; Consent Pack</dc:title>
  <dc:creator>ProudTek Editorial Board</dc:creator>
  <dc:description>Operational manual for finding, contacting, qualifying and onboarding the 200 respondents.</dc:description>
  <cp:lastModifiedBy>Un-named</cp:lastModifiedBy>
  <cp:revision>1</cp:revision>
  <dcterms:created xsi:type="dcterms:W3CDTF">2026-05-11T15:29:46.920Z</dcterms:created>
  <dcterms:modified xsi:type="dcterms:W3CDTF">2026-05-11T15:29:46.920Z</dcterms:modified>
</cp:coreProperties>
</file>

<file path=docProps/custom.xml><?xml version="1.0" encoding="utf-8"?>
<Properties xmlns="http://schemas.openxmlformats.org/officeDocument/2006/custom-properties" xmlns:vt="http://schemas.openxmlformats.org/officeDocument/2006/docPropsVTypes"/>
</file>