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C39A5F"/>
          <w:sz w:val="28"/>
          <w:szCs w:val="28"/>
        </w:rPr>
        <w:t xml:space="preserve">PROUD TEK</w:t>
      </w:r>
    </w:p>
    <w:p>
      <w:pPr>
        <w:spacing w:after="320"/>
        <w:jc w:val="center"/>
      </w:pPr>
      <w:r>
        <w:rPr>
          <w:rFonts w:ascii="Arial" w:cs="Arial" w:eastAsia="Arial" w:hAnsi="Arial"/>
          <w:color w:val="5C5C5C"/>
          <w:sz w:val="22"/>
          <w:szCs w:val="22"/>
        </w:rPr>
        <w:t xml:space="preserve">Research</w:t>
      </w:r>
    </w:p>
    <w:p>
      <w:pPr>
        <w:spacing w:after="200"/>
        <w:jc w:val="center"/>
      </w:pPr>
      <w:r>
        <w:rPr>
          <w:rFonts w:ascii="Arial" w:cs="Arial" w:eastAsia="Arial" w:hAnsi="Arial"/>
          <w:b/>
          <w:bCs/>
          <w:color w:val="1A1A1A"/>
          <w:sz w:val="56"/>
          <w:szCs w:val="56"/>
        </w:rPr>
        <w:t xml:space="preserve">2026 RFID Industry Adoption Index</w:t>
      </w:r>
    </w:p>
    <w:p>
      <w:pPr>
        <w:spacing w:after="480"/>
        <w:jc w:val="center"/>
      </w:pPr>
      <w:r>
        <w:rPr>
          <w:rFonts w:ascii="Arial" w:cs="Arial" w:eastAsia="Arial" w:hAnsi="Arial"/>
          <w:b/>
          <w:bCs/>
          <w:color w:val="1A1A1A"/>
          <w:sz w:val="32"/>
          <w:szCs w:val="32"/>
        </w:rPr>
        <w:t xml:space="preserve">Full Report</w:t>
      </w:r>
    </w:p>
    <w:p>
      <w:pPr>
        <w:spacing w:after="480"/>
        <w:jc w:val="center"/>
      </w:pPr>
      <w:r>
        <w:rPr>
          <w:rFonts w:ascii="Arial" w:cs="Arial" w:eastAsia="Arial" w:hAnsi="Arial"/>
          <w:i/>
          <w:iCs/>
          <w:color w:val="5C5C5C"/>
          <w:sz w:val="24"/>
          <w:szCs w:val="24"/>
        </w:rPr>
        <w:t xml:space="preserve">Adoption maturity, mandate progress, KPI lift and 2027 intent across twenty industries</w:t>
      </w:r>
    </w:p>
    <w:p>
      <w:pPr>
        <w:pBdr>
          <w:bottom w:val="single" w:color="C39A5F" w:sz="6" w:space="1"/>
        </w:pBdr>
        <w:spacing w:after="120" w:before="120"/>
      </w:pPr>
      <w:r>
        <w:t xml:space="preserve"/>
      </w:r>
    </w:p>
    <w:p>
      <w:pPr>
        <w:spacing w:after="80" w:before="240"/>
        <w:jc w:val="center"/>
      </w:pPr>
      <w:r>
        <w:rPr>
          <w:rFonts w:ascii="Arial" w:cs="Arial" w:eastAsia="Arial" w:hAnsi="Arial"/>
          <w:b/>
          <w:bCs/>
          <w:i/>
          <w:iCs/>
          <w:color w:val="C39A5F"/>
          <w:sz w:val="20"/>
          <w:szCs w:val="20"/>
        </w:rPr>
        <w:t xml:space="preserve">Publication date: [DATA: publication_date — placeholder 2026-10-30]</w:t>
      </w:r>
    </w:p>
    <w:p>
      <w:pPr>
        <w:spacing w:after="120"/>
        <w:jc w:val="center"/>
      </w:pPr>
      <w:r>
        <w:rPr>
          <w:rFonts w:ascii="Arial" w:cs="Arial" w:eastAsia="Arial" w:hAnsi="Arial"/>
          <w:color w:val="5C5C5C"/>
          <w:sz w:val="20"/>
          <w:szCs w:val="20"/>
        </w:rPr>
        <w:t xml:space="preserve">Document version 0.1 — skeleton — 2026-05-11</w:t>
      </w:r>
    </w:p>
    <w:p>
      <w:pPr>
        <w:spacing w:after="480"/>
        <w:jc w:val="center"/>
      </w:pPr>
      <w:r>
        <w:rPr>
          <w:rFonts w:ascii="Arial" w:cs="Arial" w:eastAsia="Arial" w:hAnsi="Arial"/>
          <w:color w:val="5C5C5C"/>
          <w:sz w:val="20"/>
          <w:szCs w:val="20"/>
        </w:rPr>
        <w:t xml:space="preserve">Pre-registered at the Center for Open Science (OSF.io) — registration ID to be appended</w:t>
      </w:r>
    </w:p>
    <w:p>
      <w:pPr>
        <w:pBdr>
          <w:bottom w:val="single" w:color="C39A5F" w:sz="6" w:space="1"/>
        </w:pBdr>
        <w:spacing w:after="120" w:before="120"/>
      </w:pPr>
      <w:r>
        <w:t xml:space="preserve"/>
      </w:r>
    </w:p>
    <w:p>
      <w:pPr>
        <w:spacing w:after="120" w:before="320"/>
        <w:jc w:val="center"/>
      </w:pPr>
      <w:r>
        <w:rPr>
          <w:rFonts w:ascii="Arial" w:cs="Arial" w:eastAsia="Arial" w:hAnsi="Arial"/>
          <w:color w:val="1A1A1A"/>
          <w:sz w:val="22"/>
          <w:szCs w:val="22"/>
        </w:rPr>
        <w:t xml:space="preserve">Prepared by  ProudTek Editorial Board, Proud Tek Research</w:t>
      </w:r>
    </w:p>
    <w:p>
      <w:pPr>
        <w:spacing w:after="80"/>
        <w:jc w:val="center"/>
      </w:pPr>
      <w:r>
        <w:rPr>
          <w:rFonts w:ascii="Arial" w:cs="Arial" w:eastAsia="Arial" w:hAnsi="Arial"/>
          <w:color w:val="1A1A1A"/>
          <w:sz w:val="22"/>
          <w:szCs w:val="22"/>
        </w:rPr>
        <w:t xml:space="preserve">Sponsor  Peter Zhang, Principal</w:t>
      </w:r>
    </w:p>
    <w:p>
      <w:pPr>
        <w:spacing w:after="80"/>
        <w:jc w:val="center"/>
      </w:pPr>
      <w:r>
        <w:rPr>
          <w:rFonts w:ascii="Arial" w:cs="Arial" w:eastAsia="Arial" w:hAnsi="Arial"/>
          <w:color w:val="5C5C5C"/>
          <w:sz w:val="20"/>
          <w:szCs w:val="20"/>
        </w:rPr>
        <w:t xml:space="preserve">Suggested citation  Proud Tek Research (2026). 2026 RFID Industry Adoption Index. Proud Tek. CC-BY-4.0.</w:t>
      </w:r>
    </w:p>
    <w:p>
      <w:r>
        <w:br w:type="page"/>
      </w:r>
    </w:p>
    <w:p>
      <w:pPr>
        <w:pStyle w:val="Heading1"/>
        <w:spacing w:after="200" w:before="360"/>
      </w:pPr>
      <w:r>
        <w:rPr>
          <w:rFonts w:ascii="Arial" w:cs="Arial" w:eastAsia="Arial" w:hAnsi="Arial"/>
          <w:b/>
          <w:bCs/>
          <w:color w:val="1A1A1A"/>
          <w:sz w:val="36"/>
          <w:szCs w:val="36"/>
        </w:rPr>
        <w:t xml:space="preserve">Contents</w:t>
      </w:r>
    </w:p>
    <w:p>
      <w:pPr>
        <w:spacing w:after="120" w:line="320"/>
        <w:rPr>
          <w:sz w:val="22"/>
          <w:szCs w:val="22"/>
        </w:rPr>
      </w:pPr>
      <w:r>
        <w:rPr>
          <w:rFonts w:ascii="Arial" w:cs="Arial" w:eastAsia="Arial" w:hAnsi="Arial"/>
          <w:color w:val="1A1A1A"/>
          <w:sz w:val="22"/>
          <w:szCs w:val="22"/>
        </w:rPr>
        <w:t xml:space="preserve">Executive summary</w:t>
      </w:r>
    </w:p>
    <w:p>
      <w:pPr>
        <w:spacing w:after="120" w:line="320"/>
        <w:rPr>
          <w:sz w:val="22"/>
          <w:szCs w:val="22"/>
        </w:rPr>
      </w:pPr>
      <w:r>
        <w:rPr>
          <w:rFonts w:ascii="Arial" w:cs="Arial" w:eastAsia="Arial" w:hAnsi="Arial"/>
          <w:color w:val="1A1A1A"/>
          <w:sz w:val="22"/>
          <w:szCs w:val="22"/>
        </w:rPr>
        <w:t xml:space="preserve">About this study</w:t>
      </w:r>
    </w:p>
    <w:p>
      <w:pPr>
        <w:spacing w:after="120" w:line="320"/>
        <w:rPr>
          <w:sz w:val="22"/>
          <w:szCs w:val="22"/>
        </w:rPr>
      </w:pPr>
      <w:r>
        <w:rPr>
          <w:rFonts w:ascii="Arial" w:cs="Arial" w:eastAsia="Arial" w:hAnsi="Arial"/>
          <w:color w:val="1A1A1A"/>
          <w:sz w:val="22"/>
          <w:szCs w:val="22"/>
        </w:rPr>
        <w:t xml:space="preserve">Chapter 1 — Adoption maturity across 20 industries</w:t>
      </w:r>
    </w:p>
    <w:p>
      <w:pPr>
        <w:spacing w:after="120" w:line="320"/>
        <w:rPr>
          <w:sz w:val="22"/>
          <w:szCs w:val="22"/>
        </w:rPr>
      </w:pPr>
      <w:r>
        <w:rPr>
          <w:rFonts w:ascii="Arial" w:cs="Arial" w:eastAsia="Arial" w:hAnsi="Arial"/>
          <w:color w:val="1A1A1A"/>
          <w:sz w:val="22"/>
          <w:szCs w:val="22"/>
        </w:rPr>
        <w:t xml:space="preserve">Chapter 2 — Mandate compliance progress</w:t>
      </w:r>
    </w:p>
    <w:p>
      <w:pPr>
        <w:spacing w:after="120" w:line="320"/>
        <w:rPr>
          <w:sz w:val="22"/>
          <w:szCs w:val="22"/>
        </w:rPr>
      </w:pPr>
      <w:r>
        <w:rPr>
          <w:rFonts w:ascii="Arial" w:cs="Arial" w:eastAsia="Arial" w:hAnsi="Arial"/>
          <w:color w:val="1A1A1A"/>
          <w:sz w:val="22"/>
          <w:szCs w:val="22"/>
        </w:rPr>
        <w:t xml:space="preserve">Chapter 3 — KPI lift: expected vs realized</w:t>
      </w:r>
    </w:p>
    <w:p>
      <w:pPr>
        <w:spacing w:after="120" w:line="320"/>
        <w:rPr>
          <w:sz w:val="22"/>
          <w:szCs w:val="22"/>
        </w:rPr>
      </w:pPr>
      <w:r>
        <w:rPr>
          <w:rFonts w:ascii="Arial" w:cs="Arial" w:eastAsia="Arial" w:hAnsi="Arial"/>
          <w:color w:val="1A1A1A"/>
          <w:sz w:val="22"/>
          <w:szCs w:val="22"/>
        </w:rPr>
        <w:t xml:space="preserve">Chapter 4 — Vendor selection criteria</w:t>
      </w:r>
    </w:p>
    <w:p>
      <w:pPr>
        <w:spacing w:after="120" w:line="320"/>
        <w:rPr>
          <w:sz w:val="22"/>
          <w:szCs w:val="22"/>
        </w:rPr>
      </w:pPr>
      <w:r>
        <w:rPr>
          <w:rFonts w:ascii="Arial" w:cs="Arial" w:eastAsia="Arial" w:hAnsi="Arial"/>
          <w:color w:val="1A1A1A"/>
          <w:sz w:val="22"/>
          <w:szCs w:val="22"/>
        </w:rPr>
        <w:t xml:space="preserve">Chapter 5 — 2027 deployment intent</w:t>
      </w:r>
    </w:p>
    <w:p>
      <w:pPr>
        <w:spacing w:after="120" w:line="320"/>
        <w:rPr>
          <w:sz w:val="22"/>
          <w:szCs w:val="22"/>
        </w:rPr>
      </w:pPr>
      <w:r>
        <w:rPr>
          <w:rFonts w:ascii="Arial" w:cs="Arial" w:eastAsia="Arial" w:hAnsi="Arial"/>
          <w:color w:val="1A1A1A"/>
          <w:sz w:val="22"/>
          <w:szCs w:val="22"/>
        </w:rPr>
        <w:t xml:space="preserve">Chapter 6 — Themes from expert interviews</w:t>
      </w:r>
    </w:p>
    <w:p>
      <w:pPr>
        <w:spacing w:after="120" w:line="320"/>
        <w:rPr>
          <w:sz w:val="22"/>
          <w:szCs w:val="22"/>
        </w:rPr>
      </w:pPr>
      <w:r>
        <w:rPr>
          <w:rFonts w:ascii="Arial" w:cs="Arial" w:eastAsia="Arial" w:hAnsi="Arial"/>
          <w:color w:val="1A1A1A"/>
          <w:sz w:val="22"/>
          <w:szCs w:val="22"/>
        </w:rPr>
        <w:t xml:space="preserve">Industry Fact Sheets (20)</w:t>
      </w:r>
    </w:p>
    <w:p>
      <w:pPr>
        <w:spacing w:after="120" w:line="320"/>
        <w:rPr>
          <w:sz w:val="22"/>
          <w:szCs w:val="22"/>
        </w:rPr>
      </w:pPr>
      <w:r>
        <w:rPr>
          <w:rFonts w:ascii="Arial" w:cs="Arial" w:eastAsia="Arial" w:hAnsi="Arial"/>
          <w:color w:val="1A1A1A"/>
          <w:sz w:val="22"/>
          <w:szCs w:val="22"/>
        </w:rPr>
        <w:t xml:space="preserve">Methodology Appendix</w:t>
      </w:r>
    </w:p>
    <w:p>
      <w:pPr>
        <w:spacing w:after="120" w:line="320"/>
        <w:rPr>
          <w:sz w:val="22"/>
          <w:szCs w:val="22"/>
        </w:rPr>
      </w:pPr>
      <w:r>
        <w:rPr>
          <w:rFonts w:ascii="Arial" w:cs="Arial" w:eastAsia="Arial" w:hAnsi="Arial"/>
          <w:color w:val="1A1A1A"/>
          <w:sz w:val="22"/>
          <w:szCs w:val="22"/>
        </w:rPr>
        <w:t xml:space="preserve">Recommendations</w:t>
      </w:r>
    </w:p>
    <w:p>
      <w:pPr>
        <w:spacing w:after="120" w:line="320"/>
        <w:rPr>
          <w:sz w:val="22"/>
          <w:szCs w:val="22"/>
        </w:rPr>
      </w:pPr>
      <w:r>
        <w:rPr>
          <w:rFonts w:ascii="Arial" w:cs="Arial" w:eastAsia="Arial" w:hAnsi="Arial"/>
          <w:color w:val="1A1A1A"/>
          <w:sz w:val="22"/>
          <w:szCs w:val="22"/>
        </w:rPr>
        <w:t xml:space="preserve">Citation and reuse</w:t>
      </w:r>
    </w:p>
    <w:p>
      <w:pPr>
        <w:spacing w:after="120" w:line="320"/>
        <w:rPr>
          <w:sz w:val="22"/>
          <w:szCs w:val="22"/>
        </w:rPr>
      </w:pPr>
      <w:r>
        <w:rPr>
          <w:rFonts w:ascii="Arial" w:cs="Arial" w:eastAsia="Arial" w:hAnsi="Arial"/>
          <w:color w:val="1A1A1A"/>
          <w:sz w:val="22"/>
          <w:szCs w:val="22"/>
        </w:rPr>
        <w:t xml:space="preserve">About Proud Tek</w:t>
      </w:r>
    </w:p>
    <w:p>
      <w:pPr>
        <w:spacing w:after="120" w:line="320"/>
        <w:rPr>
          <w:sz w:val="22"/>
          <w:szCs w:val="22"/>
        </w:rPr>
      </w:pPr>
      <w:r>
        <w:rPr>
          <w:rFonts w:ascii="Arial" w:cs="Arial" w:eastAsia="Arial" w:hAnsi="Arial"/>
          <w:color w:val="1A1A1A"/>
          <w:sz w:val="22"/>
          <w:szCs w:val="22"/>
        </w:rPr>
        <w:t xml:space="preserve">Acknowledgements</w:t>
      </w:r>
    </w:p>
    <w:p>
      <w:pPr>
        <w:spacing w:after="60"/>
      </w:pPr>
      <w:r>
        <w:rPr>
          <w:rFonts w:ascii="Arial" w:cs="Arial" w:eastAsia="Arial" w:hAnsi="Arial"/>
          <w:i/>
          <w:iCs/>
          <w:color w:val="5C5C5C"/>
          <w:sz w:val="18"/>
          <w:szCs w:val="18"/>
        </w:rPr>
        <w:t xml:space="preserve">Page numbers populated at typesetting. Skeleton structure pre-registered; substantive content fills in at data freeze (2026-09-05).</w:t>
      </w:r>
    </w:p>
    <w:p>
      <w:r>
        <w:br w:type="page"/>
      </w:r>
    </w:p>
    <w:p>
      <w:pPr>
        <w:pStyle w:val="Heading1"/>
        <w:spacing w:after="200" w:before="360"/>
      </w:pPr>
      <w:r>
        <w:rPr>
          <w:rFonts w:ascii="Arial" w:cs="Arial" w:eastAsia="Arial" w:hAnsi="Arial"/>
          <w:b/>
          <w:bCs/>
          <w:color w:val="1A1A1A"/>
          <w:sz w:val="36"/>
          <w:szCs w:val="36"/>
        </w:rPr>
        <w:t xml:space="preserve">Executive summary</w:t>
      </w:r>
    </w:p>
    <w:p>
      <w:pPr>
        <w:spacing w:after="120" w:line="320"/>
      </w:pPr>
      <w:r>
        <w:rPr>
          <w:rFonts w:ascii="Arial" w:cs="Arial" w:eastAsia="Arial" w:hAnsi="Arial"/>
          <w:color w:val="1A1A1A"/>
          <w:sz w:val="22"/>
          <w:szCs w:val="22"/>
        </w:rPr>
        <w:t xml:space="preserve">The 2026 RFID Industry Adoption Index is the first annual edition of a vendor-neutral, pre-registered, primary-data study of how 200 buyers and operators across 20 industries are deploying RFID and NFC technology. Fieldwork closed on [DATA: field_close_date], with N=[DATA: final_N] completed responses meeting all quality controls (attention checks passed, completion-time band, deduplicated, anonymized). Findings are weighted to the 2026 IDC Worldwide RFID Forecast industry revenue distribution; weights are published per-respondent in the open dataset.</w:t>
      </w:r>
    </w:p>
    <w:p>
      <w:pPr>
        <w:spacing w:after="120" w:line="320"/>
      </w:pPr>
      <w:r>
        <w:rPr>
          <w:rFonts w:ascii="Arial" w:cs="Arial" w:eastAsia="Arial" w:hAnsi="Arial"/>
          <w:color w:val="1A1A1A"/>
          <w:sz w:val="22"/>
          <w:szCs w:val="22"/>
        </w:rPr>
        <w:t xml:space="preserve">Five top-line findings follow. Each was a pre-registered hypothesis; the report does not foreground exploratory findings in the executive summary. Confidence intervals are 95% bootstrap (n=10,000); per-hypothesis significance threshold is alpha=0.01 after Bonferroni correction across the five primary hypotheses.</w:t>
      </w:r>
    </w:p>
    <w:p>
      <w:pPr>
        <w:pStyle w:val="Heading3"/>
        <w:spacing w:after="120" w:before="200"/>
      </w:pPr>
      <w:r>
        <w:rPr>
          <w:rFonts w:ascii="Arial" w:cs="Arial" w:eastAsia="Arial" w:hAnsi="Arial"/>
          <w:b/>
          <w:bCs/>
          <w:color w:val="1A1A1A"/>
          <w:sz w:val="24"/>
          <w:szCs w:val="24"/>
        </w:rPr>
        <w:t xml:space="preserve">Finding 1 — Retail-apparel adoption</w:t>
      </w:r>
    </w:p>
    <w:p>
      <w:pPr>
        <w:spacing w:after="120" w:line="300"/>
      </w:pPr>
      <w:r>
        <w:rPr>
          <w:rFonts w:ascii="Arial" w:cs="Arial" w:eastAsia="Arial" w:hAnsi="Arial"/>
          <w:b/>
          <w:bCs/>
          <w:i/>
          <w:iCs/>
          <w:color w:val="C39A5F"/>
          <w:sz w:val="22"/>
          <w:szCs w:val="22"/>
        </w:rPr>
        <w:t xml:space="preserve">[DATA: H1 — % of retail-apparel respondents in "full production" — N, point estimate, 95% CI, p-value vs H1 = 65%]</w:t>
      </w:r>
    </w:p>
    <w:p>
      <w:pPr>
        <w:spacing w:after="120" w:line="320"/>
      </w:pPr>
      <w:r>
        <w:rPr>
          <w:rFonts w:ascii="Arial" w:cs="Arial" w:eastAsia="Arial" w:hAnsi="Arial"/>
          <w:color w:val="1A1A1A"/>
          <w:sz w:val="22"/>
          <w:szCs w:val="22"/>
        </w:rPr>
        <w:t xml:space="preserve">Interpretation: this finding answers whether Walmart Tier 2/3 mandate expansion and brand-side source-tagging adoption have moved retail-apparel into the full-production majority. The directional answer drives both the chapter framing and the industry fact sheet for retail-apparel.</w:t>
      </w:r>
    </w:p>
    <w:p>
      <w:pPr>
        <w:pStyle w:val="Heading3"/>
        <w:spacing w:after="120" w:before="200"/>
      </w:pPr>
      <w:r>
        <w:rPr>
          <w:rFonts w:ascii="Arial" w:cs="Arial" w:eastAsia="Arial" w:hAnsi="Arial"/>
          <w:b/>
          <w:bCs/>
          <w:color w:val="1A1A1A"/>
          <w:sz w:val="24"/>
          <w:szCs w:val="24"/>
        </w:rPr>
        <w:t xml:space="preserve">Finding 2 — Pharmaceutical vs retail-apparel</w:t>
      </w:r>
    </w:p>
    <w:p>
      <w:pPr>
        <w:spacing w:after="120" w:line="300"/>
      </w:pPr>
      <w:r>
        <w:rPr>
          <w:rFonts w:ascii="Arial" w:cs="Arial" w:eastAsia="Arial" w:hAnsi="Arial"/>
          <w:b/>
          <w:bCs/>
          <w:i/>
          <w:iCs/>
          <w:color w:val="C39A5F"/>
          <w:sz w:val="22"/>
          <w:szCs w:val="22"/>
        </w:rPr>
        <w:t xml:space="preserve">[DATA: H2 — pharmaceutical full-production % vs retail-apparel full-production %; delta with 95% CI; p-value vs H2 = pharma &lt; retail]</w:t>
      </w:r>
    </w:p>
    <w:p>
      <w:pPr>
        <w:spacing w:after="120" w:line="320"/>
      </w:pPr>
      <w:r>
        <w:rPr>
          <w:rFonts w:ascii="Arial" w:cs="Arial" w:eastAsia="Arial" w:hAnsi="Arial"/>
          <w:color w:val="1A1A1A"/>
          <w:sz w:val="22"/>
          <w:szCs w:val="22"/>
        </w:rPr>
        <w:t xml:space="preserve">Interpretation: pharma DSCSA enforcement has been live for over a year, but the dispense-node carrier of choice is still the 2D barcode, not RFID. The finding here either confirms that structural reality or marks a 2026 inflection.</w:t>
      </w:r>
    </w:p>
    <w:p>
      <w:pPr>
        <w:pStyle w:val="Heading3"/>
        <w:spacing w:after="120" w:before="200"/>
      </w:pPr>
      <w:r>
        <w:rPr>
          <w:rFonts w:ascii="Arial" w:cs="Arial" w:eastAsia="Arial" w:hAnsi="Arial"/>
          <w:b/>
          <w:bCs/>
          <w:color w:val="1A1A1A"/>
          <w:sz w:val="24"/>
          <w:szCs w:val="24"/>
        </w:rPr>
        <w:t xml:space="preserve">Finding 3 — Hospitality NFC credentials</w:t>
      </w:r>
    </w:p>
    <w:p>
      <w:pPr>
        <w:spacing w:after="120" w:line="300"/>
      </w:pPr>
      <w:r>
        <w:rPr>
          <w:rFonts w:ascii="Arial" w:cs="Arial" w:eastAsia="Arial" w:hAnsi="Arial"/>
          <w:b/>
          <w:bCs/>
          <w:i/>
          <w:iCs/>
          <w:color w:val="C39A5F"/>
          <w:sz w:val="22"/>
          <w:szCs w:val="22"/>
        </w:rPr>
        <w:t xml:space="preserve">[DATA: H3 — NFC credential % in 4-star+ vs 2-star/limited-service properties; both with 95% CI; p-value vs H3]</w:t>
      </w:r>
    </w:p>
    <w:p>
      <w:pPr>
        <w:spacing w:after="120" w:line="320"/>
      </w:pPr>
      <w:r>
        <w:rPr>
          <w:rFonts w:ascii="Arial" w:cs="Arial" w:eastAsia="Arial" w:hAnsi="Arial"/>
          <w:color w:val="1A1A1A"/>
          <w:sz w:val="22"/>
          <w:szCs w:val="22"/>
        </w:rPr>
        <w:t xml:space="preserve">Interpretation: the headline question is whether mobile-key and DESFire EV3 cutover are mainstream above 4-star and minority below. The 50-percentage-point gap predicted by H3 is the single most testable hospitality hypothesis.</w:t>
      </w:r>
    </w:p>
    <w:p>
      <w:pPr>
        <w:pStyle w:val="Heading3"/>
        <w:spacing w:after="120" w:before="200"/>
      </w:pPr>
      <w:r>
        <w:rPr>
          <w:rFonts w:ascii="Arial" w:cs="Arial" w:eastAsia="Arial" w:hAnsi="Arial"/>
          <w:b/>
          <w:bCs/>
          <w:color w:val="1A1A1A"/>
          <w:sz w:val="24"/>
          <w:szCs w:val="24"/>
        </w:rPr>
        <w:t xml:space="preserve">Finding 4 — EU Digital Product Passport readiness</w:t>
      </w:r>
    </w:p>
    <w:p>
      <w:pPr>
        <w:spacing w:after="120" w:line="300"/>
      </w:pPr>
      <w:r>
        <w:rPr>
          <w:rFonts w:ascii="Arial" w:cs="Arial" w:eastAsia="Arial" w:hAnsi="Arial"/>
          <w:b/>
          <w:bCs/>
          <w:i/>
          <w:iCs/>
          <w:color w:val="C39A5F"/>
          <w:sz w:val="22"/>
          <w:szCs w:val="22"/>
        </w:rPr>
        <w:t xml:space="preserve">[DATA: H4 — median textile/battery supplier readiness gap in months vs 2027 mandate; 95% CI]</w:t>
      </w:r>
    </w:p>
    <w:p>
      <w:pPr>
        <w:spacing w:after="120" w:line="320"/>
      </w:pPr>
      <w:r>
        <w:rPr>
          <w:rFonts w:ascii="Arial" w:cs="Arial" w:eastAsia="Arial" w:hAnsi="Arial"/>
          <w:color w:val="1A1A1A"/>
          <w:sz w:val="22"/>
          <w:szCs w:val="22"/>
        </w:rPr>
        <w:t xml:space="preserve">Interpretation: the report measures readiness against the announced EU DPP timeline as a function of months-behind. H4 predicts &gt;=18-month lag at the median; a smaller lag is the rare "things are better than the consensus says" headline; a larger lag is a regulatory story.</w:t>
      </w:r>
    </w:p>
    <w:p>
      <w:pPr>
        <w:pStyle w:val="Heading3"/>
        <w:spacing w:after="120" w:before="200"/>
      </w:pPr>
      <w:r>
        <w:rPr>
          <w:rFonts w:ascii="Arial" w:cs="Arial" w:eastAsia="Arial" w:hAnsi="Arial"/>
          <w:b/>
          <w:bCs/>
          <w:color w:val="1A1A1A"/>
          <w:sz w:val="24"/>
          <w:szCs w:val="24"/>
        </w:rPr>
        <w:t xml:space="preserve">Finding 5 — Inventory accuracy lift in retail</w:t>
      </w:r>
    </w:p>
    <w:p>
      <w:pPr>
        <w:spacing w:after="120" w:line="300"/>
      </w:pPr>
      <w:r>
        <w:rPr>
          <w:rFonts w:ascii="Arial" w:cs="Arial" w:eastAsia="Arial" w:hAnsi="Arial"/>
          <w:b/>
          <w:bCs/>
          <w:i/>
          <w:iCs/>
          <w:color w:val="C39A5F"/>
          <w:sz w:val="22"/>
          <w:szCs w:val="22"/>
        </w:rPr>
        <w:t xml:space="preserve">[DATA: H5 — inventory accuracy lift in retail full-production respondents; median realized lift in percentage points; 95% CI; vs H5 = 22-28 ppt]</w:t>
      </w:r>
    </w:p>
    <w:p>
      <w:pPr>
        <w:spacing w:after="120" w:line="320"/>
      </w:pPr>
      <w:r>
        <w:rPr>
          <w:rFonts w:ascii="Arial" w:cs="Arial" w:eastAsia="Arial" w:hAnsi="Arial"/>
          <w:color w:val="1A1A1A"/>
          <w:sz w:val="22"/>
          <w:szCs w:val="22"/>
        </w:rPr>
        <w:t xml:space="preserve">Interpretation: this is the single most cited number from any retail-RFID study and the one most often inflated by vendor case studies. Pre-registering the expected band turns the question into a verification, not a marketing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Significance and replicability</w:t>
            </w:r>
          </w:p>
          <w:p>
            <w:pPr>
              <w:spacing w:after="0" w:line="300"/>
            </w:pPr>
            <w:r>
              <w:rPr>
                <w:rFonts w:ascii="Arial" w:cs="Arial" w:eastAsia="Arial" w:hAnsi="Arial"/>
                <w:color w:val="1A1A1A"/>
                <w:sz w:val="22"/>
                <w:szCs w:val="22"/>
              </w:rPr>
              <w:t xml:space="preserve">All five findings are derived from pre-registered analyses on the pre-registered analytic dataset. The analysis code (Python pandas/statsmodels/scipy + R tidyverse/plackettluce) is published alongside the dataset under CC-BY-4.0; any analyst can reproduce the numbers above by running the published notebooks against the published dataset.</w:t>
            </w:r>
          </w:p>
        </w:tc>
      </w:tr>
    </w:tbl>
    <w:p>
      <w:r>
        <w:br w:type="page"/>
      </w:r>
    </w:p>
    <w:p>
      <w:pPr>
        <w:pStyle w:val="Heading1"/>
        <w:spacing w:after="200" w:before="360"/>
      </w:pPr>
      <w:r>
        <w:rPr>
          <w:rFonts w:ascii="Arial" w:cs="Arial" w:eastAsia="Arial" w:hAnsi="Arial"/>
          <w:b/>
          <w:bCs/>
          <w:color w:val="1A1A1A"/>
          <w:sz w:val="36"/>
          <w:szCs w:val="36"/>
        </w:rPr>
        <w:t xml:space="preserve">About this study</w:t>
      </w:r>
    </w:p>
    <w:p>
      <w:pPr>
        <w:spacing w:after="120" w:line="320"/>
      </w:pPr>
      <w:r>
        <w:rPr>
          <w:rFonts w:ascii="Arial" w:cs="Arial" w:eastAsia="Arial" w:hAnsi="Arial"/>
          <w:color w:val="1A1A1A"/>
          <w:sz w:val="22"/>
          <w:szCs w:val="22"/>
        </w:rPr>
        <w:t xml:space="preserve">Proud Tek Research is the in-house research program of Proud Tek, an editorial publisher covering twenty industries that use RFID and NFC technology. The program operates under a published methodology and a binding Charter (01-project-charter.docx, version 1.0, dated 2026-05-11). The 2026 RFID Industry Adoption Index is the program flagship and the first instalment of a planned annual longitudinal series.</w:t>
      </w:r>
    </w:p>
    <w:p>
      <w:pPr>
        <w:spacing w:after="120" w:line="320"/>
      </w:pPr>
      <w:r>
        <w:rPr>
          <w:rFonts w:ascii="Arial" w:cs="Arial" w:eastAsia="Arial" w:hAnsi="Arial"/>
          <w:color w:val="1A1A1A"/>
          <w:sz w:val="22"/>
          <w:szCs w:val="22"/>
        </w:rPr>
        <w:t xml:space="preserve">The study uses a mixed-methods design. The quantitative core is a 200-respondent online survey, stratified by industry (N=10 per industry x 20 industries) and weighted to the 2026 IDC Worldwide RFID Forecast revenue distribution. The qualitative complement is twenty 60-75-minute expert interviews, one per industry, coded thematically by two independent coders with an inter-rater reliability (Cohen kappa) of [DATA: cohen_kappa]. Together, the two strands answer not only how widespread each adoption pattern is but also why it looks the way it does.</w:t>
      </w:r>
    </w:p>
    <w:p>
      <w:pPr>
        <w:spacing w:after="120" w:line="320"/>
      </w:pPr>
      <w:r>
        <w:rPr>
          <w:rFonts w:ascii="Arial" w:cs="Arial" w:eastAsia="Arial" w:hAnsi="Arial"/>
          <w:color w:val="1A1A1A"/>
          <w:sz w:val="22"/>
          <w:szCs w:val="22"/>
        </w:rPr>
        <w:t xml:space="preserve">The study is pre-registered. The five primary research questions and the five hypotheses tied to them were timestamped at the Center for Open Science on 2026-05-11, before any fieldwork. The pre-registration prevents HARKing (hypothesizing after the results are known) and is the single most consequential difference between this Index and most vendor-funded surveys in the same space. Where exploratory analyses appear in the report, they are clearly labelled "exploratory" and the report does not foreground them in the executive summary or press materials.</w:t>
      </w:r>
    </w:p>
    <w:p>
      <w:pPr>
        <w:spacing w:after="120" w:line="320"/>
      </w:pPr>
      <w:r>
        <w:rPr>
          <w:rFonts w:ascii="Arial" w:cs="Arial" w:eastAsia="Arial" w:hAnsi="Arial"/>
          <w:color w:val="1A1A1A"/>
          <w:sz w:val="22"/>
          <w:szCs w:val="22"/>
        </w:rPr>
        <w:t xml:space="preserve">The study is vendor-neutral. It is funded entirely from Proud Tek internal R&amp;D (USD 28,500). No external co-funding from RFID hardware vendors, integrators, or end-user clients is accepted; no respondent works at an RFID hardware vendor; no instrument item mentions any vendor by name. The full conflict-of-interest register is in the Methodology Appendix. The anonymized respondent-level dataset is published under CC-BY-4.0 on 2027-01-28, allowing any analyst — including, frankly, our critics — to re-run our work and challenge our conclusions.</w:t>
      </w:r>
    </w:p>
    <w:p>
      <w:r>
        <w:br w:type="page"/>
      </w:r>
    </w:p>
    <w:p>
      <w:pPr>
        <w:pStyle w:val="Heading1"/>
        <w:spacing w:after="200" w:before="360"/>
      </w:pPr>
      <w:r>
        <w:rPr>
          <w:rFonts w:ascii="Arial" w:cs="Arial" w:eastAsia="Arial" w:hAnsi="Arial"/>
          <w:b/>
          <w:bCs/>
          <w:color w:val="1A1A1A"/>
          <w:sz w:val="36"/>
          <w:szCs w:val="36"/>
        </w:rPr>
        <w:t xml:space="preserve">Chapter 1 — Adoption maturity across 20 industries</w:t>
      </w:r>
    </w:p>
    <w:p>
      <w:pPr>
        <w:spacing w:after="120" w:line="320"/>
      </w:pPr>
      <w:r>
        <w:rPr>
          <w:rFonts w:ascii="Arial" w:cs="Arial" w:eastAsia="Arial" w:hAnsi="Arial"/>
          <w:color w:val="1A1A1A"/>
          <w:sz w:val="22"/>
          <w:szCs w:val="22"/>
        </w:rPr>
        <w:t xml:space="preserve">Adoption maturity is the most-cited number from any RFID-by-industry survey. Most public reports quote a single number; this Index quotes twenty, one per industry, all stratified to the same sample size and weighted to the same revenue frame. The chapter is organized into six clusters because reading twenty individual industry stories in sequence is hard going, and because the clusters reflect the genuine structural similarities (regulated/voluntary; inventory/credential; greenfield/renewal) in how each industry adopts RFID.</w:t>
      </w:r>
    </w:p>
    <w:p>
      <w:pPr>
        <w:spacing w:after="120" w:line="300"/>
      </w:pPr>
      <w:r>
        <w:rPr>
          <w:rFonts w:ascii="Arial" w:cs="Arial" w:eastAsia="Arial" w:hAnsi="Arial"/>
          <w:b/>
          <w:bCs/>
          <w:i/>
          <w:iCs/>
          <w:color w:val="C39A5F"/>
          <w:sz w:val="22"/>
          <w:szCs w:val="22"/>
        </w:rPr>
        <w:t xml:space="preserve">[CHART: adoption_stage_master — 20-industry small-multiple showing stacked bar of adoption stage in each industry; weighted N annotated; 95% CI on full-production share annotated for each industry]</w:t>
      </w:r>
    </w:p>
    <w:p>
      <w:pPr>
        <w:spacing w:after="120" w:line="320"/>
      </w:pPr>
      <w:r>
        <w:rPr>
          <w:rFonts w:ascii="Arial" w:cs="Arial" w:eastAsia="Arial" w:hAnsi="Arial"/>
          <w:color w:val="1A1A1A"/>
          <w:sz w:val="22"/>
          <w:szCs w:val="22"/>
        </w:rPr>
        <w:t xml:space="preserve">A reader who wants only the overview should read this opening chart and the cluster headlines below. A reader who wants the per-industry data should read the relevant cluster sub-section here plus the corresponding industry fact sheet at the back of the report.</w:t>
      </w:r>
    </w:p>
    <w:p>
      <w:pPr>
        <w:pStyle w:val="Heading2"/>
        <w:spacing w:after="160" w:before="280"/>
      </w:pPr>
      <w:r>
        <w:rPr>
          <w:rFonts w:ascii="Arial" w:cs="Arial" w:eastAsia="Arial" w:hAnsi="Arial"/>
          <w:b/>
          <w:bCs/>
          <w:color w:val="1A1A1A"/>
          <w:sz w:val="28"/>
          <w:szCs w:val="28"/>
        </w:rPr>
        <w:t xml:space="preserve">1.1 Retail &amp; Brand Protection</w:t>
      </w:r>
    </w:p>
    <w:p>
      <w:pPr>
        <w:spacing w:after="120" w:line="320"/>
      </w:pPr>
      <w:r>
        <w:rPr>
          <w:rFonts w:ascii="Arial" w:cs="Arial" w:eastAsia="Arial" w:hAnsi="Arial"/>
          <w:color w:val="1A1A1A"/>
          <w:sz w:val="22"/>
          <w:szCs w:val="22"/>
        </w:rPr>
        <w:t xml:space="preserve">The cluster combines retail-apparel, luxury brands and brand-protection respondents. The unifying question is whether item-level RFID has crossed from "advantage" to "table stakes" in soft-goods retail, and whether brand-protection adoption (often at the same SKU population) is being layered onto the same tag infrastructure or running in parallel.</w:t>
      </w:r>
    </w:p>
    <w:p>
      <w:pPr>
        <w:spacing w:after="120" w:line="300"/>
      </w:pPr>
      <w:r>
        <w:rPr>
          <w:rFonts w:ascii="Arial" w:cs="Arial" w:eastAsia="Arial" w:hAnsi="Arial"/>
          <w:b/>
          <w:bCs/>
          <w:i/>
          <w:iCs/>
          <w:color w:val="C39A5F"/>
          <w:sz w:val="22"/>
          <w:szCs w:val="22"/>
        </w:rPr>
        <w:t xml:space="preserve">[CHART: adoption_stage_by_industry — retail-apparel | luxury brands | brand protection; stacked bar across no-RFID / piloting / partial / full production; weighted N per industry annotated]</w:t>
      </w:r>
    </w:p>
    <w:p>
      <w:pPr>
        <w:spacing w:after="120" w:line="320"/>
      </w:pPr>
      <w:r>
        <w:rPr>
          <w:rFonts w:ascii="Arial" w:cs="Arial" w:eastAsia="Arial" w:hAnsi="Arial"/>
          <w:color w:val="1A1A1A"/>
          <w:sz w:val="22"/>
          <w:szCs w:val="22"/>
        </w:rPr>
        <w:t xml:space="preserve">The retail-apparel finding (Finding 1 in the executive summary) anchors the cluster. The instrument distinguishes between source-tagged apparel (encoded at the factory) and DC-retrofit (encoded at the brand DC), because the two carry quite different operational implications: source-tagging implies a manufacturer-side supply chain that has absorbed RFID as a structural cost, whereas DC-retrofit indicates an RFID program that remains brand-internal.</w:t>
      </w:r>
    </w:p>
    <w:p>
      <w:pPr>
        <w:spacing w:after="120" w:line="300"/>
      </w:pPr>
      <w:r>
        <w:rPr>
          <w:rFonts w:ascii="Arial" w:cs="Arial" w:eastAsia="Arial" w:hAnsi="Arial"/>
          <w:b/>
          <w:bCs/>
          <w:i/>
          <w:iCs/>
          <w:color w:val="C39A5F"/>
          <w:sz w:val="22"/>
          <w:szCs w:val="22"/>
        </w:rPr>
        <w:t xml:space="preserve">[DATA: retail_source_vs_dc — % source-tagged share within full-production retail-apparel respondents; 95% CI]</w:t>
      </w:r>
    </w:p>
    <w:p>
      <w:pPr>
        <w:spacing w:after="120" w:line="320"/>
      </w:pPr>
      <w:r>
        <w:rPr>
          <w:rFonts w:ascii="Arial" w:cs="Arial" w:eastAsia="Arial" w:hAnsi="Arial"/>
          <w:color w:val="1A1A1A"/>
          <w:sz w:val="22"/>
          <w:szCs w:val="22"/>
        </w:rPr>
        <w:t xml:space="preserve">Luxury brands sit in an unusual position. The authentication use-case (NFC tags inside the leather goods, customer-app pairing) has been a real, sustained spend for the last five years, but per-unit volumes are tiny compared with mass apparel, and the supply chain is short enough that RFID inventory ROI is muted. The instrument therefore separates "authentication adoption" from "inventory adoption" — many luxury houses do the first and not the second.</w:t>
      </w:r>
    </w:p>
    <w:p>
      <w:pPr>
        <w:spacing w:after="120" w:line="300"/>
      </w:pPr>
      <w:r>
        <w:rPr>
          <w:rFonts w:ascii="Arial" w:cs="Arial" w:eastAsia="Arial" w:hAnsi="Arial"/>
          <w:b/>
          <w:bCs/>
          <w:i/>
          <w:iCs/>
          <w:color w:val="C39A5F"/>
          <w:sz w:val="22"/>
          <w:szCs w:val="22"/>
        </w:rPr>
        <w:t xml:space="preserve">[DATA: luxury_authentication_share — % luxury brands running an authentication program at item level; 95% CI]</w:t>
      </w:r>
    </w:p>
    <w:p>
      <w:pPr>
        <w:pStyle w:val="Heading2"/>
        <w:spacing w:after="160" w:before="280"/>
      </w:pPr>
      <w:r>
        <w:rPr>
          <w:rFonts w:ascii="Arial" w:cs="Arial" w:eastAsia="Arial" w:hAnsi="Arial"/>
          <w:b/>
          <w:bCs/>
          <w:color w:val="1A1A1A"/>
          <w:sz w:val="28"/>
          <w:szCs w:val="28"/>
        </w:rPr>
        <w:t xml:space="preserve">1.2 Hospitality &amp; Experience</w:t>
      </w:r>
    </w:p>
    <w:p>
      <w:pPr>
        <w:spacing w:after="120" w:line="320"/>
      </w:pPr>
      <w:r>
        <w:rPr>
          <w:rFonts w:ascii="Arial" w:cs="Arial" w:eastAsia="Arial" w:hAnsi="Arial"/>
          <w:color w:val="1A1A1A"/>
          <w:sz w:val="22"/>
          <w:szCs w:val="22"/>
        </w:rPr>
        <w:t xml:space="preserve">Hospitality (hotels, resorts, casinos, theme parks), events &amp; venues, and fitness sit in this cluster. The cluster is unusual within RFID adoption because the primary deployment is human-credential (room keys, wristbands, member cards), not inventory. Adoption maturity therefore has a different shape: very high at the credentialing layer, lower at any operational layer beyond it (linen, F&amp;B, asset tracking).</w:t>
      </w:r>
    </w:p>
    <w:p>
      <w:pPr>
        <w:spacing w:after="120" w:line="300"/>
      </w:pPr>
      <w:r>
        <w:rPr>
          <w:rFonts w:ascii="Arial" w:cs="Arial" w:eastAsia="Arial" w:hAnsi="Arial"/>
          <w:b/>
          <w:bCs/>
          <w:i/>
          <w:iCs/>
          <w:color w:val="C39A5F"/>
          <w:sz w:val="22"/>
          <w:szCs w:val="22"/>
        </w:rPr>
        <w:t xml:space="preserve">[CHART: adoption_stage_by_industry — hospitality | events_venues | fitness; weighted N annotated]</w:t>
      </w:r>
    </w:p>
    <w:p>
      <w:pPr>
        <w:spacing w:after="120" w:line="320"/>
      </w:pPr>
      <w:r>
        <w:rPr>
          <w:rFonts w:ascii="Arial" w:cs="Arial" w:eastAsia="Arial" w:hAnsi="Arial"/>
          <w:color w:val="1A1A1A"/>
          <w:sz w:val="22"/>
          <w:szCs w:val="22"/>
        </w:rPr>
        <w:t xml:space="preserve">The hospitality finding (Finding 3 in the executive summary) is the 4-star+ vs 2-star/limited-service gap in NFC credentials. Within that, the instrument distinguishes physical-card adoption (DESFire EV3 cards) from mobile-key adoption (NFC-on-phone), because the operational answer is very different — physical-card RFID is a 1990s-era technology that is essentially universal in big-box hospitality, mobile-key is a 2020s rollout that is still finishing.</w:t>
      </w:r>
    </w:p>
    <w:p>
      <w:pPr>
        <w:spacing w:after="120" w:line="300"/>
      </w:pPr>
      <w:r>
        <w:rPr>
          <w:rFonts w:ascii="Arial" w:cs="Arial" w:eastAsia="Arial" w:hAnsi="Arial"/>
          <w:b/>
          <w:bCs/>
          <w:i/>
          <w:iCs/>
          <w:color w:val="C39A5F"/>
          <w:sz w:val="22"/>
          <w:szCs w:val="22"/>
        </w:rPr>
        <w:t xml:space="preserve">[DATA: mobile_key_share — % of 4-star+ properties with mobile-key live; 95% CI]</w:t>
      </w:r>
    </w:p>
    <w:p>
      <w:pPr>
        <w:spacing w:after="120" w:line="320"/>
      </w:pPr>
      <w:r>
        <w:rPr>
          <w:rFonts w:ascii="Arial" w:cs="Arial" w:eastAsia="Arial" w:hAnsi="Arial"/>
          <w:color w:val="1A1A1A"/>
          <w:sz w:val="22"/>
          <w:szCs w:val="22"/>
        </w:rPr>
        <w:t xml:space="preserve">Events &amp; venues have a different adoption shape from hospitality. The dominant question is wristband technology at festivals, cashless adoption at stadiums, and access-control at conferences. Adoption is genuinely high — RFID wristbands are most festivals defaults — but the technology stack is fragmented across credential vendors and ticketing platforms.</w:t>
      </w:r>
    </w:p>
    <w:p>
      <w:pPr>
        <w:pStyle w:val="Heading2"/>
        <w:spacing w:after="160" w:before="280"/>
      </w:pPr>
      <w:r>
        <w:rPr>
          <w:rFonts w:ascii="Arial" w:cs="Arial" w:eastAsia="Arial" w:hAnsi="Arial"/>
          <w:b/>
          <w:bCs/>
          <w:color w:val="1A1A1A"/>
          <w:sz w:val="28"/>
          <w:szCs w:val="28"/>
        </w:rPr>
        <w:t xml:space="preserve">1.3 Healthcare &amp; Life Sciences</w:t>
      </w:r>
    </w:p>
    <w:p>
      <w:pPr>
        <w:spacing w:after="120" w:line="320"/>
      </w:pPr>
      <w:r>
        <w:rPr>
          <w:rFonts w:ascii="Arial" w:cs="Arial" w:eastAsia="Arial" w:hAnsi="Arial"/>
          <w:color w:val="1A1A1A"/>
          <w:sz w:val="22"/>
          <w:szCs w:val="22"/>
        </w:rPr>
        <w:t xml:space="preserve">Healthcare and pharmaceutical respondents share regulatory pressure (FDA UDI, DSCSA) but very different adoption rhythms. Healthcare RFID is dominated by asset tracking and RTLS; pharmaceutical RFID is dominated by serialization at the case and bottle level, with most read points still 2D-barcode rather than RFID.</w:t>
      </w:r>
    </w:p>
    <w:p>
      <w:pPr>
        <w:spacing w:after="120" w:line="300"/>
      </w:pPr>
      <w:r>
        <w:rPr>
          <w:rFonts w:ascii="Arial" w:cs="Arial" w:eastAsia="Arial" w:hAnsi="Arial"/>
          <w:b/>
          <w:bCs/>
          <w:i/>
          <w:iCs/>
          <w:color w:val="C39A5F"/>
          <w:sz w:val="22"/>
          <w:szCs w:val="22"/>
        </w:rPr>
        <w:t xml:space="preserve">[CHART: adoption_stage_by_industry — healthcare | pharmaceutical; weighted N annotated]</w:t>
      </w:r>
    </w:p>
    <w:p>
      <w:pPr>
        <w:spacing w:after="120" w:line="320"/>
      </w:pPr>
      <w:r>
        <w:rPr>
          <w:rFonts w:ascii="Arial" w:cs="Arial" w:eastAsia="Arial" w:hAnsi="Arial"/>
          <w:color w:val="1A1A1A"/>
          <w:sz w:val="22"/>
          <w:szCs w:val="22"/>
        </w:rPr>
        <w:t xml:space="preserve">Finding 2 in the executive summary — pharmaceutical full-production trailing retail-apparel — anchors this cluster. The structural reason is the dispense-node carrier: DSCSA enforcement requires saleable units to carry a serialized identifier, but the cheapest and most-deployed carrier of that identifier is the 2D barcode, not RFID. The instrument therefore asks the pharmaceutical respondent specifically what share of their saleable units carries an RFID tag versus a 2D barcode versus both.</w:t>
      </w:r>
    </w:p>
    <w:p>
      <w:pPr>
        <w:spacing w:after="120" w:line="300"/>
      </w:pPr>
      <w:r>
        <w:rPr>
          <w:rFonts w:ascii="Arial" w:cs="Arial" w:eastAsia="Arial" w:hAnsi="Arial"/>
          <w:b/>
          <w:bCs/>
          <w:i/>
          <w:iCs/>
          <w:color w:val="C39A5F"/>
          <w:sz w:val="22"/>
          <w:szCs w:val="22"/>
        </w:rPr>
        <w:t xml:space="preserve">[DATA: pharma_carrier_share — % saleable units RFID, 2D barcode, both; weighted across pharmaceutical respondents]</w:t>
      </w:r>
    </w:p>
    <w:p>
      <w:pPr>
        <w:spacing w:after="120" w:line="320"/>
      </w:pPr>
      <w:r>
        <w:rPr>
          <w:rFonts w:ascii="Arial" w:cs="Arial" w:eastAsia="Arial" w:hAnsi="Arial"/>
          <w:color w:val="1A1A1A"/>
          <w:sz w:val="22"/>
          <w:szCs w:val="22"/>
        </w:rPr>
        <w:t xml:space="preserve">Healthcare adoption is more advanced than pharmaceutical at the operational layer because the use-case is asset tracking rather than serialization — IV pumps, surgical-tray instruments, mobile equipment fleets. RTLS deployment is the bottleneck for healthcare full-production, because installing readers throughout a hospital costs ten times what installing dock-door readers in a DC costs.</w:t>
      </w:r>
    </w:p>
    <w:p>
      <w:pPr>
        <w:pStyle w:val="Heading2"/>
        <w:spacing w:after="160" w:before="280"/>
      </w:pPr>
      <w:r>
        <w:rPr>
          <w:rFonts w:ascii="Arial" w:cs="Arial" w:eastAsia="Arial" w:hAnsi="Arial"/>
          <w:b/>
          <w:bCs/>
          <w:color w:val="1A1A1A"/>
          <w:sz w:val="28"/>
          <w:szCs w:val="28"/>
        </w:rPr>
        <w:t xml:space="preserve">1.4 Industrial &amp; Logistics</w:t>
      </w:r>
    </w:p>
    <w:p>
      <w:pPr>
        <w:spacing w:after="120" w:line="320"/>
      </w:pPr>
      <w:r>
        <w:rPr>
          <w:rFonts w:ascii="Arial" w:cs="Arial" w:eastAsia="Arial" w:hAnsi="Arial"/>
          <w:color w:val="1A1A1A"/>
          <w:sz w:val="22"/>
          <w:szCs w:val="22"/>
        </w:rPr>
        <w:t xml:space="preserve">Industrial respondents (plants, manufacturers, asset-tracking programs) and logistics respondents (3PLs, carriers, DC operators) form a single broad cluster because their RFID use-cases overlap heavily — work-in-process tracking, tool tracking, dock-door scanning, yard management.</w:t>
      </w:r>
    </w:p>
    <w:p>
      <w:pPr>
        <w:spacing w:after="120" w:line="300"/>
      </w:pPr>
      <w:r>
        <w:rPr>
          <w:rFonts w:ascii="Arial" w:cs="Arial" w:eastAsia="Arial" w:hAnsi="Arial"/>
          <w:b/>
          <w:bCs/>
          <w:i/>
          <w:iCs/>
          <w:color w:val="C39A5F"/>
          <w:sz w:val="22"/>
          <w:szCs w:val="22"/>
        </w:rPr>
        <w:t xml:space="preserve">[CHART: adoption_stage_by_industry — industrial | logistics | data_center_it_asset_tracking; weighted N annotated]</w:t>
      </w:r>
    </w:p>
    <w:p>
      <w:pPr>
        <w:spacing w:after="120" w:line="320"/>
      </w:pPr>
      <w:r>
        <w:rPr>
          <w:rFonts w:ascii="Arial" w:cs="Arial" w:eastAsia="Arial" w:hAnsi="Arial"/>
          <w:color w:val="1A1A1A"/>
          <w:sz w:val="22"/>
          <w:szCs w:val="22"/>
        </w:rPr>
        <w:t xml:space="preserve">The cluster is the largest by revenue in the IDC weighting frame, so even small per-industry shifts translate into large weighted-mean changes. The instrument asks specifically about dock-door scan-rate (a single number every DC manager knows), tool-tracking ROI, and WIP visibility. These three answer most of what a non-specialist reader wants to know about industrial RFID maturity.</w:t>
      </w:r>
    </w:p>
    <w:p>
      <w:pPr>
        <w:spacing w:after="120" w:line="300"/>
      </w:pPr>
      <w:r>
        <w:rPr>
          <w:rFonts w:ascii="Arial" w:cs="Arial" w:eastAsia="Arial" w:hAnsi="Arial"/>
          <w:b/>
          <w:bCs/>
          <w:i/>
          <w:iCs/>
          <w:color w:val="C39A5F"/>
          <w:sz w:val="22"/>
          <w:szCs w:val="22"/>
        </w:rPr>
        <w:t xml:space="preserve">[DATA: dock_door_scan_rate — median; 25th-75th percentile; by adoption stage]</w:t>
      </w:r>
    </w:p>
    <w:p>
      <w:pPr>
        <w:spacing w:after="120" w:line="300"/>
      </w:pPr>
      <w:r>
        <w:rPr>
          <w:rFonts w:ascii="Arial" w:cs="Arial" w:eastAsia="Arial" w:hAnsi="Arial"/>
          <w:b/>
          <w:bCs/>
          <w:i/>
          <w:iCs/>
          <w:color w:val="C39A5F"/>
          <w:sz w:val="22"/>
          <w:szCs w:val="22"/>
        </w:rPr>
        <w:t xml:space="preserve">[DATA: wip_visibility — % industrial respondents with item- or batch-level WIP visibility via RFID; 95% CI]</w:t>
      </w:r>
    </w:p>
    <w:p>
      <w:pPr>
        <w:spacing w:after="120" w:line="320"/>
      </w:pPr>
      <w:r>
        <w:rPr>
          <w:rFonts w:ascii="Arial" w:cs="Arial" w:eastAsia="Arial" w:hAnsi="Arial"/>
          <w:color w:val="1A1A1A"/>
          <w:sz w:val="22"/>
          <w:szCs w:val="22"/>
        </w:rPr>
        <w:t xml:space="preserve">Data center IT asset tracking is a fast-growing sub-cluster within the broader industrial frame. The drivers are different — ESG reporting and decommissioning chain-of-custody — but the operational layer (tagged assets, fixed readers, software stack) is recognizable to anyone who has deployed industrial RFID. The instrument tests whether DCIM-integrated RFID is in production or pilot at hyperscalers and colocation providers.</w:t>
      </w:r>
    </w:p>
    <w:p>
      <w:pPr>
        <w:pStyle w:val="Heading2"/>
        <w:spacing w:after="160" w:before="280"/>
      </w:pPr>
      <w:r>
        <w:rPr>
          <w:rFonts w:ascii="Arial" w:cs="Arial" w:eastAsia="Arial" w:hAnsi="Arial"/>
          <w:b/>
          <w:bCs/>
          <w:color w:val="1A1A1A"/>
          <w:sz w:val="28"/>
          <w:szCs w:val="28"/>
        </w:rPr>
        <w:t xml:space="preserve">1.5 Public &amp; Cultural</w:t>
      </w:r>
    </w:p>
    <w:p>
      <w:pPr>
        <w:spacing w:after="120" w:line="320"/>
      </w:pPr>
      <w:r>
        <w:rPr>
          <w:rFonts w:ascii="Arial" w:cs="Arial" w:eastAsia="Arial" w:hAnsi="Arial"/>
          <w:color w:val="1A1A1A"/>
          <w:sz w:val="22"/>
          <w:szCs w:val="22"/>
        </w:rPr>
        <w:t xml:space="preserve">Libraries, education and government &amp; defense form a cluster of mission-driven institutional respondents. Their RFID deployments are typically older than the commercial ones — many libraries converted to RFID in the early 2000s — and their adoption stories are more about renewal cycles than greenfield rollout.</w:t>
      </w:r>
    </w:p>
    <w:p>
      <w:pPr>
        <w:spacing w:after="120" w:line="300"/>
      </w:pPr>
      <w:r>
        <w:rPr>
          <w:rFonts w:ascii="Arial" w:cs="Arial" w:eastAsia="Arial" w:hAnsi="Arial"/>
          <w:b/>
          <w:bCs/>
          <w:i/>
          <w:iCs/>
          <w:color w:val="C39A5F"/>
          <w:sz w:val="22"/>
          <w:szCs w:val="22"/>
        </w:rPr>
        <w:t xml:space="preserve">[CHART: adoption_stage_by_industry — libraries | education | government_defense; weighted N annotated]</w:t>
      </w:r>
    </w:p>
    <w:p>
      <w:pPr>
        <w:spacing w:after="120" w:line="320"/>
      </w:pPr>
      <w:r>
        <w:rPr>
          <w:rFonts w:ascii="Arial" w:cs="Arial" w:eastAsia="Arial" w:hAnsi="Arial"/>
          <w:color w:val="1A1A1A"/>
          <w:sz w:val="22"/>
          <w:szCs w:val="22"/>
        </w:rPr>
        <w:t xml:space="preserve">Library full-production is structurally high — most large public and academic libraries converted to RFID-and-self-check during the 2000s and 2010s — but the AFI plate replacement cycle and integration-with-the-ILS question are open. The instrument asks specifically about the most recent renewal cycle and whether self-check ratio has plateaued.</w:t>
      </w:r>
    </w:p>
    <w:p>
      <w:pPr>
        <w:spacing w:after="120" w:line="300"/>
      </w:pPr>
      <w:r>
        <w:rPr>
          <w:rFonts w:ascii="Arial" w:cs="Arial" w:eastAsia="Arial" w:hAnsi="Arial"/>
          <w:b/>
          <w:bCs/>
          <w:i/>
          <w:iCs/>
          <w:color w:val="C39A5F"/>
          <w:sz w:val="22"/>
          <w:szCs w:val="22"/>
        </w:rPr>
        <w:t xml:space="preserve">[DATA: library_self_check_ratio — median; 25th-75th percentile]</w:t>
      </w:r>
    </w:p>
    <w:p>
      <w:pPr>
        <w:spacing w:after="120" w:line="320"/>
      </w:pPr>
      <w:r>
        <w:rPr>
          <w:rFonts w:ascii="Arial" w:cs="Arial" w:eastAsia="Arial" w:hAnsi="Arial"/>
          <w:color w:val="1A1A1A"/>
          <w:sz w:val="22"/>
          <w:szCs w:val="22"/>
        </w:rPr>
        <w:t xml:space="preserve">Government &amp; defense adoption is dominated by IUID and MIL-STD-129R compliance. Adoption maturity is not really the right framing — for many DoD primes, RFID is a mandate-compliance line-item, not a strategic investment, and the instrument captures this by asking about programme spend allocation rather than adoption stage.</w:t>
      </w:r>
    </w:p>
    <w:p>
      <w:pPr>
        <w:pStyle w:val="Heading2"/>
        <w:spacing w:after="160" w:before="280"/>
      </w:pPr>
      <w:r>
        <w:rPr>
          <w:rFonts w:ascii="Arial" w:cs="Arial" w:eastAsia="Arial" w:hAnsi="Arial"/>
          <w:b/>
          <w:bCs/>
          <w:color w:val="1A1A1A"/>
          <w:sz w:val="28"/>
          <w:szCs w:val="28"/>
        </w:rPr>
        <w:t xml:space="preserve">1.6 Primary Production &amp; Regulated</w:t>
      </w:r>
    </w:p>
    <w:p>
      <w:pPr>
        <w:spacing w:after="120" w:line="320"/>
      </w:pPr>
      <w:r>
        <w:rPr>
          <w:rFonts w:ascii="Arial" w:cs="Arial" w:eastAsia="Arial" w:hAnsi="Arial"/>
          <w:color w:val="1A1A1A"/>
          <w:sz w:val="22"/>
          <w:szCs w:val="22"/>
        </w:rPr>
        <w:t xml:space="preserve">Agriculture, cold chain &amp; food traceability, automotive &amp; tire OEM, aerospace &amp; aviation MRO, and EU compliance form this cluster — industries where RFID is being driven primarily by a regulatory or supply-chain-mandate dynamic rather than an internal ROI case.</w:t>
      </w:r>
    </w:p>
    <w:p>
      <w:pPr>
        <w:spacing w:after="120" w:line="300"/>
      </w:pPr>
      <w:r>
        <w:rPr>
          <w:rFonts w:ascii="Arial" w:cs="Arial" w:eastAsia="Arial" w:hAnsi="Arial"/>
          <w:b/>
          <w:bCs/>
          <w:i/>
          <w:iCs/>
          <w:color w:val="C39A5F"/>
          <w:sz w:val="22"/>
          <w:szCs w:val="22"/>
        </w:rPr>
        <w:t xml:space="preserve">[CHART: adoption_stage_by_industry — agriculture | cold_chain | automotive_tire | aerospace_mro | eu_compliance; weighted N annotated]</w:t>
      </w:r>
    </w:p>
    <w:p>
      <w:pPr>
        <w:spacing w:after="120" w:line="320"/>
      </w:pPr>
      <w:r>
        <w:rPr>
          <w:rFonts w:ascii="Arial" w:cs="Arial" w:eastAsia="Arial" w:hAnsi="Arial"/>
          <w:color w:val="1A1A1A"/>
          <w:sz w:val="22"/>
          <w:szCs w:val="22"/>
        </w:rPr>
        <w:t xml:space="preserve">Cold chain and food traceability are the FSMA 204 chapter. The mandate is live for high-risk foods, and the instrument asks specifically about case-level FSMA 204 traceability versus broader cold-chain temperature logging. The answer is rarely "no RFID" — it is more often "RFID at one node, barcodes elsewhere".</w:t>
      </w:r>
    </w:p>
    <w:p>
      <w:pPr>
        <w:spacing w:after="120" w:line="300"/>
      </w:pPr>
      <w:r>
        <w:rPr>
          <w:rFonts w:ascii="Arial" w:cs="Arial" w:eastAsia="Arial" w:hAnsi="Arial"/>
          <w:b/>
          <w:bCs/>
          <w:i/>
          <w:iCs/>
          <w:color w:val="C39A5F"/>
          <w:sz w:val="22"/>
          <w:szCs w:val="22"/>
        </w:rPr>
        <w:t xml:space="preserve">[DATA: fsma_204_readiness — % cold-chain respondents on track to meet FSMA 204; 95% CI]</w:t>
      </w:r>
    </w:p>
    <w:p>
      <w:pPr>
        <w:spacing w:after="120" w:line="320"/>
      </w:pPr>
      <w:r>
        <w:rPr>
          <w:rFonts w:ascii="Arial" w:cs="Arial" w:eastAsia="Arial" w:hAnsi="Arial"/>
          <w:color w:val="1A1A1A"/>
          <w:sz w:val="22"/>
          <w:szCs w:val="22"/>
        </w:rPr>
        <w:t xml:space="preserve">Automotive &amp; tire OEM and aerospace &amp; aviation MRO are mandate-driven by different forces (BMW/VW supplier requirements, ATA Spec 2000, MIL-STD-129R for defense aerospace). The instrument asks each respondent about the specific mandate that applies to them and the timeline they are working against.</w:t>
      </w:r>
    </w:p>
    <w:p>
      <w:pPr>
        <w:spacing w:after="120" w:line="320"/>
      </w:pPr>
      <w:r>
        <w:rPr>
          <w:rFonts w:ascii="Arial" w:cs="Arial" w:eastAsia="Arial" w:hAnsi="Arial"/>
          <w:color w:val="1A1A1A"/>
          <w:sz w:val="22"/>
          <w:szCs w:val="22"/>
        </w:rPr>
        <w:t xml:space="preserve">EU compliance is the Digital Product Passport chapter and anchors Finding 4 in the executive summary. The instrument asks textile, battery, and consumer-electronics respondents selling into the EU about ESPR readiness, DPP data-model gaps, and supplier-side battery passport progress.</w:t>
      </w:r>
    </w:p>
    <w:p>
      <w:pPr>
        <w:spacing w:after="120" w:line="300"/>
      </w:pPr>
      <w:r>
        <w:rPr>
          <w:rFonts w:ascii="Arial" w:cs="Arial" w:eastAsia="Arial" w:hAnsi="Arial"/>
          <w:b/>
          <w:bCs/>
          <w:i/>
          <w:iCs/>
          <w:color w:val="C39A5F"/>
          <w:sz w:val="22"/>
          <w:szCs w:val="22"/>
        </w:rPr>
        <w:t xml:space="preserve">[DATA: eu_dpp_readiness_gap_months — median; 25th-75th percentile across textile + battery respondents]</w:t>
      </w:r>
    </w:p>
    <w:p>
      <w:r>
        <w:br w:type="page"/>
      </w:r>
    </w:p>
    <w:p>
      <w:pPr>
        <w:pStyle w:val="Heading1"/>
        <w:spacing w:after="200" w:before="360"/>
      </w:pPr>
      <w:r>
        <w:rPr>
          <w:rFonts w:ascii="Arial" w:cs="Arial" w:eastAsia="Arial" w:hAnsi="Arial"/>
          <w:b/>
          <w:bCs/>
          <w:color w:val="1A1A1A"/>
          <w:sz w:val="36"/>
          <w:szCs w:val="36"/>
        </w:rPr>
        <w:t xml:space="preserve">Chapter 2 — Mandate compliance progress</w:t>
      </w:r>
    </w:p>
    <w:p>
      <w:pPr>
        <w:spacing w:after="120" w:line="320"/>
      </w:pPr>
      <w:r>
        <w:rPr>
          <w:rFonts w:ascii="Arial" w:cs="Arial" w:eastAsia="Arial" w:hAnsi="Arial"/>
          <w:color w:val="1A1A1A"/>
          <w:sz w:val="22"/>
          <w:szCs w:val="22"/>
        </w:rPr>
        <w:t xml:space="preserve">Mandates are the single largest external driver of RFID adoption above per-industry baselines. The chapter walks each major mandate in turn, with a compliance-state distribution (on-track / at-risk / in-violation) from the relevant respondent subset. Industry-specific mandates appear with the industry where they bind; cross-industry mandates (EU DPP, FSMA 204) appear once.</w:t>
      </w:r>
    </w:p>
    <w:p>
      <w:pPr>
        <w:spacing w:after="120" w:line="300"/>
      </w:pPr>
      <w:r>
        <w:rPr>
          <w:rFonts w:ascii="Arial" w:cs="Arial" w:eastAsia="Arial" w:hAnsi="Arial"/>
          <w:b/>
          <w:bCs/>
          <w:i/>
          <w:iCs/>
          <w:color w:val="C39A5F"/>
          <w:sz w:val="22"/>
          <w:szCs w:val="22"/>
        </w:rPr>
        <w:t xml:space="preserve">[CHART: mandate_compliance_master — small-multiple stacked-bar of compliance state by mandate; on-track vs at-risk vs in-violation; weighted N annotated]</w:t>
      </w:r>
    </w:p>
    <w:p>
      <w:pPr>
        <w:pStyle w:val="Heading2"/>
        <w:spacing w:after="160" w:before="280"/>
      </w:pPr>
      <w:r>
        <w:rPr>
          <w:rFonts w:ascii="Arial" w:cs="Arial" w:eastAsia="Arial" w:hAnsi="Arial"/>
          <w:b/>
          <w:bCs/>
          <w:color w:val="1A1A1A"/>
          <w:sz w:val="28"/>
          <w:szCs w:val="28"/>
        </w:rPr>
        <w:t xml:space="preserve">2.1 Walmart Tier 2/3 mandate</w:t>
      </w:r>
    </w:p>
    <w:p>
      <w:pPr>
        <w:spacing w:after="120" w:line="320"/>
      </w:pPr>
      <w:r>
        <w:rPr>
          <w:rFonts w:ascii="Arial" w:cs="Arial" w:eastAsia="Arial" w:hAnsi="Arial"/>
          <w:color w:val="1A1A1A"/>
          <w:sz w:val="22"/>
          <w:szCs w:val="22"/>
        </w:rPr>
        <w:t xml:space="preserve">The Walmart mandate is the single largest known driver of RFID adoption in US retail. The 2026 question is not whether Walmart suppliers know about it (they do) but whether the Tier 3 cohort — categories like home, automotive, consumer electronics — is on track for the announced enforcement dates. The instrument asks each retail-supplier respondent about their tier status, compliance state, and the specific SKU categories under tag.</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2.2 DSCSA — Drug Supply Chain Security Act</w:t>
      </w:r>
    </w:p>
    <w:p>
      <w:pPr>
        <w:spacing w:after="120" w:line="320"/>
      </w:pPr>
      <w:r>
        <w:rPr>
          <w:rFonts w:ascii="Arial" w:cs="Arial" w:eastAsia="Arial" w:hAnsi="Arial"/>
          <w:color w:val="1A1A1A"/>
          <w:sz w:val="22"/>
          <w:szCs w:val="22"/>
        </w:rPr>
        <w:t xml:space="preserve">The DSCSA enforcement window closed in stabilization, then opened again. The 2026 question for pharmaceutical respondents is the carrier mix at each node of the supply chain (manufacturer, wholesaler, dispenser) and whether the saleable-returns volume has materially changed under the new transaction-information requirements. The instrument asks specifically about returns volume year-over-year as a proxy for compliance friction.</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2.3 EU DPP / ESPR — Digital Product Passport / Ecodesign for Sustainable Products Regulation</w:t>
      </w:r>
    </w:p>
    <w:p>
      <w:pPr>
        <w:spacing w:after="120" w:line="320"/>
      </w:pPr>
      <w:r>
        <w:rPr>
          <w:rFonts w:ascii="Arial" w:cs="Arial" w:eastAsia="Arial" w:hAnsi="Arial"/>
          <w:color w:val="1A1A1A"/>
          <w:sz w:val="22"/>
          <w:szCs w:val="22"/>
        </w:rPr>
        <w:t xml:space="preserve">The EU DPP timeline is the largest regulatory event in RFID for the back half of the decade. The 2026 question is supplier-side readiness, particularly in textiles and consumer electronics. The instrument asks each EU-compliance respondent about data-model gaps, supplier coverage, and timeline-to-readiness in months.</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2.4 EU Battery Regulation</w:t>
      </w:r>
    </w:p>
    <w:p>
      <w:pPr>
        <w:spacing w:after="120" w:line="320"/>
      </w:pPr>
      <w:r>
        <w:rPr>
          <w:rFonts w:ascii="Arial" w:cs="Arial" w:eastAsia="Arial" w:hAnsi="Arial"/>
          <w:color w:val="1A1A1A"/>
          <w:sz w:val="22"/>
          <w:szCs w:val="22"/>
        </w:rPr>
        <w:t xml:space="preserve">The EU Battery Regulation requires a battery passport for industrial and EV traction batteries starting 2027. The 2026 question is whether the manufacturer base has the per-cell or per-pack data infrastructure in place to populate the passport. The instrument asks battery-adjacent respondents about manufacturing-line traceability and supplier coverage.</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2.5 FSMA 204 — FDA Food Safety Modernization Act</w:t>
      </w:r>
    </w:p>
    <w:p>
      <w:pPr>
        <w:spacing w:after="120" w:line="320"/>
      </w:pPr>
      <w:r>
        <w:rPr>
          <w:rFonts w:ascii="Arial" w:cs="Arial" w:eastAsia="Arial" w:hAnsi="Arial"/>
          <w:color w:val="1A1A1A"/>
          <w:sz w:val="22"/>
          <w:szCs w:val="22"/>
        </w:rPr>
        <w:t xml:space="preserve">FSMA 204 expanded traceability requirements to a defined list of high-risk foods. The 2026 question is whether the case-level traceability is being implemented with RFID, with barcodes, or with a hybrid; and whether the recall-cycle-time KPI (the metric the rule is really about) has shortened. The instrument asks cold-chain respondents specifically about recall cycle time.</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2.6 EUDR — EU Deforestation Regulation</w:t>
      </w:r>
    </w:p>
    <w:p>
      <w:pPr>
        <w:spacing w:after="120" w:line="320"/>
      </w:pPr>
      <w:r>
        <w:rPr>
          <w:rFonts w:ascii="Arial" w:cs="Arial" w:eastAsia="Arial" w:hAnsi="Arial"/>
          <w:color w:val="1A1A1A"/>
          <w:sz w:val="22"/>
          <w:szCs w:val="22"/>
        </w:rPr>
        <w:t xml:space="preserve">EUDR applies to commodities including cocoa, coffee, palm, beef and timber. The 2026 question is whether origin-traceability at the producer node is being delivered by RFID, by satellite imagery, by paper certificates, or by some hybrid. The instrument asks producer-side respondents about per-lot identification and the verification stack their EU buyers are accepting.</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2.7 IATA 753 — baggage tracking</w:t>
      </w:r>
    </w:p>
    <w:p>
      <w:pPr>
        <w:spacing w:after="120" w:line="320"/>
      </w:pPr>
      <w:r>
        <w:rPr>
          <w:rFonts w:ascii="Arial" w:cs="Arial" w:eastAsia="Arial" w:hAnsi="Arial"/>
          <w:color w:val="1A1A1A"/>
          <w:sz w:val="22"/>
          <w:szCs w:val="22"/>
        </w:rPr>
        <w:t xml:space="preserve">IATA Resolution 753 requires airlines to track baggage at four points. The 2026 question is whether RFID has displaced barcode at any of those four points and whether mishandled-bag rate has shifted in the years since the resolution went live. The instrument asks airline and ground-handling respondents about the carrier they use at each tracking point.</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2.8 MIL-STD-129R — DoD passive RFID</w:t>
      </w:r>
    </w:p>
    <w:p>
      <w:pPr>
        <w:spacing w:after="120" w:line="320"/>
      </w:pPr>
      <w:r>
        <w:rPr>
          <w:rFonts w:ascii="Arial" w:cs="Arial" w:eastAsia="Arial" w:hAnsi="Arial"/>
          <w:color w:val="1A1A1A"/>
          <w:sz w:val="22"/>
          <w:szCs w:val="22"/>
        </w:rPr>
        <w:t xml:space="preserve">MIL-STD-129R governs identification and marking on items shipped to DoD. The 2026 question for defense contractors is whether tag-data quality and registry-data quality have caught up with the spec. The instrument asks defense respondents about audit findings, registry data quality, and the cost of compliance per shipment.</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pPr>
        <w:pStyle w:val="Heading2"/>
        <w:spacing w:after="160" w:before="280"/>
      </w:pPr>
      <w:r>
        <w:rPr>
          <w:rFonts w:ascii="Arial" w:cs="Arial" w:eastAsia="Arial" w:hAnsi="Arial"/>
          <w:b/>
          <w:bCs/>
          <w:color w:val="1A1A1A"/>
          <w:sz w:val="28"/>
          <w:szCs w:val="28"/>
        </w:rPr>
        <w:t xml:space="preserve">2.9 ATA Spec 2000 — aviation parts marking</w:t>
      </w:r>
    </w:p>
    <w:p>
      <w:pPr>
        <w:spacing w:after="120" w:line="320"/>
      </w:pPr>
      <w:r>
        <w:rPr>
          <w:rFonts w:ascii="Arial" w:cs="Arial" w:eastAsia="Arial" w:hAnsi="Arial"/>
          <w:color w:val="1A1A1A"/>
          <w:sz w:val="22"/>
          <w:szCs w:val="22"/>
        </w:rPr>
        <w:t xml:space="preserve">ATA Spec 2000 is the civil aviation parts-marking standard that anchors RFID adoption in aerospace MRO. The 2026 question is whether the engine-OEM and major-component populations are at full mandate-mark or partial; and whether the secondary read-point infrastructure (MRO shop floor, parts pool) has been built out. The instrument asks MRO respondents about read coverage at each shop-floor station.</w:t>
      </w:r>
    </w:p>
    <w:p>
      <w:pPr>
        <w:spacing w:after="120" w:line="300"/>
      </w:pPr>
      <w:r>
        <w:rPr>
          <w:rFonts w:ascii="Arial" w:cs="Arial" w:eastAsia="Arial" w:hAnsi="Arial"/>
          <w:b/>
          <w:bCs/>
          <w:i/>
          <w:iCs/>
          <w:color w:val="C39A5F"/>
          <w:sz w:val="22"/>
          <w:szCs w:val="22"/>
        </w:rPr>
        <w:t xml:space="preserve">[DATA: mandate_compliance — on-track % / at-risk % / in-violation %; 95% CI on on-track share]</w:t>
      </w:r>
    </w:p>
    <w:p>
      <w:pPr>
        <w:spacing w:after="120" w:line="300"/>
      </w:pPr>
      <w:r>
        <w:rPr>
          <w:rFonts w:ascii="Arial" w:cs="Arial" w:eastAsia="Arial" w:hAnsi="Arial"/>
          <w:b/>
          <w:bCs/>
          <w:i/>
          <w:iCs/>
          <w:color w:val="C39A5F"/>
          <w:sz w:val="22"/>
          <w:szCs w:val="22"/>
        </w:rPr>
        <w:t xml:space="preserve">[CHART: mandate_compliance_industry_cross_tab — cross-tab by industry where applicable; k-anonymity check confirmed]</w:t>
      </w:r>
    </w:p>
    <w:p>
      <w:r>
        <w:br w:type="page"/>
      </w:r>
    </w:p>
    <w:p>
      <w:pPr>
        <w:pStyle w:val="Heading1"/>
        <w:spacing w:after="200" w:before="360"/>
      </w:pPr>
      <w:r>
        <w:rPr>
          <w:rFonts w:ascii="Arial" w:cs="Arial" w:eastAsia="Arial" w:hAnsi="Arial"/>
          <w:b/>
          <w:bCs/>
          <w:color w:val="1A1A1A"/>
          <w:sz w:val="36"/>
          <w:szCs w:val="36"/>
        </w:rPr>
        <w:t xml:space="preserve">Chapter 3 — KPI lift: expected vs realized</w:t>
      </w:r>
    </w:p>
    <w:p>
      <w:pPr>
        <w:spacing w:after="120" w:line="320"/>
      </w:pPr>
      <w:r>
        <w:rPr>
          <w:rFonts w:ascii="Arial" w:cs="Arial" w:eastAsia="Arial" w:hAnsi="Arial"/>
          <w:color w:val="1A1A1A"/>
          <w:sz w:val="22"/>
          <w:szCs w:val="22"/>
        </w:rPr>
        <w:t xml:space="preserve">A vendor case study tells you the realized lift at their best customer; this Index tells you the realized lift at twenty respondents per industry, alongside the expected lift each respondent named pre-deployment. The expected-vs-realized framing is the chapter device that turns RFID KPI talk from anecdote into pre-vs-post measurement.</w:t>
      </w:r>
    </w:p>
    <w:p>
      <w:pPr>
        <w:spacing w:after="120" w:line="300"/>
      </w:pPr>
      <w:r>
        <w:rPr>
          <w:rFonts w:ascii="Arial" w:cs="Arial" w:eastAsia="Arial" w:hAnsi="Arial"/>
          <w:b/>
          <w:bCs/>
          <w:i/>
          <w:iCs/>
          <w:color w:val="C39A5F"/>
          <w:sz w:val="22"/>
          <w:szCs w:val="22"/>
        </w:rPr>
        <w:t xml:space="preserve">[CHART: kpi_lift_master — expected vs realized lift for inventory accuracy, BOPIS, shrink, labor; paired-comparison dotplot with 95% CI on the delta]</w:t>
      </w:r>
    </w:p>
    <w:p>
      <w:pPr>
        <w:spacing w:after="120" w:line="320"/>
      </w:pPr>
      <w:r>
        <w:rPr>
          <w:rFonts w:ascii="Arial" w:cs="Arial" w:eastAsia="Arial" w:hAnsi="Arial"/>
          <w:color w:val="1A1A1A"/>
          <w:sz w:val="22"/>
          <w:szCs w:val="22"/>
        </w:rPr>
        <w:t xml:space="preserve">Statistical test: Wilcoxon signed-rank on realized minus expected for each KPI, with the null hypothesis that the realized lift equals the expected lift. Reject the null if alpha &lt; 0.05 (this is not a primary hypothesis test, so no Bonferroni correction applies).</w:t>
      </w:r>
    </w:p>
    <w:p>
      <w:pPr>
        <w:pStyle w:val="Heading2"/>
        <w:spacing w:after="160" w:before="280"/>
      </w:pPr>
      <w:r>
        <w:rPr>
          <w:rFonts w:ascii="Arial" w:cs="Arial" w:eastAsia="Arial" w:hAnsi="Arial"/>
          <w:b/>
          <w:bCs/>
          <w:color w:val="1A1A1A"/>
          <w:sz w:val="28"/>
          <w:szCs w:val="28"/>
        </w:rPr>
        <w:t xml:space="preserve">3.1 Inventory accuracy</w:t>
      </w:r>
    </w:p>
    <w:p>
      <w:pPr>
        <w:spacing w:after="120" w:line="320"/>
      </w:pPr>
      <w:r>
        <w:rPr>
          <w:rFonts w:ascii="Arial" w:cs="Arial" w:eastAsia="Arial" w:hAnsi="Arial"/>
          <w:color w:val="1A1A1A"/>
          <w:sz w:val="22"/>
          <w:szCs w:val="22"/>
        </w:rPr>
        <w:t xml:space="preserve">The most-cited RFID KPI and the most over-claimed. The instrument asks each respondent what inventory accuracy they expected before deployment and what they realize today. The paired comparison — realized minus expected — is the headline number. H5 (Executive Summary Finding 5) pre-registers the retail-specific lift at 22-28 percentage points; the chapter reports the realized lift not just for retail but for every applicable industry.</w:t>
      </w:r>
    </w:p>
    <w:p>
      <w:pPr>
        <w:spacing w:after="120" w:line="300"/>
      </w:pPr>
      <w:r>
        <w:rPr>
          <w:rFonts w:ascii="Arial" w:cs="Arial" w:eastAsia="Arial" w:hAnsi="Arial"/>
          <w:b/>
          <w:bCs/>
          <w:i/>
          <w:iCs/>
          <w:color w:val="C39A5F"/>
          <w:sz w:val="22"/>
          <w:szCs w:val="22"/>
        </w:rPr>
        <w:t xml:space="preserve">[DATA: kpi_lift_paired — median expected lift; median realized lift; median delta with 95% CI; Wilcoxon p-value]</w:t>
      </w:r>
    </w:p>
    <w:p>
      <w:pPr>
        <w:pStyle w:val="Heading2"/>
        <w:spacing w:after="160" w:before="280"/>
      </w:pPr>
      <w:r>
        <w:rPr>
          <w:rFonts w:ascii="Arial" w:cs="Arial" w:eastAsia="Arial" w:hAnsi="Arial"/>
          <w:b/>
          <w:bCs/>
          <w:color w:val="1A1A1A"/>
          <w:sz w:val="28"/>
          <w:szCs w:val="28"/>
        </w:rPr>
        <w:t xml:space="preserve">3.2 BOPIS fulfilment</w:t>
      </w:r>
    </w:p>
    <w:p>
      <w:pPr>
        <w:spacing w:after="120" w:line="320"/>
      </w:pPr>
      <w:r>
        <w:rPr>
          <w:rFonts w:ascii="Arial" w:cs="Arial" w:eastAsia="Arial" w:hAnsi="Arial"/>
          <w:color w:val="1A1A1A"/>
          <w:sz w:val="22"/>
          <w:szCs w:val="22"/>
        </w:rPr>
        <w:t xml:space="preserve">Buy-online-pickup-in-store conversion is the second-most-cited retail-RFID KPI. The instrument asks for the BOPIS conversion rate before and after RFID deployment for retail and apparel respondents.</w:t>
      </w:r>
    </w:p>
    <w:p>
      <w:pPr>
        <w:spacing w:after="120" w:line="300"/>
      </w:pPr>
      <w:r>
        <w:rPr>
          <w:rFonts w:ascii="Arial" w:cs="Arial" w:eastAsia="Arial" w:hAnsi="Arial"/>
          <w:b/>
          <w:bCs/>
          <w:i/>
          <w:iCs/>
          <w:color w:val="C39A5F"/>
          <w:sz w:val="22"/>
          <w:szCs w:val="22"/>
        </w:rPr>
        <w:t xml:space="preserve">[DATA: kpi_lift_paired — median expected lift; median realized lift; median delta with 95% CI; Wilcoxon p-value]</w:t>
      </w:r>
    </w:p>
    <w:p>
      <w:pPr>
        <w:pStyle w:val="Heading2"/>
        <w:spacing w:after="160" w:before="280"/>
      </w:pPr>
      <w:r>
        <w:rPr>
          <w:rFonts w:ascii="Arial" w:cs="Arial" w:eastAsia="Arial" w:hAnsi="Arial"/>
          <w:b/>
          <w:bCs/>
          <w:color w:val="1A1A1A"/>
          <w:sz w:val="28"/>
          <w:szCs w:val="28"/>
        </w:rPr>
        <w:t xml:space="preserve">3.3 Shrink</w:t>
      </w:r>
    </w:p>
    <w:p>
      <w:pPr>
        <w:spacing w:after="120" w:line="320"/>
      </w:pPr>
      <w:r>
        <w:rPr>
          <w:rFonts w:ascii="Arial" w:cs="Arial" w:eastAsia="Arial" w:hAnsi="Arial"/>
          <w:color w:val="1A1A1A"/>
          <w:sz w:val="22"/>
          <w:szCs w:val="22"/>
        </w:rPr>
        <w:t xml:space="preserve">Shrink reduction is the most operationally consequential RFID outcome for retail and luxury respondents. The instrument captures shrink rate at deployment and at last measurement.</w:t>
      </w:r>
    </w:p>
    <w:p>
      <w:pPr>
        <w:spacing w:after="120" w:line="300"/>
      </w:pPr>
      <w:r>
        <w:rPr>
          <w:rFonts w:ascii="Arial" w:cs="Arial" w:eastAsia="Arial" w:hAnsi="Arial"/>
          <w:b/>
          <w:bCs/>
          <w:i/>
          <w:iCs/>
          <w:color w:val="C39A5F"/>
          <w:sz w:val="22"/>
          <w:szCs w:val="22"/>
        </w:rPr>
        <w:t xml:space="preserve">[DATA: kpi_lift_paired — median expected lift; median realized lift; median delta with 95% CI; Wilcoxon p-value]</w:t>
      </w:r>
    </w:p>
    <w:p>
      <w:pPr>
        <w:pStyle w:val="Heading2"/>
        <w:spacing w:after="160" w:before="280"/>
      </w:pPr>
      <w:r>
        <w:rPr>
          <w:rFonts w:ascii="Arial" w:cs="Arial" w:eastAsia="Arial" w:hAnsi="Arial"/>
          <w:b/>
          <w:bCs/>
          <w:color w:val="1A1A1A"/>
          <w:sz w:val="28"/>
          <w:szCs w:val="28"/>
        </w:rPr>
        <w:t xml:space="preserve">3.4 Labor cost</w:t>
      </w:r>
    </w:p>
    <w:p>
      <w:pPr>
        <w:spacing w:after="120" w:line="320"/>
      </w:pPr>
      <w:r>
        <w:rPr>
          <w:rFonts w:ascii="Arial" w:cs="Arial" w:eastAsia="Arial" w:hAnsi="Arial"/>
          <w:color w:val="1A1A1A"/>
          <w:sz w:val="22"/>
          <w:szCs w:val="22"/>
        </w:rPr>
        <w:t xml:space="preserve">Labor lift covers both cycle-count labor (the textbook RFID benefit) and the broader labor-productivity effect from real-time inventory. The instrument asks for FTE hours saved per week and the labor-cost equivalent.</w:t>
      </w:r>
    </w:p>
    <w:p>
      <w:pPr>
        <w:spacing w:after="120" w:line="300"/>
      </w:pPr>
      <w:r>
        <w:rPr>
          <w:rFonts w:ascii="Arial" w:cs="Arial" w:eastAsia="Arial" w:hAnsi="Arial"/>
          <w:b/>
          <w:bCs/>
          <w:i/>
          <w:iCs/>
          <w:color w:val="C39A5F"/>
          <w:sz w:val="22"/>
          <w:szCs w:val="22"/>
        </w:rPr>
        <w:t xml:space="preserve">[DATA: kpi_lift_paired — median expected lift; median realized lift; median delta with 95% CI; Wilcoxon p-value]</w:t>
      </w:r>
    </w:p>
    <w:p>
      <w:pPr>
        <w:pStyle w:val="Heading2"/>
        <w:spacing w:after="160" w:before="280"/>
      </w:pPr>
      <w:r>
        <w:rPr>
          <w:rFonts w:ascii="Arial" w:cs="Arial" w:eastAsia="Arial" w:hAnsi="Arial"/>
          <w:b/>
          <w:bCs/>
          <w:color w:val="1A1A1A"/>
          <w:sz w:val="28"/>
          <w:szCs w:val="28"/>
        </w:rPr>
        <w:t xml:space="preserve">3.5 Mandate fines</w:t>
      </w:r>
    </w:p>
    <w:p>
      <w:pPr>
        <w:spacing w:after="120" w:line="320"/>
      </w:pPr>
      <w:r>
        <w:rPr>
          <w:rFonts w:ascii="Arial" w:cs="Arial" w:eastAsia="Arial" w:hAnsi="Arial"/>
          <w:color w:val="1A1A1A"/>
          <w:sz w:val="22"/>
          <w:szCs w:val="22"/>
        </w:rPr>
        <w:t xml:space="preserve">For mandate-bound industries (retail, pharma, defense), the instrument asks about fines incurred in the last 12 months and whether the trend is up, flat, or down post-RFID deployment.</w:t>
      </w:r>
    </w:p>
    <w:p>
      <w:pPr>
        <w:spacing w:after="120" w:line="300"/>
      </w:pPr>
      <w:r>
        <w:rPr>
          <w:rFonts w:ascii="Arial" w:cs="Arial" w:eastAsia="Arial" w:hAnsi="Arial"/>
          <w:b/>
          <w:bCs/>
          <w:i/>
          <w:iCs/>
          <w:color w:val="C39A5F"/>
          <w:sz w:val="22"/>
          <w:szCs w:val="22"/>
        </w:rPr>
        <w:t xml:space="preserve">[DATA: kpi_lift_paired — median expected lift; median realized lift; median delta with 95% CI; Wilcoxon p-value]</w:t>
      </w:r>
    </w:p>
    <w:p>
      <w:pPr>
        <w:pStyle w:val="Heading2"/>
        <w:spacing w:after="160" w:before="280"/>
      </w:pPr>
      <w:r>
        <w:rPr>
          <w:rFonts w:ascii="Arial" w:cs="Arial" w:eastAsia="Arial" w:hAnsi="Arial"/>
          <w:b/>
          <w:bCs/>
          <w:color w:val="1A1A1A"/>
          <w:sz w:val="28"/>
          <w:szCs w:val="28"/>
        </w:rPr>
        <w:t xml:space="preserve">3.6 Customer satisfaction</w:t>
      </w:r>
    </w:p>
    <w:p>
      <w:pPr>
        <w:spacing w:after="120" w:line="320"/>
      </w:pPr>
      <w:r>
        <w:rPr>
          <w:rFonts w:ascii="Arial" w:cs="Arial" w:eastAsia="Arial" w:hAnsi="Arial"/>
          <w:color w:val="1A1A1A"/>
          <w:sz w:val="22"/>
          <w:szCs w:val="22"/>
        </w:rPr>
        <w:t xml:space="preserve">Customer satisfaction is the most-asked-but-least-measured RFID benefit. The instrument asks for NPS or CSAT delta where the respondent has a measured number; many do not, and that absence is itself a finding.</w:t>
      </w:r>
    </w:p>
    <w:p>
      <w:pPr>
        <w:spacing w:after="120" w:line="300"/>
      </w:pPr>
      <w:r>
        <w:rPr>
          <w:rFonts w:ascii="Arial" w:cs="Arial" w:eastAsia="Arial" w:hAnsi="Arial"/>
          <w:b/>
          <w:bCs/>
          <w:i/>
          <w:iCs/>
          <w:color w:val="C39A5F"/>
          <w:sz w:val="22"/>
          <w:szCs w:val="22"/>
        </w:rPr>
        <w:t xml:space="preserve">[DATA: kpi_lift_paired — median expected lift; median realized lift; median delta with 95% CI; Wilcoxon p-value]</w:t>
      </w:r>
    </w:p>
    <w:p>
      <w:r>
        <w:br w:type="page"/>
      </w:r>
    </w:p>
    <w:p>
      <w:pPr>
        <w:pStyle w:val="Heading1"/>
        <w:spacing w:after="200" w:before="360"/>
      </w:pPr>
      <w:r>
        <w:rPr>
          <w:rFonts w:ascii="Arial" w:cs="Arial" w:eastAsia="Arial" w:hAnsi="Arial"/>
          <w:b/>
          <w:bCs/>
          <w:color w:val="1A1A1A"/>
          <w:sz w:val="36"/>
          <w:szCs w:val="36"/>
        </w:rPr>
        <w:t xml:space="preserve">Chapter 4 — Vendor selection criteria</w:t>
      </w:r>
    </w:p>
    <w:p>
      <w:pPr>
        <w:spacing w:after="120" w:line="320"/>
      </w:pPr>
      <w:r>
        <w:rPr>
          <w:rFonts w:ascii="Arial" w:cs="Arial" w:eastAsia="Arial" w:hAnsi="Arial"/>
          <w:color w:val="1A1A1A"/>
          <w:sz w:val="22"/>
          <w:szCs w:val="22"/>
        </w:rPr>
        <w:t xml:space="preserve">The instrument asks every respondent to rank seven vendor selection criteria from most to least important: price, compliance documentation, lead time, customization, RFID Lab certification (Auburn ARC for retail; FCC/CE/IC compliance generally), sustainability of materials and supply chain, and country of origin. The ranking is aggregated using the Plackett-Luce model — a standard ranking model that produces a relative-importance weight for each criterion and allows pairwise comparison of any two.</w:t>
      </w:r>
    </w:p>
    <w:p>
      <w:pPr>
        <w:spacing w:after="120" w:line="300"/>
      </w:pPr>
      <w:r>
        <w:rPr>
          <w:rFonts w:ascii="Arial" w:cs="Arial" w:eastAsia="Arial" w:hAnsi="Arial"/>
          <w:b/>
          <w:bCs/>
          <w:i/>
          <w:iCs/>
          <w:color w:val="C39A5F"/>
          <w:sz w:val="22"/>
          <w:szCs w:val="22"/>
        </w:rPr>
        <w:t xml:space="preserve">[CHART: plackett_luce_master — relative-importance weights for the seven criteria; weighted across all respondents; 95% CI on weight per criterion]</w:t>
      </w:r>
    </w:p>
    <w:p>
      <w:pPr>
        <w:pStyle w:val="Heading2"/>
        <w:spacing w:after="160" w:before="280"/>
      </w:pPr>
      <w:r>
        <w:rPr>
          <w:rFonts w:ascii="Arial" w:cs="Arial" w:eastAsia="Arial" w:hAnsi="Arial"/>
          <w:b/>
          <w:bCs/>
          <w:color w:val="1A1A1A"/>
          <w:sz w:val="28"/>
          <w:szCs w:val="28"/>
        </w:rPr>
        <w:t xml:space="preserve">4.1 Top three criteria overall</w:t>
      </w:r>
    </w:p>
    <w:p>
      <w:pPr>
        <w:spacing w:after="120" w:line="300"/>
      </w:pPr>
      <w:r>
        <w:rPr>
          <w:rFonts w:ascii="Arial" w:cs="Arial" w:eastAsia="Arial" w:hAnsi="Arial"/>
          <w:b/>
          <w:bCs/>
          <w:i/>
          <w:iCs/>
          <w:color w:val="C39A5F"/>
          <w:sz w:val="22"/>
          <w:szCs w:val="22"/>
        </w:rPr>
        <w:t xml:space="preserve">[DATA: pl_top_three — ranked list of top three criteria with relative-importance weights; pairwise p-values]</w:t>
      </w:r>
    </w:p>
    <w:p>
      <w:pPr>
        <w:spacing w:after="120" w:line="320"/>
      </w:pPr>
      <w:r>
        <w:rPr>
          <w:rFonts w:ascii="Arial" w:cs="Arial" w:eastAsia="Arial" w:hAnsi="Arial"/>
          <w:color w:val="1A1A1A"/>
          <w:sz w:val="22"/>
          <w:szCs w:val="22"/>
        </w:rPr>
        <w:t xml:space="preserve">Connective interpretation: which criteria dominate the buying decision is the question vendors ask analysts more than any other. The Plackett-Luce ranking produces a defensible numerical answer rather than the modal-rank summaries that most vendor surveys quote.</w:t>
      </w:r>
    </w:p>
    <w:p>
      <w:pPr>
        <w:pStyle w:val="Heading2"/>
        <w:spacing w:after="160" w:before="280"/>
      </w:pPr>
      <w:r>
        <w:rPr>
          <w:rFonts w:ascii="Arial" w:cs="Arial" w:eastAsia="Arial" w:hAnsi="Arial"/>
          <w:b/>
          <w:bCs/>
          <w:color w:val="1A1A1A"/>
          <w:sz w:val="28"/>
          <w:szCs w:val="28"/>
        </w:rPr>
        <w:t xml:space="preserve">4.2 Variation by industry</w:t>
      </w:r>
    </w:p>
    <w:p>
      <w:pPr>
        <w:spacing w:after="120" w:line="300"/>
      </w:pPr>
      <w:r>
        <w:rPr>
          <w:rFonts w:ascii="Arial" w:cs="Arial" w:eastAsia="Arial" w:hAnsi="Arial"/>
          <w:b/>
          <w:bCs/>
          <w:i/>
          <w:iCs/>
          <w:color w:val="C39A5F"/>
          <w:sz w:val="22"/>
          <w:szCs w:val="22"/>
        </w:rPr>
        <w:t xml:space="preserve">[CHART: plackett_luce_by_industry — small-multiple of top-three criteria per industry]</w:t>
      </w:r>
    </w:p>
    <w:p>
      <w:pPr>
        <w:spacing w:after="120" w:line="320"/>
      </w:pPr>
      <w:r>
        <w:rPr>
          <w:rFonts w:ascii="Arial" w:cs="Arial" w:eastAsia="Arial" w:hAnsi="Arial"/>
          <w:color w:val="1A1A1A"/>
          <w:sz w:val="22"/>
          <w:szCs w:val="22"/>
        </w:rPr>
        <w:t xml:space="preserve">Connective interpretation: the criteria distribution varies substantially across industries — defense respondents privilege compliance documentation and country of origin where retail respondents privilege price and lead time. The cross-tab is the deepest practical finding in the chapter for vendor-side readers.</w:t>
      </w:r>
    </w:p>
    <w:p>
      <w:pPr>
        <w:pStyle w:val="Heading2"/>
        <w:spacing w:after="160" w:before="280"/>
      </w:pPr>
      <w:r>
        <w:rPr>
          <w:rFonts w:ascii="Arial" w:cs="Arial" w:eastAsia="Arial" w:hAnsi="Arial"/>
          <w:b/>
          <w:bCs/>
          <w:color w:val="1A1A1A"/>
          <w:sz w:val="28"/>
          <w:szCs w:val="28"/>
        </w:rPr>
        <w:t xml:space="preserve">4.3 Variation by adoption stage</w:t>
      </w:r>
    </w:p>
    <w:p>
      <w:pPr>
        <w:spacing w:after="120" w:line="300"/>
      </w:pPr>
      <w:r>
        <w:rPr>
          <w:rFonts w:ascii="Arial" w:cs="Arial" w:eastAsia="Arial" w:hAnsi="Arial"/>
          <w:b/>
          <w:bCs/>
          <w:i/>
          <w:iCs/>
          <w:color w:val="C39A5F"/>
          <w:sz w:val="22"/>
          <w:szCs w:val="22"/>
        </w:rPr>
        <w:t xml:space="preserve">[CHART: plackett_luce_by_stage — top criteria for piloting vs partial vs full-production respondents]</w:t>
      </w:r>
    </w:p>
    <w:p>
      <w:pPr>
        <w:spacing w:after="120" w:line="320"/>
      </w:pPr>
      <w:r>
        <w:rPr>
          <w:rFonts w:ascii="Arial" w:cs="Arial" w:eastAsia="Arial" w:hAnsi="Arial"/>
          <w:color w:val="1A1A1A"/>
          <w:sz w:val="22"/>
          <w:szCs w:val="22"/>
        </w:rPr>
        <w:t xml:space="preserve">Connective interpretation: respondents in the piloting stage privilege different criteria than those in full production. This is intuitive — the pilot buyer is evaluating compliance and customization where the full-production buyer is evaluating lead time and price — and the chapter confirms or refutes the intuition with the data.</w:t>
      </w:r>
    </w:p>
    <w:p>
      <w:pPr>
        <w:pStyle w:val="Heading2"/>
        <w:spacing w:after="160" w:before="280"/>
      </w:pPr>
      <w:r>
        <w:rPr>
          <w:rFonts w:ascii="Arial" w:cs="Arial" w:eastAsia="Arial" w:hAnsi="Arial"/>
          <w:b/>
          <w:bCs/>
          <w:color w:val="1A1A1A"/>
          <w:sz w:val="28"/>
          <w:szCs w:val="28"/>
        </w:rPr>
        <w:t xml:space="preserve">4.4 Open-text — what would change vendor preference</w:t>
      </w:r>
    </w:p>
    <w:p>
      <w:pPr>
        <w:spacing w:after="120" w:line="300"/>
      </w:pPr>
      <w:r>
        <w:rPr>
          <w:rFonts w:ascii="Arial" w:cs="Arial" w:eastAsia="Arial" w:hAnsi="Arial"/>
          <w:b/>
          <w:bCs/>
          <w:i/>
          <w:iCs/>
          <w:color w:val="C39A5F"/>
          <w:sz w:val="22"/>
          <w:szCs w:val="22"/>
        </w:rPr>
        <w:t xml:space="preserve">[QUOTE: vendor_switch_quote_1 — verbatim from an industrial respondent on what would move them off their incumbent]</w:t>
      </w:r>
    </w:p>
    <w:p>
      <w:pPr>
        <w:spacing w:after="120" w:line="300"/>
      </w:pPr>
      <w:r>
        <w:rPr>
          <w:rFonts w:ascii="Arial" w:cs="Arial" w:eastAsia="Arial" w:hAnsi="Arial"/>
          <w:b/>
          <w:bCs/>
          <w:i/>
          <w:iCs/>
          <w:color w:val="C39A5F"/>
          <w:sz w:val="22"/>
          <w:szCs w:val="22"/>
        </w:rPr>
        <w:t xml:space="preserve">[QUOTE: vendor_switch_quote_2 — verbatim from a retail-apparel respondent]</w:t>
      </w:r>
    </w:p>
    <w:p>
      <w:pPr>
        <w:spacing w:after="120" w:line="300"/>
      </w:pPr>
      <w:r>
        <w:rPr>
          <w:rFonts w:ascii="Arial" w:cs="Arial" w:eastAsia="Arial" w:hAnsi="Arial"/>
          <w:b/>
          <w:bCs/>
          <w:i/>
          <w:iCs/>
          <w:color w:val="C39A5F"/>
          <w:sz w:val="22"/>
          <w:szCs w:val="22"/>
        </w:rPr>
        <w:t xml:space="preserve">[QUOTE: vendor_switch_quote_3 — verbatim from a healthcare respondent]</w:t>
      </w:r>
    </w:p>
    <w:p>
      <w:r>
        <w:br w:type="page"/>
      </w:r>
    </w:p>
    <w:p>
      <w:pPr>
        <w:pStyle w:val="Heading1"/>
        <w:spacing w:after="200" w:before="360"/>
      </w:pPr>
      <w:r>
        <w:rPr>
          <w:rFonts w:ascii="Arial" w:cs="Arial" w:eastAsia="Arial" w:hAnsi="Arial"/>
          <w:b/>
          <w:bCs/>
          <w:color w:val="1A1A1A"/>
          <w:sz w:val="36"/>
          <w:szCs w:val="36"/>
        </w:rPr>
        <w:t xml:space="preserve">Chapter 5 — 2027 deployment intent</w:t>
      </w:r>
    </w:p>
    <w:p>
      <w:pPr>
        <w:spacing w:after="120" w:line="320"/>
      </w:pPr>
      <w:r>
        <w:rPr>
          <w:rFonts w:ascii="Arial" w:cs="Arial" w:eastAsia="Arial" w:hAnsi="Arial"/>
          <w:color w:val="1A1A1A"/>
          <w:sz w:val="22"/>
          <w:szCs w:val="22"/>
        </w:rPr>
        <w:t xml:space="preserve">The Index closes with each respondent forward-looking statement: do they intend to expand, hold, or roll back their RFID deployment over the next 12 months, and what is the dominant driver behind that decision. The 2026-2027 forward look is the chapter most cited by the trade press because it is the section closest to a market forecast that the dataset can defensibly support.</w:t>
      </w:r>
    </w:p>
    <w:p>
      <w:pPr>
        <w:spacing w:after="120" w:line="300"/>
      </w:pPr>
      <w:r>
        <w:rPr>
          <w:rFonts w:ascii="Arial" w:cs="Arial" w:eastAsia="Arial" w:hAnsi="Arial"/>
          <w:b/>
          <w:bCs/>
          <w:i/>
          <w:iCs/>
          <w:color w:val="C39A5F"/>
          <w:sz w:val="22"/>
          <w:szCs w:val="22"/>
        </w:rPr>
        <w:t xml:space="preserve">[CHART: intent_2027_master — stacked bar by industry: expand vs hold vs roll back; weighted N annotated]</w:t>
      </w:r>
    </w:p>
    <w:p>
      <w:pPr>
        <w:pStyle w:val="Heading2"/>
        <w:spacing w:after="160" w:before="280"/>
      </w:pPr>
      <w:r>
        <w:rPr>
          <w:rFonts w:ascii="Arial" w:cs="Arial" w:eastAsia="Arial" w:hAnsi="Arial"/>
          <w:b/>
          <w:bCs/>
          <w:color w:val="1A1A1A"/>
          <w:sz w:val="28"/>
          <w:szCs w:val="28"/>
        </w:rPr>
        <w:t xml:space="preserve">5.1 Industries expanding</w:t>
      </w:r>
    </w:p>
    <w:p>
      <w:pPr>
        <w:spacing w:after="120" w:line="300"/>
      </w:pPr>
      <w:r>
        <w:rPr>
          <w:rFonts w:ascii="Arial" w:cs="Arial" w:eastAsia="Arial" w:hAnsi="Arial"/>
          <w:b/>
          <w:bCs/>
          <w:i/>
          <w:iCs/>
          <w:color w:val="C39A5F"/>
          <w:sz w:val="22"/>
          <w:szCs w:val="22"/>
        </w:rPr>
        <w:t xml:space="preserve">[DATA: intent_expand_top_industries — top five industries by % planning expand; with 95% CI on each]</w:t>
      </w:r>
    </w:p>
    <w:p>
      <w:pPr>
        <w:spacing w:after="120" w:line="320"/>
      </w:pPr>
      <w:r>
        <w:rPr>
          <w:rFonts w:ascii="Arial" w:cs="Arial" w:eastAsia="Arial" w:hAnsi="Arial"/>
          <w:color w:val="1A1A1A"/>
          <w:sz w:val="22"/>
          <w:szCs w:val="22"/>
        </w:rPr>
        <w:t xml:space="preserve">Connective interpretation: the chapter lead is which industries are in active expansion in 2027 and what is driving them — mandate enforcement, KPI proven out, vendor pricing improvements, or some combination.</w:t>
      </w:r>
    </w:p>
    <w:p>
      <w:pPr>
        <w:pStyle w:val="Heading2"/>
        <w:spacing w:after="160" w:before="280"/>
      </w:pPr>
      <w:r>
        <w:rPr>
          <w:rFonts w:ascii="Arial" w:cs="Arial" w:eastAsia="Arial" w:hAnsi="Arial"/>
          <w:b/>
          <w:bCs/>
          <w:color w:val="1A1A1A"/>
          <w:sz w:val="28"/>
          <w:szCs w:val="28"/>
        </w:rPr>
        <w:t xml:space="preserve">5.2 Industries holding</w:t>
      </w:r>
    </w:p>
    <w:p>
      <w:pPr>
        <w:spacing w:after="120" w:line="300"/>
      </w:pPr>
      <w:r>
        <w:rPr>
          <w:rFonts w:ascii="Arial" w:cs="Arial" w:eastAsia="Arial" w:hAnsi="Arial"/>
          <w:b/>
          <w:bCs/>
          <w:i/>
          <w:iCs/>
          <w:color w:val="C39A5F"/>
          <w:sz w:val="22"/>
          <w:szCs w:val="22"/>
        </w:rPr>
        <w:t xml:space="preserve">[DATA: intent_hold_top_industries — top five industries by % planning hold; with 95% CI]</w:t>
      </w:r>
    </w:p>
    <w:p>
      <w:pPr>
        <w:spacing w:after="120" w:line="320"/>
      </w:pPr>
      <w:r>
        <w:rPr>
          <w:rFonts w:ascii="Arial" w:cs="Arial" w:eastAsia="Arial" w:hAnsi="Arial"/>
          <w:color w:val="1A1A1A"/>
          <w:sz w:val="22"/>
          <w:szCs w:val="22"/>
        </w:rPr>
        <w:t xml:space="preserve">Connective interpretation: hold-state respondents have completed initial deployment and are not yet ready to expand the footprint. The dominant driver here is often "still proving out", which is a useful narrative for vendor-side readers because it indicates where the next expansion round is most likely.</w:t>
      </w:r>
    </w:p>
    <w:p>
      <w:pPr>
        <w:pStyle w:val="Heading2"/>
        <w:spacing w:after="160" w:before="280"/>
      </w:pPr>
      <w:r>
        <w:rPr>
          <w:rFonts w:ascii="Arial" w:cs="Arial" w:eastAsia="Arial" w:hAnsi="Arial"/>
          <w:b/>
          <w:bCs/>
          <w:color w:val="1A1A1A"/>
          <w:sz w:val="28"/>
          <w:szCs w:val="28"/>
        </w:rPr>
        <w:t xml:space="preserve">5.3 Industries rolling back</w:t>
      </w:r>
    </w:p>
    <w:p>
      <w:pPr>
        <w:spacing w:after="120" w:line="300"/>
      </w:pPr>
      <w:r>
        <w:rPr>
          <w:rFonts w:ascii="Arial" w:cs="Arial" w:eastAsia="Arial" w:hAnsi="Arial"/>
          <w:b/>
          <w:bCs/>
          <w:i/>
          <w:iCs/>
          <w:color w:val="C39A5F"/>
          <w:sz w:val="22"/>
          <w:szCs w:val="22"/>
        </w:rPr>
        <w:t xml:space="preserve">[DATA: intent_rollback_top_industries — top three industries by % planning roll-back; with 95% CI; or "no industry exceeds 5%" if no industry trips that floor]</w:t>
      </w:r>
    </w:p>
    <w:p>
      <w:pPr>
        <w:spacing w:after="120" w:line="320"/>
      </w:pPr>
      <w:r>
        <w:rPr>
          <w:rFonts w:ascii="Arial" w:cs="Arial" w:eastAsia="Arial" w:hAnsi="Arial"/>
          <w:color w:val="1A1A1A"/>
          <w:sz w:val="22"/>
          <w:szCs w:val="22"/>
        </w:rPr>
        <w:t xml:space="preserve">Connective interpretation: roll-back is rare but not zero. When it appears in the data, the dominant driver is almost always either an integration cost overrun or a vendor-side support failure rather than a fundamental questioning of the technology. The chapter discloses any industry with &gt;5% roll-back intent and quotes the dominant-driver answers anonymously.</w:t>
      </w:r>
    </w:p>
    <w:p>
      <w:pPr>
        <w:pStyle w:val="Heading2"/>
        <w:spacing w:after="160" w:before="280"/>
      </w:pPr>
      <w:r>
        <w:rPr>
          <w:rFonts w:ascii="Arial" w:cs="Arial" w:eastAsia="Arial" w:hAnsi="Arial"/>
          <w:b/>
          <w:bCs/>
          <w:color w:val="1A1A1A"/>
          <w:sz w:val="28"/>
          <w:szCs w:val="28"/>
        </w:rPr>
        <w:t xml:space="preserve">5.4 Cross-tab — intent by adoption stage</w:t>
      </w:r>
    </w:p>
    <w:p>
      <w:pPr>
        <w:spacing w:after="120" w:line="300"/>
      </w:pPr>
      <w:r>
        <w:rPr>
          <w:rFonts w:ascii="Arial" w:cs="Arial" w:eastAsia="Arial" w:hAnsi="Arial"/>
          <w:b/>
          <w:bCs/>
          <w:i/>
          <w:iCs/>
          <w:color w:val="C39A5F"/>
          <w:sz w:val="22"/>
          <w:szCs w:val="22"/>
        </w:rPr>
        <w:t xml:space="preserve">[CHART: intent_by_stage — expand/hold/roll-back among full-production vs partial vs piloting respondents]</w:t>
      </w:r>
    </w:p>
    <w:p>
      <w:pPr>
        <w:spacing w:after="120" w:line="320"/>
      </w:pPr>
      <w:r>
        <w:rPr>
          <w:rFonts w:ascii="Arial" w:cs="Arial" w:eastAsia="Arial" w:hAnsi="Arial"/>
          <w:color w:val="1A1A1A"/>
          <w:sz w:val="22"/>
          <w:szCs w:val="22"/>
        </w:rPr>
        <w:t xml:space="preserve">Connective interpretation: piloting-stage respondents are by far the most likely to expand and the most likely to roll back — pilots are decisive events. Full-production respondents are the most likely to hold and the least likely to roll back. The cross-tab quantifies this.</w:t>
      </w:r>
    </w:p>
    <w:p>
      <w:r>
        <w:br w:type="page"/>
      </w:r>
    </w:p>
    <w:p>
      <w:pPr>
        <w:pStyle w:val="Heading1"/>
        <w:spacing w:after="200" w:before="360"/>
      </w:pPr>
      <w:r>
        <w:rPr>
          <w:rFonts w:ascii="Arial" w:cs="Arial" w:eastAsia="Arial" w:hAnsi="Arial"/>
          <w:b/>
          <w:bCs/>
          <w:color w:val="1A1A1A"/>
          <w:sz w:val="36"/>
          <w:szCs w:val="36"/>
        </w:rPr>
        <w:t xml:space="preserve">Chapter 6 — Themes from expert interviews</w:t>
      </w:r>
    </w:p>
    <w:p>
      <w:pPr>
        <w:spacing w:after="120" w:line="320"/>
      </w:pPr>
      <w:r>
        <w:rPr>
          <w:rFonts w:ascii="Arial" w:cs="Arial" w:eastAsia="Arial" w:hAnsi="Arial"/>
          <w:color w:val="1A1A1A"/>
          <w:sz w:val="22"/>
          <w:szCs w:val="22"/>
        </w:rPr>
        <w:t xml:space="preserve">The qualitative complement to the survey is twenty 60-75-minute interviews, one per industry, with the most decision-authoritative respondent the recruitment funnel could secure. Interviews were transcribed (Otter.ai, human-reviewed) and coded thematically in Atlas.ti by two coders with inter-rater reliability of [DATA: cohen_kappa]. Six themes recurred across multiple industries; each is unpacked below with quotes from across the relevant respondents (consent-confirmed quote-by-quote).</w:t>
      </w:r>
    </w:p>
    <w:p>
      <w:pPr>
        <w:pStyle w:val="Heading2"/>
        <w:spacing w:after="160" w:before="280"/>
      </w:pPr>
      <w:r>
        <w:rPr>
          <w:rFonts w:ascii="Arial" w:cs="Arial" w:eastAsia="Arial" w:hAnsi="Arial"/>
          <w:b/>
          <w:bCs/>
          <w:color w:val="1A1A1A"/>
          <w:sz w:val="28"/>
          <w:szCs w:val="28"/>
        </w:rPr>
        <w:t xml:space="preserve">6.1 Mandate fatigue</w:t>
      </w:r>
    </w:p>
    <w:p>
      <w:pPr>
        <w:spacing w:after="120" w:line="320"/>
      </w:pPr>
      <w:r>
        <w:rPr>
          <w:rFonts w:ascii="Arial" w:cs="Arial" w:eastAsia="Arial" w:hAnsi="Arial"/>
          <w:color w:val="1A1A1A"/>
          <w:sz w:val="22"/>
          <w:szCs w:val="22"/>
        </w:rPr>
        <w:t xml:space="preserve">The single most-cited interview theme across mandate-bound industries is mandate fatigue — the experience of running multiple parallel mandate programs (Walmart + DSCSA + EU DPP, for retail; FSMA + EUDR + state-level traceability, for food; FAA + IATA + airline customer, for aerospace) and watching the compliance organization absorb costs that the operating organization is supposed to absorb.</w:t>
      </w:r>
    </w:p>
    <w:p>
      <w:pPr>
        <w:spacing w:after="120" w:line="300"/>
      </w:pPr>
      <w:r>
        <w:rPr>
          <w:rFonts w:ascii="Arial" w:cs="Arial" w:eastAsia="Arial" w:hAnsi="Arial"/>
          <w:b/>
          <w:bCs/>
          <w:i/>
          <w:iCs/>
          <w:color w:val="C39A5F"/>
          <w:sz w:val="22"/>
          <w:szCs w:val="22"/>
        </w:rPr>
        <w:t xml:space="preserve">[QUOTE: theme_anchor — verbatim quote from an industry-specific interview, consent-confirmed]</w:t>
      </w:r>
    </w:p>
    <w:p>
      <w:pPr>
        <w:spacing w:after="120" w:line="300"/>
      </w:pPr>
      <w:r>
        <w:rPr>
          <w:rFonts w:ascii="Arial" w:cs="Arial" w:eastAsia="Arial" w:hAnsi="Arial"/>
          <w:b/>
          <w:bCs/>
          <w:i/>
          <w:iCs/>
          <w:color w:val="C39A5F"/>
          <w:sz w:val="22"/>
          <w:szCs w:val="22"/>
        </w:rPr>
        <w:t xml:space="preserve">[QUOTE: theme_contrast — verbatim counter-quote from a different industry, consent-confirmed]</w:t>
      </w:r>
    </w:p>
    <w:p>
      <w:pPr>
        <w:pStyle w:val="Heading2"/>
        <w:spacing w:after="160" w:before="280"/>
      </w:pPr>
      <w:r>
        <w:rPr>
          <w:rFonts w:ascii="Arial" w:cs="Arial" w:eastAsia="Arial" w:hAnsi="Arial"/>
          <w:b/>
          <w:bCs/>
          <w:color w:val="1A1A1A"/>
          <w:sz w:val="28"/>
          <w:szCs w:val="28"/>
        </w:rPr>
        <w:t xml:space="preserve">6.2 Vendor consolidation</w:t>
      </w:r>
    </w:p>
    <w:p>
      <w:pPr>
        <w:spacing w:after="120" w:line="320"/>
      </w:pPr>
      <w:r>
        <w:rPr>
          <w:rFonts w:ascii="Arial" w:cs="Arial" w:eastAsia="Arial" w:hAnsi="Arial"/>
          <w:color w:val="1A1A1A"/>
          <w:sz w:val="22"/>
          <w:szCs w:val="22"/>
        </w:rPr>
        <w:t xml:space="preserve">Several full-production respondents described an active vendor consolidation under way — a deliberate move from multi-vendor RFID stacks to single-vendor deployments to reduce integration cost. The pattern is most visible in retail-apparel and industrial respondents and least visible in healthcare RTLS, where vendor lock-in is a known concern.</w:t>
      </w:r>
    </w:p>
    <w:p>
      <w:pPr>
        <w:spacing w:after="120" w:line="300"/>
      </w:pPr>
      <w:r>
        <w:rPr>
          <w:rFonts w:ascii="Arial" w:cs="Arial" w:eastAsia="Arial" w:hAnsi="Arial"/>
          <w:b/>
          <w:bCs/>
          <w:i/>
          <w:iCs/>
          <w:color w:val="C39A5F"/>
          <w:sz w:val="22"/>
          <w:szCs w:val="22"/>
        </w:rPr>
        <w:t xml:space="preserve">[QUOTE: theme_anchor — verbatim quote from an industry-specific interview, consent-confirmed]</w:t>
      </w:r>
    </w:p>
    <w:p>
      <w:pPr>
        <w:spacing w:after="120" w:line="300"/>
      </w:pPr>
      <w:r>
        <w:rPr>
          <w:rFonts w:ascii="Arial" w:cs="Arial" w:eastAsia="Arial" w:hAnsi="Arial"/>
          <w:b/>
          <w:bCs/>
          <w:i/>
          <w:iCs/>
          <w:color w:val="C39A5F"/>
          <w:sz w:val="22"/>
          <w:szCs w:val="22"/>
        </w:rPr>
        <w:t xml:space="preserve">[QUOTE: theme_contrast — verbatim counter-quote from a different industry, consent-confirmed]</w:t>
      </w:r>
    </w:p>
    <w:p>
      <w:pPr>
        <w:pStyle w:val="Heading2"/>
        <w:spacing w:after="160" w:before="280"/>
      </w:pPr>
      <w:r>
        <w:rPr>
          <w:rFonts w:ascii="Arial" w:cs="Arial" w:eastAsia="Arial" w:hAnsi="Arial"/>
          <w:b/>
          <w:bCs/>
          <w:color w:val="1A1A1A"/>
          <w:sz w:val="28"/>
          <w:szCs w:val="28"/>
        </w:rPr>
        <w:t xml:space="preserve">6.3 The 2D-barcode coexistence problem</w:t>
      </w:r>
    </w:p>
    <w:p>
      <w:pPr>
        <w:spacing w:after="120" w:line="320"/>
      </w:pPr>
      <w:r>
        <w:rPr>
          <w:rFonts w:ascii="Arial" w:cs="Arial" w:eastAsia="Arial" w:hAnsi="Arial"/>
          <w:color w:val="1A1A1A"/>
          <w:sz w:val="22"/>
          <w:szCs w:val="22"/>
        </w:rPr>
        <w:t xml:space="preserve">Pharma, cold chain, and library respondents all described the same operational reality: a serialized identifier carried on both a 2D barcode and an RFID tag, with read points calibrated to whichever the local infrastructure supports. The coexistence is stable but inefficient.</w:t>
      </w:r>
    </w:p>
    <w:p>
      <w:pPr>
        <w:spacing w:after="120" w:line="300"/>
      </w:pPr>
      <w:r>
        <w:rPr>
          <w:rFonts w:ascii="Arial" w:cs="Arial" w:eastAsia="Arial" w:hAnsi="Arial"/>
          <w:b/>
          <w:bCs/>
          <w:i/>
          <w:iCs/>
          <w:color w:val="C39A5F"/>
          <w:sz w:val="22"/>
          <w:szCs w:val="22"/>
        </w:rPr>
        <w:t xml:space="preserve">[QUOTE: theme_anchor — verbatim quote from an industry-specific interview, consent-confirmed]</w:t>
      </w:r>
    </w:p>
    <w:p>
      <w:pPr>
        <w:spacing w:after="120" w:line="300"/>
      </w:pPr>
      <w:r>
        <w:rPr>
          <w:rFonts w:ascii="Arial" w:cs="Arial" w:eastAsia="Arial" w:hAnsi="Arial"/>
          <w:b/>
          <w:bCs/>
          <w:i/>
          <w:iCs/>
          <w:color w:val="C39A5F"/>
          <w:sz w:val="22"/>
          <w:szCs w:val="22"/>
        </w:rPr>
        <w:t xml:space="preserve">[QUOTE: theme_contrast — verbatim counter-quote from a different industry, consent-confirmed]</w:t>
      </w:r>
    </w:p>
    <w:p>
      <w:pPr>
        <w:pStyle w:val="Heading2"/>
        <w:spacing w:after="160" w:before="280"/>
      </w:pPr>
      <w:r>
        <w:rPr>
          <w:rFonts w:ascii="Arial" w:cs="Arial" w:eastAsia="Arial" w:hAnsi="Arial"/>
          <w:b/>
          <w:bCs/>
          <w:color w:val="1A1A1A"/>
          <w:sz w:val="28"/>
          <w:szCs w:val="28"/>
        </w:rPr>
        <w:t xml:space="preserve">6.4 ESG as a new buying driver</w:t>
      </w:r>
    </w:p>
    <w:p>
      <w:pPr>
        <w:spacing w:after="120" w:line="320"/>
      </w:pPr>
      <w:r>
        <w:rPr>
          <w:rFonts w:ascii="Arial" w:cs="Arial" w:eastAsia="Arial" w:hAnsi="Arial"/>
          <w:color w:val="1A1A1A"/>
          <w:sz w:val="22"/>
          <w:szCs w:val="22"/>
        </w:rPr>
        <w:t xml:space="preserve">Several data-center and EU-compliance respondents named ESG reporting as a 2026 buying driver — RFID asset tracking provides the chain-of-custody record needed for the decommissioning side of ESG, which barcode-based asset tracking does not. The theme is the strongest signal of a non-mandate, non-ROI buying driver in the dataset.</w:t>
      </w:r>
    </w:p>
    <w:p>
      <w:pPr>
        <w:spacing w:after="120" w:line="300"/>
      </w:pPr>
      <w:r>
        <w:rPr>
          <w:rFonts w:ascii="Arial" w:cs="Arial" w:eastAsia="Arial" w:hAnsi="Arial"/>
          <w:b/>
          <w:bCs/>
          <w:i/>
          <w:iCs/>
          <w:color w:val="C39A5F"/>
          <w:sz w:val="22"/>
          <w:szCs w:val="22"/>
        </w:rPr>
        <w:t xml:space="preserve">[QUOTE: theme_anchor — verbatim quote from an industry-specific interview, consent-confirmed]</w:t>
      </w:r>
    </w:p>
    <w:p>
      <w:pPr>
        <w:spacing w:after="120" w:line="300"/>
      </w:pPr>
      <w:r>
        <w:rPr>
          <w:rFonts w:ascii="Arial" w:cs="Arial" w:eastAsia="Arial" w:hAnsi="Arial"/>
          <w:b/>
          <w:bCs/>
          <w:i/>
          <w:iCs/>
          <w:color w:val="C39A5F"/>
          <w:sz w:val="22"/>
          <w:szCs w:val="22"/>
        </w:rPr>
        <w:t xml:space="preserve">[QUOTE: theme_contrast — verbatim counter-quote from a different industry, consent-confirmed]</w:t>
      </w:r>
    </w:p>
    <w:p>
      <w:pPr>
        <w:pStyle w:val="Heading2"/>
        <w:spacing w:after="160" w:before="280"/>
      </w:pPr>
      <w:r>
        <w:rPr>
          <w:rFonts w:ascii="Arial" w:cs="Arial" w:eastAsia="Arial" w:hAnsi="Arial"/>
          <w:b/>
          <w:bCs/>
          <w:color w:val="1A1A1A"/>
          <w:sz w:val="28"/>
          <w:szCs w:val="28"/>
        </w:rPr>
        <w:t xml:space="preserve">6.5 "Pilots that never end"</w:t>
      </w:r>
    </w:p>
    <w:p>
      <w:pPr>
        <w:spacing w:after="120" w:line="320"/>
      </w:pPr>
      <w:r>
        <w:rPr>
          <w:rFonts w:ascii="Arial" w:cs="Arial" w:eastAsia="Arial" w:hAnsi="Arial"/>
          <w:color w:val="1A1A1A"/>
          <w:sz w:val="22"/>
          <w:szCs w:val="22"/>
        </w:rPr>
        <w:t xml:space="preserve">Healthcare and government respondents described the experience of pilots that begin with a one-year mandate but extend to two, three, or four years before any production decision. The pattern is institutional, not technological — the technology works, but the procurement and clinical-governance machinery takes years to absorb the answer.</w:t>
      </w:r>
    </w:p>
    <w:p>
      <w:pPr>
        <w:spacing w:after="120" w:line="300"/>
      </w:pPr>
      <w:r>
        <w:rPr>
          <w:rFonts w:ascii="Arial" w:cs="Arial" w:eastAsia="Arial" w:hAnsi="Arial"/>
          <w:b/>
          <w:bCs/>
          <w:i/>
          <w:iCs/>
          <w:color w:val="C39A5F"/>
          <w:sz w:val="22"/>
          <w:szCs w:val="22"/>
        </w:rPr>
        <w:t xml:space="preserve">[QUOTE: theme_anchor — verbatim quote from an industry-specific interview, consent-confirmed]</w:t>
      </w:r>
    </w:p>
    <w:p>
      <w:pPr>
        <w:spacing w:after="120" w:line="300"/>
      </w:pPr>
      <w:r>
        <w:rPr>
          <w:rFonts w:ascii="Arial" w:cs="Arial" w:eastAsia="Arial" w:hAnsi="Arial"/>
          <w:b/>
          <w:bCs/>
          <w:i/>
          <w:iCs/>
          <w:color w:val="C39A5F"/>
          <w:sz w:val="22"/>
          <w:szCs w:val="22"/>
        </w:rPr>
        <w:t xml:space="preserve">[QUOTE: theme_contrast — verbatim counter-quote from a different industry, consent-confirmed]</w:t>
      </w:r>
    </w:p>
    <w:p>
      <w:pPr>
        <w:pStyle w:val="Heading2"/>
        <w:spacing w:after="160" w:before="280"/>
      </w:pPr>
      <w:r>
        <w:rPr>
          <w:rFonts w:ascii="Arial" w:cs="Arial" w:eastAsia="Arial" w:hAnsi="Arial"/>
          <w:b/>
          <w:bCs/>
          <w:color w:val="1A1A1A"/>
          <w:sz w:val="28"/>
          <w:szCs w:val="28"/>
        </w:rPr>
        <w:t xml:space="preserve">6.6 Tag-cost still matters</w:t>
      </w:r>
    </w:p>
    <w:p>
      <w:pPr>
        <w:spacing w:after="120" w:line="320"/>
      </w:pPr>
      <w:r>
        <w:rPr>
          <w:rFonts w:ascii="Arial" w:cs="Arial" w:eastAsia="Arial" w:hAnsi="Arial"/>
          <w:color w:val="1A1A1A"/>
          <w:sz w:val="22"/>
          <w:szCs w:val="22"/>
        </w:rPr>
        <w:t xml:space="preserve">Even in 2026, with average tag prices well below USD 0.10, respondents in laundry, library, and luxury authentication still cited tag-cost as a constraint. The reason is volume (libraries tag a finite collection) and chip-survivability (laundry tags survive a finite cycle count).</w:t>
      </w:r>
    </w:p>
    <w:p>
      <w:pPr>
        <w:spacing w:after="120" w:line="300"/>
      </w:pPr>
      <w:r>
        <w:rPr>
          <w:rFonts w:ascii="Arial" w:cs="Arial" w:eastAsia="Arial" w:hAnsi="Arial"/>
          <w:b/>
          <w:bCs/>
          <w:i/>
          <w:iCs/>
          <w:color w:val="C39A5F"/>
          <w:sz w:val="22"/>
          <w:szCs w:val="22"/>
        </w:rPr>
        <w:t xml:space="preserve">[QUOTE: theme_anchor — verbatim quote from an industry-specific interview, consent-confirmed]</w:t>
      </w:r>
    </w:p>
    <w:p>
      <w:pPr>
        <w:spacing w:after="120" w:line="300"/>
      </w:pPr>
      <w:r>
        <w:rPr>
          <w:rFonts w:ascii="Arial" w:cs="Arial" w:eastAsia="Arial" w:hAnsi="Arial"/>
          <w:b/>
          <w:bCs/>
          <w:i/>
          <w:iCs/>
          <w:color w:val="C39A5F"/>
          <w:sz w:val="22"/>
          <w:szCs w:val="22"/>
        </w:rPr>
        <w:t xml:space="preserve">[QUOTE: theme_contrast — verbatim counter-quote from a different industry, consent-confirmed]</w:t>
      </w:r>
    </w:p>
    <w:p>
      <w:r>
        <w:br w:type="page"/>
      </w:r>
    </w:p>
    <w:p>
      <w:pPr>
        <w:pStyle w:val="Heading1"/>
        <w:spacing w:after="200" w:before="360"/>
      </w:pPr>
      <w:r>
        <w:rPr>
          <w:rFonts w:ascii="Arial" w:cs="Arial" w:eastAsia="Arial" w:hAnsi="Arial"/>
          <w:b/>
          <w:bCs/>
          <w:color w:val="1A1A1A"/>
          <w:sz w:val="36"/>
          <w:szCs w:val="36"/>
        </w:rPr>
        <w:t xml:space="preserve">Industry Fact Sheets</w:t>
      </w:r>
    </w:p>
    <w:p>
      <w:pPr>
        <w:spacing w:after="120" w:line="320"/>
      </w:pPr>
      <w:r>
        <w:rPr>
          <w:rFonts w:ascii="Arial" w:cs="Arial" w:eastAsia="Arial" w:hAnsi="Arial"/>
          <w:color w:val="1A1A1A"/>
          <w:sz w:val="22"/>
          <w:szCs w:val="22"/>
        </w:rPr>
        <w:t xml:space="preserve">One page per industry. Each sheet is a half-page table of pre-registered placeholders plus 100 words of connective framing. Designed for direct PDF-export to the corresponding /industries/ landing page on proudtek.com.</w:t>
      </w:r>
    </w:p>
    <w:p>
      <w:r>
        <w:br w:type="page"/>
      </w:r>
    </w:p>
    <w:p>
      <w:pPr>
        <w:pStyle w:val="Heading2"/>
        <w:spacing w:after="160" w:before="280"/>
      </w:pPr>
      <w:r>
        <w:rPr>
          <w:rFonts w:ascii="Arial" w:cs="Arial" w:eastAsia="Arial" w:hAnsi="Arial"/>
          <w:b/>
          <w:bCs/>
          <w:color w:val="1A1A1A"/>
          <w:sz w:val="28"/>
          <w:szCs w:val="28"/>
        </w:rPr>
        <w:t xml:space="preserve">Fact Sheet — Retail &amp; apparel</w:t>
      </w:r>
    </w:p>
    <w:p>
      <w:pPr>
        <w:spacing w:after="60"/>
      </w:pPr>
      <w:r>
        <w:rPr>
          <w:rFonts w:ascii="Arial" w:cs="Arial" w:eastAsia="Arial" w:hAnsi="Arial"/>
          <w:i/>
          <w:iCs/>
          <w:color w:val="5C5C5C"/>
          <w:sz w:val="18"/>
          <w:szCs w:val="18"/>
        </w:rPr>
        <w:t xml:space="preserve">Identifier: retail-apparel  •  Page anchor: /research/2026-rfid-industry-adoption-index/retail-apparel/</w:t>
      </w:r>
    </w:p>
    <w:p>
      <w:pPr>
        <w:spacing w:after="120" w:line="320"/>
      </w:pPr>
      <w:r>
        <w:rPr>
          <w:rFonts w:ascii="Arial" w:cs="Arial" w:eastAsia="Arial" w:hAnsi="Arial"/>
          <w:color w:val="1A1A1A"/>
          <w:sz w:val="22"/>
          <w:szCs w:val="22"/>
        </w:rPr>
        <w:t xml:space="preserve">Walmart Tier 2/3 mandate, source-tagging adoption, BOPIS conversion, shrink, inventory accuracy. The retail-apparel fact sheet is the deepest single-industry section because it is the most-cited industry in the dataset and the one anchor finding (H5) in the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Hospitality</w:t>
      </w:r>
    </w:p>
    <w:p>
      <w:pPr>
        <w:spacing w:after="60"/>
      </w:pPr>
      <w:r>
        <w:rPr>
          <w:rFonts w:ascii="Arial" w:cs="Arial" w:eastAsia="Arial" w:hAnsi="Arial"/>
          <w:i/>
          <w:iCs/>
          <w:color w:val="5C5C5C"/>
          <w:sz w:val="18"/>
          <w:szCs w:val="18"/>
        </w:rPr>
        <w:t xml:space="preserve">Identifier: hospitality  •  Page anchor: /research/2026-rfid-industry-adoption-index/hospitality/</w:t>
      </w:r>
    </w:p>
    <w:p>
      <w:pPr>
        <w:spacing w:after="120" w:line="320"/>
      </w:pPr>
      <w:r>
        <w:rPr>
          <w:rFonts w:ascii="Arial" w:cs="Arial" w:eastAsia="Arial" w:hAnsi="Arial"/>
          <w:color w:val="1A1A1A"/>
          <w:sz w:val="22"/>
          <w:szCs w:val="22"/>
        </w:rPr>
        <w:t xml:space="preserve">NFC credentials, mobile-key, DESFire EV3 cutover, lock-vendor migration, linen-tag deployment. The fact sheet separates physical-card adoption (essentially universal in big-box hospitality) from mobile-key adoption (still rolling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Healthcare</w:t>
      </w:r>
    </w:p>
    <w:p>
      <w:pPr>
        <w:spacing w:after="60"/>
      </w:pPr>
      <w:r>
        <w:rPr>
          <w:rFonts w:ascii="Arial" w:cs="Arial" w:eastAsia="Arial" w:hAnsi="Arial"/>
          <w:i/>
          <w:iCs/>
          <w:color w:val="5C5C5C"/>
          <w:sz w:val="18"/>
          <w:szCs w:val="18"/>
        </w:rPr>
        <w:t xml:space="preserve">Identifier: healthcare  •  Page anchor: /research/2026-rfid-industry-adoption-index/healthcare/</w:t>
      </w:r>
    </w:p>
    <w:p>
      <w:pPr>
        <w:spacing w:after="120" w:line="320"/>
      </w:pPr>
      <w:r>
        <w:rPr>
          <w:rFonts w:ascii="Arial" w:cs="Arial" w:eastAsia="Arial" w:hAnsi="Arial"/>
          <w:color w:val="1A1A1A"/>
          <w:sz w:val="22"/>
          <w:szCs w:val="22"/>
        </w:rPr>
        <w:t xml:space="preserve">RTLS deployment, asset tracking, surgical-tray RFID, biomedical-engineering use cases, FDA UDI compliance. Healthcare RFID is dominated by asset tracking rather than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Events &amp; venues</w:t>
      </w:r>
    </w:p>
    <w:p>
      <w:pPr>
        <w:spacing w:after="60"/>
      </w:pPr>
      <w:r>
        <w:rPr>
          <w:rFonts w:ascii="Arial" w:cs="Arial" w:eastAsia="Arial" w:hAnsi="Arial"/>
          <w:i/>
          <w:iCs/>
          <w:color w:val="5C5C5C"/>
          <w:sz w:val="18"/>
          <w:szCs w:val="18"/>
        </w:rPr>
        <w:t xml:space="preserve">Identifier: events-venues  •  Page anchor: /research/2026-rfid-industry-adoption-index/events-venues/</w:t>
      </w:r>
    </w:p>
    <w:p>
      <w:pPr>
        <w:spacing w:after="120" w:line="320"/>
      </w:pPr>
      <w:r>
        <w:rPr>
          <w:rFonts w:ascii="Arial" w:cs="Arial" w:eastAsia="Arial" w:hAnsi="Arial"/>
          <w:color w:val="1A1A1A"/>
          <w:sz w:val="22"/>
          <w:szCs w:val="22"/>
        </w:rPr>
        <w:t xml:space="preserve">Wristband technology at festivals, cashless adoption at stadiums, access-control at conferences, ticketing integration. Adoption is high but the technology stack is fragmented across credential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Logistics</w:t>
      </w:r>
    </w:p>
    <w:p>
      <w:pPr>
        <w:spacing w:after="60"/>
      </w:pPr>
      <w:r>
        <w:rPr>
          <w:rFonts w:ascii="Arial" w:cs="Arial" w:eastAsia="Arial" w:hAnsi="Arial"/>
          <w:i/>
          <w:iCs/>
          <w:color w:val="5C5C5C"/>
          <w:sz w:val="18"/>
          <w:szCs w:val="18"/>
        </w:rPr>
        <w:t xml:space="preserve">Identifier: logistics  •  Page anchor: /research/2026-rfid-industry-adoption-index/logistics/</w:t>
      </w:r>
    </w:p>
    <w:p>
      <w:pPr>
        <w:spacing w:after="120" w:line="320"/>
      </w:pPr>
      <w:r>
        <w:rPr>
          <w:rFonts w:ascii="Arial" w:cs="Arial" w:eastAsia="Arial" w:hAnsi="Arial"/>
          <w:color w:val="1A1A1A"/>
          <w:sz w:val="22"/>
          <w:szCs w:val="22"/>
        </w:rPr>
        <w:t xml:space="preserve">DC and yard RFID, dock-door scan rate, IATA 753 baggage compliance for the carriers in-sample, cross-dock visibility. Logistics is the largest cluster by IDC revenue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Industrial</w:t>
      </w:r>
    </w:p>
    <w:p>
      <w:pPr>
        <w:spacing w:after="60"/>
      </w:pPr>
      <w:r>
        <w:rPr>
          <w:rFonts w:ascii="Arial" w:cs="Arial" w:eastAsia="Arial" w:hAnsi="Arial"/>
          <w:i/>
          <w:iCs/>
          <w:color w:val="5C5C5C"/>
          <w:sz w:val="18"/>
          <w:szCs w:val="18"/>
        </w:rPr>
        <w:t xml:space="preserve">Identifier: industrial  •  Page anchor: /research/2026-rfid-industry-adoption-index/industrial/</w:t>
      </w:r>
    </w:p>
    <w:p>
      <w:pPr>
        <w:spacing w:after="120" w:line="320"/>
      </w:pPr>
      <w:r>
        <w:rPr>
          <w:rFonts w:ascii="Arial" w:cs="Arial" w:eastAsia="Arial" w:hAnsi="Arial"/>
          <w:color w:val="1A1A1A"/>
          <w:sz w:val="22"/>
          <w:szCs w:val="22"/>
        </w:rPr>
        <w:t xml:space="preserve">WIP tracking, tool tracking, MES integration, plant-floor asset visibility. The industrial fact sheet is the deepest read for vendor-side audiences because it underpins the largest sub-segment of the IDC revenue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Libraries</w:t>
      </w:r>
    </w:p>
    <w:p>
      <w:pPr>
        <w:spacing w:after="60"/>
      </w:pPr>
      <w:r>
        <w:rPr>
          <w:rFonts w:ascii="Arial" w:cs="Arial" w:eastAsia="Arial" w:hAnsi="Arial"/>
          <w:i/>
          <w:iCs/>
          <w:color w:val="5C5C5C"/>
          <w:sz w:val="18"/>
          <w:szCs w:val="18"/>
        </w:rPr>
        <w:t xml:space="preserve">Identifier: libraries  •  Page anchor: /research/2026-rfid-industry-adoption-index/libraries/</w:t>
      </w:r>
    </w:p>
    <w:p>
      <w:pPr>
        <w:spacing w:after="120" w:line="320"/>
      </w:pPr>
      <w:r>
        <w:rPr>
          <w:rFonts w:ascii="Arial" w:cs="Arial" w:eastAsia="Arial" w:hAnsi="Arial"/>
          <w:color w:val="1A1A1A"/>
          <w:sz w:val="22"/>
          <w:szCs w:val="22"/>
        </w:rPr>
        <w:t xml:space="preserve">AFI plate cycle, self-check ratio, ILS integration, inventory hours saved. Library full-production is structurally high; the open question is the renewal cycle, not greenfield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Laundry services</w:t>
      </w:r>
    </w:p>
    <w:p>
      <w:pPr>
        <w:spacing w:after="60"/>
      </w:pPr>
      <w:r>
        <w:rPr>
          <w:rFonts w:ascii="Arial" w:cs="Arial" w:eastAsia="Arial" w:hAnsi="Arial"/>
          <w:i/>
          <w:iCs/>
          <w:color w:val="5C5C5C"/>
          <w:sz w:val="18"/>
          <w:szCs w:val="18"/>
        </w:rPr>
        <w:t xml:space="preserve">Identifier: laundry-services  •  Page anchor: /research/2026-rfid-industry-adoption-index/laundry-services/</w:t>
      </w:r>
    </w:p>
    <w:p>
      <w:pPr>
        <w:spacing w:after="120" w:line="320"/>
      </w:pPr>
      <w:r>
        <w:rPr>
          <w:rFonts w:ascii="Arial" w:cs="Arial" w:eastAsia="Arial" w:hAnsi="Arial"/>
          <w:color w:val="1A1A1A"/>
          <w:sz w:val="22"/>
          <w:szCs w:val="22"/>
        </w:rPr>
        <w:t xml:space="preserve">Linen-chip survival rate per 200 cycles, par-level accuracy, healthcare-linen tracking, uniform-rental ROI. Laundry RFID is a niche but stable adoption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Pharmaceutical</w:t>
      </w:r>
    </w:p>
    <w:p>
      <w:pPr>
        <w:spacing w:after="60"/>
      </w:pPr>
      <w:r>
        <w:rPr>
          <w:rFonts w:ascii="Arial" w:cs="Arial" w:eastAsia="Arial" w:hAnsi="Arial"/>
          <w:i/>
          <w:iCs/>
          <w:color w:val="5C5C5C"/>
          <w:sz w:val="18"/>
          <w:szCs w:val="18"/>
        </w:rPr>
        <w:t xml:space="preserve">Identifier: pharmaceutical  •  Page anchor: /research/2026-rfid-industry-adoption-index/pharmaceutical/</w:t>
      </w:r>
    </w:p>
    <w:p>
      <w:pPr>
        <w:spacing w:after="120" w:line="320"/>
      </w:pPr>
      <w:r>
        <w:rPr>
          <w:rFonts w:ascii="Arial" w:cs="Arial" w:eastAsia="Arial" w:hAnsi="Arial"/>
          <w:color w:val="1A1A1A"/>
          <w:sz w:val="22"/>
          <w:szCs w:val="22"/>
        </w:rPr>
        <w:t xml:space="preserve">DSCSA carrier mix, saleable-returns volume, GS1 SGTIN-198 implementation, cold-chain temperature-logger spend. Pharma full-production trails retail-apparel; the structural reason is the 2D-barcode carrier at the dispense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Luxury brands</w:t>
      </w:r>
    </w:p>
    <w:p>
      <w:pPr>
        <w:spacing w:after="60"/>
      </w:pPr>
      <w:r>
        <w:rPr>
          <w:rFonts w:ascii="Arial" w:cs="Arial" w:eastAsia="Arial" w:hAnsi="Arial"/>
          <w:i/>
          <w:iCs/>
          <w:color w:val="5C5C5C"/>
          <w:sz w:val="18"/>
          <w:szCs w:val="18"/>
        </w:rPr>
        <w:t xml:space="preserve">Identifier: luxury-brands  •  Page anchor: /research/2026-rfid-industry-adoption-index/luxury-brands/</w:t>
      </w:r>
    </w:p>
    <w:p>
      <w:pPr>
        <w:spacing w:after="120" w:line="320"/>
      </w:pPr>
      <w:r>
        <w:rPr>
          <w:rFonts w:ascii="Arial" w:cs="Arial" w:eastAsia="Arial" w:hAnsi="Arial"/>
          <w:color w:val="1A1A1A"/>
          <w:sz w:val="22"/>
          <w:szCs w:val="22"/>
        </w:rPr>
        <w:t xml:space="preserve">NFC authentication adoption, customer-app pairing, gray-market diversion detection, source-tag programs. The fact sheet separates authentication adoption from inventory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Brand protection</w:t>
      </w:r>
    </w:p>
    <w:p>
      <w:pPr>
        <w:spacing w:after="60"/>
      </w:pPr>
      <w:r>
        <w:rPr>
          <w:rFonts w:ascii="Arial" w:cs="Arial" w:eastAsia="Arial" w:hAnsi="Arial"/>
          <w:i/>
          <w:iCs/>
          <w:color w:val="5C5C5C"/>
          <w:sz w:val="18"/>
          <w:szCs w:val="18"/>
        </w:rPr>
        <w:t xml:space="preserve">Identifier: brand-protection  •  Page anchor: /research/2026-rfid-industry-adoption-index/brand-protection/</w:t>
      </w:r>
    </w:p>
    <w:p>
      <w:pPr>
        <w:spacing w:after="120" w:line="320"/>
      </w:pPr>
      <w:r>
        <w:rPr>
          <w:rFonts w:ascii="Arial" w:cs="Arial" w:eastAsia="Arial" w:hAnsi="Arial"/>
          <w:color w:val="1A1A1A"/>
          <w:sz w:val="22"/>
          <w:szCs w:val="22"/>
        </w:rPr>
        <w:t xml:space="preserve">NFC authentication beyond luxury, forensic marking, customer-trust score impact, online-enforcement cost. The fact sheet is read most by IP and brand-protection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Education</w:t>
      </w:r>
    </w:p>
    <w:p>
      <w:pPr>
        <w:spacing w:after="60"/>
      </w:pPr>
      <w:r>
        <w:rPr>
          <w:rFonts w:ascii="Arial" w:cs="Arial" w:eastAsia="Arial" w:hAnsi="Arial"/>
          <w:i/>
          <w:iCs/>
          <w:color w:val="5C5C5C"/>
          <w:sz w:val="18"/>
          <w:szCs w:val="18"/>
        </w:rPr>
        <w:t xml:space="preserve">Identifier: education  •  Page anchor: /research/2026-rfid-industry-adoption-index/education/</w:t>
      </w:r>
    </w:p>
    <w:p>
      <w:pPr>
        <w:spacing w:after="120" w:line="320"/>
      </w:pPr>
      <w:r>
        <w:rPr>
          <w:rFonts w:ascii="Arial" w:cs="Arial" w:eastAsia="Arial" w:hAnsi="Arial"/>
          <w:color w:val="1A1A1A"/>
          <w:sz w:val="22"/>
          <w:szCs w:val="22"/>
        </w:rPr>
        <w:t xml:space="preserve">Campus credentialing, OneCard adoption, mobile-credential cutover, library systems integration. Education RFID is dominated by credentialing rather than asset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Fitness</w:t>
      </w:r>
    </w:p>
    <w:p>
      <w:pPr>
        <w:spacing w:after="60"/>
      </w:pPr>
      <w:r>
        <w:rPr>
          <w:rFonts w:ascii="Arial" w:cs="Arial" w:eastAsia="Arial" w:hAnsi="Arial"/>
          <w:i/>
          <w:iCs/>
          <w:color w:val="5C5C5C"/>
          <w:sz w:val="18"/>
          <w:szCs w:val="18"/>
        </w:rPr>
        <w:t xml:space="preserve">Identifier: fitness  •  Page anchor: /research/2026-rfid-industry-adoption-index/fitness/</w:t>
      </w:r>
    </w:p>
    <w:p>
      <w:pPr>
        <w:spacing w:after="120" w:line="320"/>
      </w:pPr>
      <w:r>
        <w:rPr>
          <w:rFonts w:ascii="Arial" w:cs="Arial" w:eastAsia="Arial" w:hAnsi="Arial"/>
          <w:color w:val="1A1A1A"/>
          <w:sz w:val="22"/>
          <w:szCs w:val="22"/>
        </w:rPr>
        <w:t xml:space="preserve">Access-control RFID, locker and towel deployment, member-experience integration, tailgating reduction. Fitness adoption shows the biggest gap between large-chain and boutique-studio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Agriculture</w:t>
      </w:r>
    </w:p>
    <w:p>
      <w:pPr>
        <w:spacing w:after="60"/>
      </w:pPr>
      <w:r>
        <w:rPr>
          <w:rFonts w:ascii="Arial" w:cs="Arial" w:eastAsia="Arial" w:hAnsi="Arial"/>
          <w:i/>
          <w:iCs/>
          <w:color w:val="5C5C5C"/>
          <w:sz w:val="18"/>
          <w:szCs w:val="18"/>
        </w:rPr>
        <w:t xml:space="preserve">Identifier: agriculture  •  Page anchor: /research/2026-rfid-industry-adoption-index/agriculture/</w:t>
      </w:r>
    </w:p>
    <w:p>
      <w:pPr>
        <w:spacing w:after="120" w:line="320"/>
      </w:pPr>
      <w:r>
        <w:rPr>
          <w:rFonts w:ascii="Arial" w:cs="Arial" w:eastAsia="Arial" w:hAnsi="Arial"/>
          <w:color w:val="1A1A1A"/>
          <w:sz w:val="22"/>
          <w:szCs w:val="22"/>
        </w:rPr>
        <w:t xml:space="preserve">Animal-ID compliance, EID tag retention, herd-management software ROI, field-asset tracking. The fact sheet reflects USDA traceability shifts and NCBA member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EU compliance</w:t>
      </w:r>
    </w:p>
    <w:p>
      <w:pPr>
        <w:spacing w:after="60"/>
      </w:pPr>
      <w:r>
        <w:rPr>
          <w:rFonts w:ascii="Arial" w:cs="Arial" w:eastAsia="Arial" w:hAnsi="Arial"/>
          <w:i/>
          <w:iCs/>
          <w:color w:val="5C5C5C"/>
          <w:sz w:val="18"/>
          <w:szCs w:val="18"/>
        </w:rPr>
        <w:t xml:space="preserve">Identifier: eu-compliance  •  Page anchor: /research/2026-rfid-industry-adoption-index/eu-compliance/</w:t>
      </w:r>
    </w:p>
    <w:p>
      <w:pPr>
        <w:spacing w:after="120" w:line="320"/>
      </w:pPr>
      <w:r>
        <w:rPr>
          <w:rFonts w:ascii="Arial" w:cs="Arial" w:eastAsia="Arial" w:hAnsi="Arial"/>
          <w:color w:val="1A1A1A"/>
          <w:sz w:val="22"/>
          <w:szCs w:val="22"/>
        </w:rPr>
        <w:t xml:space="preserve">Digital Product Passport readiness, ESPR timeline, EU Battery Regulation readiness, textile and consumer-electronics supplier coverage. The fact sheet anchors Finding 4 in the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Automotive &amp; tire OEM</w:t>
      </w:r>
    </w:p>
    <w:p>
      <w:pPr>
        <w:spacing w:after="60"/>
      </w:pPr>
      <w:r>
        <w:rPr>
          <w:rFonts w:ascii="Arial" w:cs="Arial" w:eastAsia="Arial" w:hAnsi="Arial"/>
          <w:i/>
          <w:iCs/>
          <w:color w:val="5C5C5C"/>
          <w:sz w:val="18"/>
          <w:szCs w:val="18"/>
        </w:rPr>
        <w:t xml:space="preserve">Identifier: automotive-tire-oem  •  Page anchor: /research/2026-rfid-industry-adoption-index/automotive-tire-oem/</w:t>
      </w:r>
    </w:p>
    <w:p>
      <w:pPr>
        <w:spacing w:after="120" w:line="320"/>
      </w:pPr>
      <w:r>
        <w:rPr>
          <w:rFonts w:ascii="Arial" w:cs="Arial" w:eastAsia="Arial" w:hAnsi="Arial"/>
          <w:color w:val="1A1A1A"/>
          <w:sz w:val="22"/>
          <w:szCs w:val="22"/>
        </w:rPr>
        <w:t xml:space="preserve">TREAD Act traceability, BMW/VW supplier mandates, tire-embedded RFID adoption, MES integration. The fact sheet covers both passenger-tire and commercial-tire OEM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Aerospace &amp; aviation MRO</w:t>
      </w:r>
    </w:p>
    <w:p>
      <w:pPr>
        <w:spacing w:after="60"/>
      </w:pPr>
      <w:r>
        <w:rPr>
          <w:rFonts w:ascii="Arial" w:cs="Arial" w:eastAsia="Arial" w:hAnsi="Arial"/>
          <w:i/>
          <w:iCs/>
          <w:color w:val="5C5C5C"/>
          <w:sz w:val="18"/>
          <w:szCs w:val="18"/>
        </w:rPr>
        <w:t xml:space="preserve">Identifier: aerospace-aviation-mro  •  Page anchor: /research/2026-rfid-industry-adoption-index/aerospace-aviation-mro/</w:t>
      </w:r>
    </w:p>
    <w:p>
      <w:pPr>
        <w:spacing w:after="120" w:line="320"/>
      </w:pPr>
      <w:r>
        <w:rPr>
          <w:rFonts w:ascii="Arial" w:cs="Arial" w:eastAsia="Arial" w:hAnsi="Arial"/>
          <w:color w:val="1A1A1A"/>
          <w:sz w:val="22"/>
          <w:szCs w:val="22"/>
        </w:rPr>
        <w:t xml:space="preserve">ATA Spec 2000 progress, FOD prevention, MRO turnaround time, tool-tracking RFID at shop-floor read points. The fact sheet covers airline MRO and independent MRO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Data center &amp; IT asset tracking</w:t>
      </w:r>
    </w:p>
    <w:p>
      <w:pPr>
        <w:spacing w:after="60"/>
      </w:pPr>
      <w:r>
        <w:rPr>
          <w:rFonts w:ascii="Arial" w:cs="Arial" w:eastAsia="Arial" w:hAnsi="Arial"/>
          <w:i/>
          <w:iCs/>
          <w:color w:val="5C5C5C"/>
          <w:sz w:val="18"/>
          <w:szCs w:val="18"/>
        </w:rPr>
        <w:t xml:space="preserve">Identifier: data-center-it-asset-tracking  •  Page anchor: /research/2026-rfid-industry-adoption-index/data-center-it-asset-tracking/</w:t>
      </w:r>
    </w:p>
    <w:p>
      <w:pPr>
        <w:spacing w:after="120" w:line="320"/>
      </w:pPr>
      <w:r>
        <w:rPr>
          <w:rFonts w:ascii="Arial" w:cs="Arial" w:eastAsia="Arial" w:hAnsi="Arial"/>
          <w:color w:val="1A1A1A"/>
          <w:sz w:val="22"/>
          <w:szCs w:val="22"/>
        </w:rPr>
        <w:t xml:space="preserve">Audit cycle time, ghost-asset rate, decommissioning chain-of-custody, ESG-reporting integration. The fact sheet covers hyperscale, colocation, and enterprise data-center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Government &amp; defense supply chain</w:t>
      </w:r>
    </w:p>
    <w:p>
      <w:pPr>
        <w:spacing w:after="60"/>
      </w:pPr>
      <w:r>
        <w:rPr>
          <w:rFonts w:ascii="Arial" w:cs="Arial" w:eastAsia="Arial" w:hAnsi="Arial"/>
          <w:i/>
          <w:iCs/>
          <w:color w:val="5C5C5C"/>
          <w:sz w:val="18"/>
          <w:szCs w:val="18"/>
        </w:rPr>
        <w:t xml:space="preserve">Identifier: government-defense-supply-chain  •  Page anchor: /research/2026-rfid-industry-adoption-index/government-defense-supply-chain/</w:t>
      </w:r>
    </w:p>
    <w:p>
      <w:pPr>
        <w:spacing w:after="120" w:line="320"/>
      </w:pPr>
      <w:r>
        <w:rPr>
          <w:rFonts w:ascii="Arial" w:cs="Arial" w:eastAsia="Arial" w:hAnsi="Arial"/>
          <w:color w:val="1A1A1A"/>
          <w:sz w:val="22"/>
          <w:szCs w:val="22"/>
        </w:rPr>
        <w:t xml:space="preserve">MIL-STD-129R compliance, IUID registry data quality, contractor audit findings, programme-spend allocation. The fact sheet reflects DoD prime and Tier-1 supplier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2"/>
        <w:spacing w:after="160" w:before="280"/>
      </w:pPr>
      <w:r>
        <w:rPr>
          <w:rFonts w:ascii="Arial" w:cs="Arial" w:eastAsia="Arial" w:hAnsi="Arial"/>
          <w:b/>
          <w:bCs/>
          <w:color w:val="1A1A1A"/>
          <w:sz w:val="28"/>
          <w:szCs w:val="28"/>
        </w:rPr>
        <w:t xml:space="preserve">Fact Sheet — Cold chain &amp; food traceability</w:t>
      </w:r>
    </w:p>
    <w:p>
      <w:pPr>
        <w:spacing w:after="60"/>
      </w:pPr>
      <w:r>
        <w:rPr>
          <w:rFonts w:ascii="Arial" w:cs="Arial" w:eastAsia="Arial" w:hAnsi="Arial"/>
          <w:i/>
          <w:iCs/>
          <w:color w:val="5C5C5C"/>
          <w:sz w:val="18"/>
          <w:szCs w:val="18"/>
        </w:rPr>
        <w:t xml:space="preserve">Identifier: cold-chain-food-traceability  •  Page anchor: /research/2026-rfid-industry-adoption-index/cold-chain-food-traceability/</w:t>
      </w:r>
    </w:p>
    <w:p>
      <w:pPr>
        <w:spacing w:after="120" w:line="320"/>
      </w:pPr>
      <w:r>
        <w:rPr>
          <w:rFonts w:ascii="Arial" w:cs="Arial" w:eastAsia="Arial" w:hAnsi="Arial"/>
          <w:color w:val="1A1A1A"/>
          <w:sz w:val="22"/>
          <w:szCs w:val="22"/>
        </w:rPr>
        <w:t xml:space="preserve">FSMA 204 readiness, EUDR readiness for fish/coffee/cocoa, recall cycle time, case-level vs pallet-level RFID. The fact sheet covers producer, processor, and 3PL cold-chain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Row</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Adoption stage distribution (no RFID / piloting / partial / full)</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stage_pct — four values; weighted to industry; 95% CI on full-production share]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Mandate progress (on-track / at-risk / in-violation — applicable mandates only)</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mandate_state — three values; mandate name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KPI lift (median realized lift on industry-most-cited KPI)</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top_kpi_lift — KPI name and lift value with 95% CI]</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vendor criterion (highest Plackett-Luce weight)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top_pl_criterion — criterion name and weight]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2027 intent (expand / hold / roll back)</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intent_pct — three values; dominant driver annotated]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Top barrier (most-cited open-text barrier)</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[DATA: top_barrier — string label and frequency]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val="false"/>
                <w:iCs w:val="false"/>
                <w:color w:val="1A1A1A"/>
                <w:sz w:val="20"/>
                <w:szCs w:val="20"/>
              </w:rPr>
              <w:t xml:space="preserve">Notable quote (consent-confirmed)</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i/>
                <w:iCs/>
                <w:color w:val="C39A5F"/>
                <w:sz w:val="20"/>
                <w:szCs w:val="20"/>
              </w:rPr>
              <w:t xml:space="preserve">[QUOTE: industry_notable_quote — verbatim, consent-confirmed]</w:t>
            </w:r>
          </w:p>
        </w:tc>
      </w:tr>
    </w:tbl>
    <w:p>
      <w:pPr>
        <w:spacing w:after="60"/>
      </w:pPr>
      <w:r>
        <w:rPr>
          <w:rFonts w:ascii="Arial" w:cs="Arial" w:eastAsia="Arial" w:hAnsi="Arial"/>
          <w:i/>
          <w:iCs/>
          <w:color w:val="5C5C5C"/>
          <w:sz w:val="18"/>
          <w:szCs w:val="18"/>
        </w:rPr>
        <w:t xml:space="preserve">All values weighted to the industry sub-population. k-anonymity (k&gt;=5) applied to every cell before publication. Underlying respondent-level data available in the open dataset.</w:t>
      </w:r>
    </w:p>
    <w:p>
      <w:r>
        <w:br w:type="page"/>
      </w:r>
    </w:p>
    <w:p>
      <w:pPr>
        <w:pStyle w:val="Heading1"/>
        <w:spacing w:after="200" w:before="360"/>
      </w:pPr>
      <w:r>
        <w:rPr>
          <w:rFonts w:ascii="Arial" w:cs="Arial" w:eastAsia="Arial" w:hAnsi="Arial"/>
          <w:b/>
          <w:bCs/>
          <w:color w:val="1A1A1A"/>
          <w:sz w:val="36"/>
          <w:szCs w:val="36"/>
        </w:rPr>
        <w:t xml:space="preserve">Methodology Appendix</w:t>
      </w:r>
    </w:p>
    <w:p>
      <w:pPr>
        <w:spacing w:after="120" w:line="320"/>
      </w:pPr>
      <w:r>
        <w:rPr>
          <w:rFonts w:ascii="Arial" w:cs="Arial" w:eastAsia="Arial" w:hAnsi="Arial"/>
          <w:color w:val="1A1A1A"/>
          <w:sz w:val="22"/>
          <w:szCs w:val="22"/>
        </w:rPr>
        <w:t xml:space="preserve">The appendix is the full record of how the Index was built. A reader who wants to challenge a finding should start here; a reader who wants to replicate a finding can start with the open dataset, the GitHub repo, and the Charter (cross-referenced throughout).</w:t>
      </w:r>
    </w:p>
    <w:p>
      <w:pPr>
        <w:pStyle w:val="Heading2"/>
        <w:spacing w:after="160" w:before="280"/>
      </w:pPr>
      <w:r>
        <w:rPr>
          <w:rFonts w:ascii="Arial" w:cs="Arial" w:eastAsia="Arial" w:hAnsi="Arial"/>
          <w:b/>
          <w:bCs/>
          <w:color w:val="1A1A1A"/>
          <w:sz w:val="28"/>
          <w:szCs w:val="28"/>
        </w:rPr>
        <w:t xml:space="preserve">A.1 Instrument summary</w:t>
      </w:r>
    </w:p>
    <w:p>
      <w:pPr>
        <w:pStyle w:val="ListParagraph"/>
        <w:numPr>
          <w:ilvl w:val="0"/>
          <w:numId w:val="2"/>
        </w:numPr>
        <w:spacing w:after="80" w:line="300"/>
      </w:pPr>
      <w:r>
        <w:rPr>
          <w:rFonts w:ascii="Arial" w:cs="Arial" w:eastAsia="Arial" w:hAnsi="Arial"/>
          <w:color w:val="1A1A1A"/>
          <w:sz w:val="22"/>
          <w:szCs w:val="22"/>
        </w:rPr>
        <w:t xml:space="preserve">Platform: Qualtrics XM (academic edition).</w:t>
      </w:r>
    </w:p>
    <w:p>
      <w:pPr>
        <w:pStyle w:val="ListParagraph"/>
        <w:numPr>
          <w:ilvl w:val="0"/>
          <w:numId w:val="2"/>
        </w:numPr>
        <w:spacing w:after="80" w:line="300"/>
      </w:pPr>
      <w:r>
        <w:rPr>
          <w:rFonts w:ascii="Arial" w:cs="Arial" w:eastAsia="Arial" w:hAnsi="Arial"/>
          <w:color w:val="1A1A1A"/>
          <w:sz w:val="22"/>
          <w:szCs w:val="22"/>
        </w:rPr>
        <w:t xml:space="preserve">Length: 25 common items + 5 industry-specific items + 2 attention checks.</w:t>
      </w:r>
    </w:p>
    <w:p>
      <w:pPr>
        <w:pStyle w:val="ListParagraph"/>
        <w:numPr>
          <w:ilvl w:val="0"/>
          <w:numId w:val="2"/>
        </w:numPr>
        <w:spacing w:after="80" w:line="300"/>
      </w:pPr>
      <w:r>
        <w:rPr>
          <w:rFonts w:ascii="Arial" w:cs="Arial" w:eastAsia="Arial" w:hAnsi="Arial"/>
          <w:color w:val="1A1A1A"/>
          <w:sz w:val="22"/>
          <w:szCs w:val="22"/>
        </w:rPr>
        <w:t xml:space="preserve">Median completion time: [DATA: median_completion_minutes] minutes.</w:t>
      </w:r>
    </w:p>
    <w:p>
      <w:pPr>
        <w:pStyle w:val="ListParagraph"/>
        <w:numPr>
          <w:ilvl w:val="0"/>
          <w:numId w:val="2"/>
        </w:numPr>
        <w:spacing w:after="80" w:line="300"/>
      </w:pPr>
      <w:r>
        <w:rPr>
          <w:rFonts w:ascii="Arial" w:cs="Arial" w:eastAsia="Arial" w:hAnsi="Arial"/>
          <w:color w:val="1A1A1A"/>
          <w:sz w:val="22"/>
          <w:szCs w:val="22"/>
        </w:rPr>
        <w:t xml:space="preserve">Question types: Likert-7, ranked-choice (5-item), single-choice multiple-choice, numeric entry with validation, two open-text fields capped at 500 characters each.</w:t>
      </w:r>
    </w:p>
    <w:p>
      <w:pPr>
        <w:pStyle w:val="ListParagraph"/>
        <w:numPr>
          <w:ilvl w:val="0"/>
          <w:numId w:val="2"/>
        </w:numPr>
        <w:spacing w:after="80" w:line="300"/>
      </w:pPr>
      <w:r>
        <w:rPr>
          <w:rFonts w:ascii="Arial" w:cs="Arial" w:eastAsia="Arial" w:hAnsi="Arial"/>
          <w:color w:val="1A1A1A"/>
          <w:sz w:val="22"/>
          <w:szCs w:val="22"/>
        </w:rPr>
        <w:t xml:space="preserve">Full item bank: published as Appendix B of this report and as a separate Qualtrics QSF in the open dataset.</w:t>
      </w:r>
    </w:p>
    <w:p>
      <w:pPr>
        <w:pStyle w:val="Heading2"/>
        <w:spacing w:after="160" w:before="280"/>
      </w:pPr>
      <w:r>
        <w:rPr>
          <w:rFonts w:ascii="Arial" w:cs="Arial" w:eastAsia="Arial" w:hAnsi="Arial"/>
          <w:b/>
          <w:bCs/>
          <w:color w:val="1A1A1A"/>
          <w:sz w:val="28"/>
          <w:szCs w:val="28"/>
        </w:rPr>
        <w:t xml:space="preserve">A.2 Weighting calibration</w:t>
      </w:r>
    </w:p>
    <w:p>
      <w:pPr>
        <w:spacing w:after="120" w:line="320"/>
      </w:pPr>
      <w:r>
        <w:rPr>
          <w:rFonts w:ascii="Arial" w:cs="Arial" w:eastAsia="Arial" w:hAnsi="Arial"/>
          <w:color w:val="1A1A1A"/>
          <w:sz w:val="22"/>
          <w:szCs w:val="22"/>
        </w:rPr>
        <w:t xml:space="preserve">Weights calibrated to the 2026 IDC Worldwide RFID Forecast revenue distribution by industry. Cells with N&lt;3 were collapsed into the next-larger industry cell to avoid extreme weights. The per-respondent weight is published in the open dataset.</w:t>
      </w:r>
    </w:p>
    <w:p>
      <w:pPr>
        <w:spacing w:after="120" w:line="300"/>
      </w:pPr>
      <w:r>
        <w:rPr>
          <w:rFonts w:ascii="Arial" w:cs="Arial" w:eastAsia="Arial" w:hAnsi="Arial"/>
          <w:b/>
          <w:bCs/>
          <w:i/>
          <w:iCs/>
          <w:color w:val="C39A5F"/>
          <w:sz w:val="22"/>
          <w:szCs w:val="22"/>
        </w:rPr>
        <w:t xml:space="preserve">[TABLE: weighting_cells — industry x size band cells; raw N; target N; final weight per cell]</w:t>
      </w:r>
    </w:p>
    <w:p>
      <w:pPr>
        <w:pStyle w:val="Heading2"/>
        <w:spacing w:after="160" w:before="280"/>
      </w:pPr>
      <w:r>
        <w:rPr>
          <w:rFonts w:ascii="Arial" w:cs="Arial" w:eastAsia="Arial" w:hAnsi="Arial"/>
          <w:b/>
          <w:bCs/>
          <w:color w:val="1A1A1A"/>
          <w:sz w:val="28"/>
          <w:szCs w:val="28"/>
        </w:rPr>
        <w:t xml:space="preserve">A.3 Exclusion rules</w:t>
      </w:r>
    </w:p>
    <w:p>
      <w:pPr>
        <w:pStyle w:val="ListParagraph"/>
        <w:numPr>
          <w:ilvl w:val="0"/>
          <w:numId w:val="2"/>
        </w:numPr>
        <w:spacing w:after="80" w:line="300"/>
      </w:pPr>
      <w:r>
        <w:rPr>
          <w:rFonts w:ascii="Arial" w:cs="Arial" w:eastAsia="Arial" w:hAnsi="Arial"/>
          <w:color w:val="1A1A1A"/>
          <w:sz w:val="22"/>
          <w:szCs w:val="22"/>
        </w:rPr>
        <w:t xml:space="preserve">Completion time outliers: top 2% and bottom 2% on completion-time excluded.</w:t>
      </w:r>
    </w:p>
    <w:p>
      <w:pPr>
        <w:pStyle w:val="ListParagraph"/>
        <w:numPr>
          <w:ilvl w:val="0"/>
          <w:numId w:val="2"/>
        </w:numPr>
        <w:spacing w:after="80" w:line="300"/>
      </w:pPr>
      <w:r>
        <w:rPr>
          <w:rFonts w:ascii="Arial" w:cs="Arial" w:eastAsia="Arial" w:hAnsi="Arial"/>
          <w:color w:val="1A1A1A"/>
          <w:sz w:val="22"/>
          <w:szCs w:val="22"/>
        </w:rPr>
        <w:t xml:space="preserve">Straight-line response detection: respondents with zero variance across any Likert battery excluded.</w:t>
      </w:r>
    </w:p>
    <w:p>
      <w:pPr>
        <w:pStyle w:val="ListParagraph"/>
        <w:numPr>
          <w:ilvl w:val="0"/>
          <w:numId w:val="2"/>
        </w:numPr>
        <w:spacing w:after="80" w:line="300"/>
      </w:pPr>
      <w:r>
        <w:rPr>
          <w:rFonts w:ascii="Arial" w:cs="Arial" w:eastAsia="Arial" w:hAnsi="Arial"/>
          <w:color w:val="1A1A1A"/>
          <w:sz w:val="22"/>
          <w:szCs w:val="22"/>
        </w:rPr>
        <w:t xml:space="preserve">Attention-check failure: respondents who failed either of the two instructed-response items excluded.</w:t>
      </w:r>
    </w:p>
    <w:p>
      <w:pPr>
        <w:pStyle w:val="ListParagraph"/>
        <w:numPr>
          <w:ilvl w:val="0"/>
          <w:numId w:val="2"/>
        </w:numPr>
        <w:spacing w:after="80" w:line="300"/>
      </w:pPr>
      <w:r>
        <w:rPr>
          <w:rFonts w:ascii="Arial" w:cs="Arial" w:eastAsia="Arial" w:hAnsi="Arial"/>
          <w:color w:val="1A1A1A"/>
          <w:sz w:val="22"/>
          <w:szCs w:val="22"/>
        </w:rPr>
        <w:t xml:space="preserve">Vendor exclusions: respondents whose email domain matches an RFID hardware vendor or major integrator excluded at intake.</w:t>
      </w:r>
    </w:p>
    <w:p>
      <w:pPr>
        <w:pStyle w:val="ListParagraph"/>
        <w:numPr>
          <w:ilvl w:val="0"/>
          <w:numId w:val="2"/>
        </w:numPr>
        <w:spacing w:after="80" w:line="300"/>
      </w:pPr>
      <w:r>
        <w:rPr>
          <w:rFonts w:ascii="Arial" w:cs="Arial" w:eastAsia="Arial" w:hAnsi="Arial"/>
          <w:color w:val="1A1A1A"/>
          <w:sz w:val="22"/>
          <w:szCs w:val="22"/>
        </w:rPr>
        <w:t xml:space="preserve">Deduplication: one response per email domain per organization.</w:t>
      </w:r>
    </w:p>
    <w:p>
      <w:pPr>
        <w:spacing w:after="120" w:line="300"/>
      </w:pPr>
      <w:r>
        <w:rPr>
          <w:rFonts w:ascii="Arial" w:cs="Arial" w:eastAsia="Arial" w:hAnsi="Arial"/>
          <w:b/>
          <w:bCs/>
          <w:i/>
          <w:iCs/>
          <w:color w:val="C39A5F"/>
          <w:sz w:val="22"/>
          <w:szCs w:val="22"/>
        </w:rPr>
        <w:t xml:space="preserve">[TABLE: exclusion_funnel — invited / started / consented / completed / passed quality / final analytic N]</w:t>
      </w:r>
    </w:p>
    <w:p>
      <w:pPr>
        <w:pStyle w:val="Heading2"/>
        <w:spacing w:after="160" w:before="280"/>
      </w:pPr>
      <w:r>
        <w:rPr>
          <w:rFonts w:ascii="Arial" w:cs="Arial" w:eastAsia="Arial" w:hAnsi="Arial"/>
          <w:b/>
          <w:bCs/>
          <w:color w:val="1A1A1A"/>
          <w:sz w:val="28"/>
          <w:szCs w:val="28"/>
        </w:rPr>
        <w:t xml:space="preserve">A.4 Response rates by channel</w:t>
      </w:r>
    </w:p>
    <w:p>
      <w:pPr>
        <w:spacing w:after="120" w:line="300"/>
      </w:pPr>
      <w:r>
        <w:rPr>
          <w:rFonts w:ascii="Arial" w:cs="Arial" w:eastAsia="Arial" w:hAnsi="Arial"/>
          <w:b/>
          <w:bCs/>
          <w:i/>
          <w:iCs/>
          <w:color w:val="C39A5F"/>
          <w:sz w:val="22"/>
          <w:szCs w:val="22"/>
        </w:rPr>
        <w:t xml:space="preserve">[TABLE: response_rate_channel — channel / invited / started / completed / response rate / share of final sample]</w:t>
      </w:r>
    </w:p>
    <w:p>
      <w:pPr>
        <w:spacing w:after="120" w:line="320"/>
      </w:pPr>
      <w:r>
        <w:rPr>
          <w:rFonts w:ascii="Arial" w:cs="Arial" w:eastAsia="Arial" w:hAnsi="Arial"/>
          <w:color w:val="1A1A1A"/>
          <w:sz w:val="22"/>
          <w:szCs w:val="22"/>
        </w:rPr>
        <w:t xml:space="preserve">Channel-mix governance: no channel exceeds 40% of any single industry; the channel-mix dashboard is published in the open dataset alongside the per-respondent weight.</w:t>
      </w:r>
    </w:p>
    <w:p>
      <w:pPr>
        <w:pStyle w:val="Heading2"/>
        <w:spacing w:after="160" w:before="280"/>
      </w:pPr>
      <w:r>
        <w:rPr>
          <w:rFonts w:ascii="Arial" w:cs="Arial" w:eastAsia="Arial" w:hAnsi="Arial"/>
          <w:b/>
          <w:bCs/>
          <w:color w:val="1A1A1A"/>
          <w:sz w:val="28"/>
          <w:szCs w:val="28"/>
        </w:rPr>
        <w:t xml:space="preserve">A.5 Conflict of interest register</w:t>
      </w:r>
    </w:p>
    <w:p>
      <w:pPr>
        <w:pStyle w:val="ListParagraph"/>
        <w:numPr>
          <w:ilvl w:val="0"/>
          <w:numId w:val="2"/>
        </w:numPr>
        <w:spacing w:after="80" w:line="300"/>
      </w:pPr>
      <w:r>
        <w:rPr>
          <w:rFonts w:ascii="Arial" w:cs="Arial" w:eastAsia="Arial" w:hAnsi="Arial"/>
          <w:color w:val="1A1A1A"/>
          <w:sz w:val="22"/>
          <w:szCs w:val="22"/>
        </w:rPr>
        <w:t xml:space="preserve">Funding: Proud Tek internal marketing R&amp;D budget, USD 28,500.</w:t>
      </w:r>
    </w:p>
    <w:p>
      <w:pPr>
        <w:pStyle w:val="ListParagraph"/>
        <w:numPr>
          <w:ilvl w:val="0"/>
          <w:numId w:val="2"/>
        </w:numPr>
        <w:spacing w:after="80" w:line="300"/>
      </w:pPr>
      <w:r>
        <w:rPr>
          <w:rFonts w:ascii="Arial" w:cs="Arial" w:eastAsia="Arial" w:hAnsi="Arial"/>
          <w:color w:val="1A1A1A"/>
          <w:sz w:val="22"/>
          <w:szCs w:val="22"/>
        </w:rPr>
        <w:t xml:space="preserve">No external co-funding from RFID hardware vendors, integrators or end-user clients.</w:t>
      </w:r>
    </w:p>
    <w:p>
      <w:pPr>
        <w:pStyle w:val="ListParagraph"/>
        <w:numPr>
          <w:ilvl w:val="0"/>
          <w:numId w:val="2"/>
        </w:numPr>
        <w:spacing w:after="80" w:line="300"/>
      </w:pPr>
      <w:r>
        <w:rPr>
          <w:rFonts w:ascii="Arial" w:cs="Arial" w:eastAsia="Arial" w:hAnsi="Arial"/>
          <w:color w:val="1A1A1A"/>
          <w:sz w:val="22"/>
          <w:szCs w:val="22"/>
        </w:rPr>
        <w:t xml:space="preserve">Researchers: Peter Zhang is a Proud Tek principal. The statistical adviser and designer are independent contractors with no Proud Tek equity.</w:t>
      </w:r>
    </w:p>
    <w:p>
      <w:pPr>
        <w:pStyle w:val="ListParagraph"/>
        <w:numPr>
          <w:ilvl w:val="0"/>
          <w:numId w:val="2"/>
        </w:numPr>
        <w:spacing w:after="80" w:line="300"/>
      </w:pPr>
      <w:r>
        <w:rPr>
          <w:rFonts w:ascii="Arial" w:cs="Arial" w:eastAsia="Arial" w:hAnsi="Arial"/>
          <w:color w:val="1A1A1A"/>
          <w:sz w:val="22"/>
          <w:szCs w:val="22"/>
        </w:rPr>
        <w:t xml:space="preserve">Pre-existing relationships: any commercial relationship between Proud Tek and a respondent organization is flagged in the dataset (client-referral flag) and tested for robustness.</w:t>
      </w:r>
    </w:p>
    <w:p>
      <w:pPr>
        <w:pStyle w:val="ListParagraph"/>
        <w:numPr>
          <w:ilvl w:val="0"/>
          <w:numId w:val="2"/>
        </w:numPr>
        <w:spacing w:after="80" w:line="300"/>
      </w:pPr>
      <w:r>
        <w:rPr>
          <w:rFonts w:ascii="Arial" w:cs="Arial" w:eastAsia="Arial" w:hAnsi="Arial"/>
          <w:color w:val="1A1A1A"/>
          <w:sz w:val="22"/>
          <w:szCs w:val="22"/>
        </w:rPr>
        <w:t xml:space="preserve">Disclosure: this funding statement appears on every page of every published deliverable.</w:t>
      </w:r>
    </w:p>
    <w:p>
      <w:pPr>
        <w:pStyle w:val="Heading2"/>
        <w:spacing w:after="160" w:before="280"/>
      </w:pPr>
      <w:r>
        <w:rPr>
          <w:rFonts w:ascii="Arial" w:cs="Arial" w:eastAsia="Arial" w:hAnsi="Arial"/>
          <w:b/>
          <w:bCs/>
          <w:color w:val="1A1A1A"/>
          <w:sz w:val="28"/>
          <w:szCs w:val="28"/>
        </w:rPr>
        <w:t xml:space="preserve">A.6 Funding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Funding statement (reproduced verbatim in every public deliverable)</w:t>
            </w:r>
          </w:p>
          <w:p>
            <w:pPr>
              <w:spacing w:after="0" w:line="300"/>
            </w:pPr>
            <w:r>
              <w:rPr>
                <w:rFonts w:ascii="Arial" w:cs="Arial" w:eastAsia="Arial" w:hAnsi="Arial"/>
                <w:color w:val="1A1A1A"/>
                <w:sz w:val="22"/>
                <w:szCs w:val="22"/>
              </w:rPr>
              <w:t xml:space="preserve">The 2026 RFID Industry Adoption Index was funded entirely from Proud Tek internal marketing R&amp;D budget. No external co-funding from RFID hardware vendors, integrators, or end-user clients was accepted. The full Charter, the pre-registration, and the open dataset are published under CC-BY-4.0; analysis code is published on GitHub.</w:t>
            </w:r>
          </w:p>
        </w:tc>
      </w:tr>
    </w:tbl>
    <w:p>
      <w:r>
        <w:br w:type="page"/>
      </w:r>
    </w:p>
    <w:p>
      <w:pPr>
        <w:pStyle w:val="Heading1"/>
        <w:spacing w:after="200" w:before="360"/>
      </w:pPr>
      <w:r>
        <w:rPr>
          <w:rFonts w:ascii="Arial" w:cs="Arial" w:eastAsia="Arial" w:hAnsi="Arial"/>
          <w:b/>
          <w:bCs/>
          <w:color w:val="1A1A1A"/>
          <w:sz w:val="36"/>
          <w:szCs w:val="36"/>
        </w:rPr>
        <w:t xml:space="preserve">Recommendations</w:t>
      </w:r>
    </w:p>
    <w:p>
      <w:pPr>
        <w:spacing w:after="120" w:line="320"/>
      </w:pPr>
      <w:r>
        <w:rPr>
          <w:rFonts w:ascii="Arial" w:cs="Arial" w:eastAsia="Arial" w:hAnsi="Arial"/>
          <w:color w:val="1A1A1A"/>
          <w:sz w:val="22"/>
          <w:szCs w:val="22"/>
        </w:rPr>
        <w:t xml:space="preserve">Recommendations are split by audience. Each section is intentionally short — the report priority is the data, not the recommendations; the recommendations are the analyst editorial layer added on top of the data, and they should be read as such.</w:t>
      </w:r>
    </w:p>
    <w:p>
      <w:pPr>
        <w:pStyle w:val="Heading2"/>
        <w:spacing w:after="160" w:before="280"/>
      </w:pPr>
      <w:r>
        <w:rPr>
          <w:rFonts w:ascii="Arial" w:cs="Arial" w:eastAsia="Arial" w:hAnsi="Arial"/>
          <w:b/>
          <w:bCs/>
          <w:color w:val="1A1A1A"/>
          <w:sz w:val="28"/>
          <w:szCs w:val="28"/>
        </w:rPr>
        <w:t xml:space="preserve">For RFID buyers</w:t>
      </w:r>
    </w:p>
    <w:p>
      <w:pPr>
        <w:pStyle w:val="ListParagraph"/>
        <w:numPr>
          <w:ilvl w:val="0"/>
          <w:numId w:val="2"/>
        </w:numPr>
        <w:spacing w:after="80" w:line="300"/>
      </w:pPr>
      <w:r>
        <w:rPr>
          <w:rFonts w:ascii="Arial" w:cs="Arial" w:eastAsia="Arial" w:hAnsi="Arial"/>
          <w:color w:val="1A1A1A"/>
          <w:sz w:val="22"/>
          <w:szCs w:val="22"/>
        </w:rPr>
        <w:t xml:space="preserve">Run a pre-vs-post measurement on the KPI you care about most. Most realized lift falls inside the band the data here reports; over-claimed lifts in vendor case studies are usually best-customer outliers.</w:t>
      </w:r>
    </w:p>
    <w:p>
      <w:pPr>
        <w:pStyle w:val="ListParagraph"/>
        <w:numPr>
          <w:ilvl w:val="0"/>
          <w:numId w:val="2"/>
        </w:numPr>
        <w:spacing w:after="80" w:line="300"/>
      </w:pPr>
      <w:r>
        <w:rPr>
          <w:rFonts w:ascii="Arial" w:cs="Arial" w:eastAsia="Arial" w:hAnsi="Arial"/>
          <w:color w:val="1A1A1A"/>
          <w:sz w:val="22"/>
          <w:szCs w:val="22"/>
        </w:rPr>
        <w:t xml:space="preserve">Pre-register your pilot success criteria with your CFO. Pilots that drift on the success criteria become pilots that never end.</w:t>
      </w:r>
    </w:p>
    <w:p>
      <w:pPr>
        <w:pStyle w:val="ListParagraph"/>
        <w:numPr>
          <w:ilvl w:val="0"/>
          <w:numId w:val="2"/>
        </w:numPr>
        <w:spacing w:after="80" w:line="300"/>
      </w:pPr>
      <w:r>
        <w:rPr>
          <w:rFonts w:ascii="Arial" w:cs="Arial" w:eastAsia="Arial" w:hAnsi="Arial"/>
          <w:color w:val="1A1A1A"/>
          <w:sz w:val="22"/>
          <w:szCs w:val="22"/>
        </w:rPr>
        <w:t xml:space="preserve">Treat mandate compliance as a baseline, not as a strategy. Most buyers in mandate-bound industries are now treating compliance as a sub-tier of a broader operational deployment, which is the right move.</w:t>
      </w:r>
    </w:p>
    <w:p>
      <w:pPr>
        <w:pStyle w:val="Heading2"/>
        <w:spacing w:after="160" w:before="280"/>
      </w:pPr>
      <w:r>
        <w:rPr>
          <w:rFonts w:ascii="Arial" w:cs="Arial" w:eastAsia="Arial" w:hAnsi="Arial"/>
          <w:b/>
          <w:bCs/>
          <w:color w:val="1A1A1A"/>
          <w:sz w:val="28"/>
          <w:szCs w:val="28"/>
        </w:rPr>
        <w:t xml:space="preserve">For RFID integrators</w:t>
      </w:r>
    </w:p>
    <w:p>
      <w:pPr>
        <w:pStyle w:val="ListParagraph"/>
        <w:numPr>
          <w:ilvl w:val="0"/>
          <w:numId w:val="2"/>
        </w:numPr>
        <w:spacing w:after="80" w:line="300"/>
      </w:pPr>
      <w:r>
        <w:rPr>
          <w:rFonts w:ascii="Arial" w:cs="Arial" w:eastAsia="Arial" w:hAnsi="Arial"/>
          <w:color w:val="1A1A1A"/>
          <w:sz w:val="22"/>
          <w:szCs w:val="22"/>
        </w:rPr>
        <w:t xml:space="preserve">The 2027 pipeline is in the "hold-state" respondents, not the "expanding" ones. Hold-state respondents have a deployment and are not yet ready to expand; that is the highest-conversion top-of-funnel for new business.</w:t>
      </w:r>
    </w:p>
    <w:p>
      <w:pPr>
        <w:pStyle w:val="ListParagraph"/>
        <w:numPr>
          <w:ilvl w:val="0"/>
          <w:numId w:val="2"/>
        </w:numPr>
        <w:spacing w:after="80" w:line="300"/>
      </w:pPr>
      <w:r>
        <w:rPr>
          <w:rFonts w:ascii="Arial" w:cs="Arial" w:eastAsia="Arial" w:hAnsi="Arial"/>
          <w:color w:val="1A1A1A"/>
          <w:sz w:val="22"/>
          <w:szCs w:val="22"/>
        </w:rPr>
        <w:t xml:space="preserve">Compliance documentation is consistently in the top three vendor criteria. Compliance documentation is cheap to maintain and easy to differentiate on; many integrators leave it as an afterthought.</w:t>
      </w:r>
    </w:p>
    <w:p>
      <w:pPr>
        <w:pStyle w:val="ListParagraph"/>
        <w:numPr>
          <w:ilvl w:val="0"/>
          <w:numId w:val="2"/>
        </w:numPr>
        <w:spacing w:after="80" w:line="300"/>
      </w:pPr>
      <w:r>
        <w:rPr>
          <w:rFonts w:ascii="Arial" w:cs="Arial" w:eastAsia="Arial" w:hAnsi="Arial"/>
          <w:color w:val="1A1A1A"/>
          <w:sz w:val="22"/>
          <w:szCs w:val="22"/>
        </w:rPr>
        <w:t xml:space="preserve">Lead time has overtaken price on the buy-side ranking for the most-revenue industries. If your supply chain story is weaker than your price story, fix the supply chain story.</w:t>
      </w:r>
    </w:p>
    <w:p>
      <w:pPr>
        <w:pStyle w:val="Heading2"/>
        <w:spacing w:after="160" w:before="280"/>
      </w:pPr>
      <w:r>
        <w:rPr>
          <w:rFonts w:ascii="Arial" w:cs="Arial" w:eastAsia="Arial" w:hAnsi="Arial"/>
          <w:b/>
          <w:bCs/>
          <w:color w:val="1A1A1A"/>
          <w:sz w:val="28"/>
          <w:szCs w:val="28"/>
        </w:rPr>
        <w:t xml:space="preserve">For RFID hardware vendors</w:t>
      </w:r>
    </w:p>
    <w:p>
      <w:pPr>
        <w:pStyle w:val="ListParagraph"/>
        <w:numPr>
          <w:ilvl w:val="0"/>
          <w:numId w:val="2"/>
        </w:numPr>
        <w:spacing w:after="80" w:line="300"/>
      </w:pPr>
      <w:r>
        <w:rPr>
          <w:rFonts w:ascii="Arial" w:cs="Arial" w:eastAsia="Arial" w:hAnsi="Arial"/>
          <w:color w:val="1A1A1A"/>
          <w:sz w:val="22"/>
          <w:szCs w:val="22"/>
        </w:rPr>
        <w:t xml:space="preserve">The single biggest non-mandate growth driver in 2026 is ESG-reporting in data centers. The use-case is asset chain-of-custody; the buying organization is DCIM, not IT or facilities; the budget cycle is annual ESG reporting, not capex.</w:t>
      </w:r>
    </w:p>
    <w:p>
      <w:pPr>
        <w:pStyle w:val="ListParagraph"/>
        <w:numPr>
          <w:ilvl w:val="0"/>
          <w:numId w:val="2"/>
        </w:numPr>
        <w:spacing w:after="80" w:line="300"/>
      </w:pPr>
      <w:r>
        <w:rPr>
          <w:rFonts w:ascii="Arial" w:cs="Arial" w:eastAsia="Arial" w:hAnsi="Arial"/>
          <w:color w:val="1A1A1A"/>
          <w:sz w:val="22"/>
          <w:szCs w:val="22"/>
        </w:rPr>
        <w:t xml:space="preserve">Sustainability and country-of-origin criteria are moving up the Plackett-Luce ranking. Vendor disclosure on materials, supply chain, and country-of-origin is increasingly a basic-hygiene item.</w:t>
      </w:r>
    </w:p>
    <w:p>
      <w:pPr>
        <w:pStyle w:val="ListParagraph"/>
        <w:numPr>
          <w:ilvl w:val="0"/>
          <w:numId w:val="2"/>
        </w:numPr>
        <w:spacing w:after="80" w:line="300"/>
      </w:pPr>
      <w:r>
        <w:rPr>
          <w:rFonts w:ascii="Arial" w:cs="Arial" w:eastAsia="Arial" w:hAnsi="Arial"/>
          <w:color w:val="1A1A1A"/>
          <w:sz w:val="22"/>
          <w:szCs w:val="22"/>
        </w:rPr>
        <w:t xml:space="preserve">The respondents most likely to switch vendor name lead-time and customization as the swing factor — not price. Marketing that leads on price misses the swing factor and engages the cohort least likely to switch.</w:t>
      </w:r>
    </w:p>
    <w:p>
      <w:pPr>
        <w:pStyle w:val="Heading2"/>
        <w:spacing w:after="160" w:before="280"/>
      </w:pPr>
      <w:r>
        <w:rPr>
          <w:rFonts w:ascii="Arial" w:cs="Arial" w:eastAsia="Arial" w:hAnsi="Arial"/>
          <w:b/>
          <w:bCs/>
          <w:color w:val="1A1A1A"/>
          <w:sz w:val="28"/>
          <w:szCs w:val="28"/>
        </w:rPr>
        <w:t xml:space="preserve">For regulators and policy-makers</w:t>
      </w:r>
    </w:p>
    <w:p>
      <w:pPr>
        <w:pStyle w:val="ListParagraph"/>
        <w:numPr>
          <w:ilvl w:val="0"/>
          <w:numId w:val="2"/>
        </w:numPr>
        <w:spacing w:after="80" w:line="300"/>
      </w:pPr>
      <w:r>
        <w:rPr>
          <w:rFonts w:ascii="Arial" w:cs="Arial" w:eastAsia="Arial" w:hAnsi="Arial"/>
          <w:color w:val="1A1A1A"/>
          <w:sz w:val="22"/>
          <w:szCs w:val="22"/>
        </w:rPr>
        <w:t xml:space="preserve">Mandate fatigue is real and is correlated with poorer compliance, not better. A coordinated mandate timeline across regulators is the single most consequential improvement available.</w:t>
      </w:r>
    </w:p>
    <w:p>
      <w:pPr>
        <w:pStyle w:val="ListParagraph"/>
        <w:numPr>
          <w:ilvl w:val="0"/>
          <w:numId w:val="2"/>
        </w:numPr>
        <w:spacing w:after="80" w:line="300"/>
      </w:pPr>
      <w:r>
        <w:rPr>
          <w:rFonts w:ascii="Arial" w:cs="Arial" w:eastAsia="Arial" w:hAnsi="Arial"/>
          <w:color w:val="1A1A1A"/>
          <w:sz w:val="22"/>
          <w:szCs w:val="22"/>
        </w:rPr>
        <w:t xml:space="preserve">EU DPP supplier readiness lags the announced timeline by a measurable margin. A staged enforcement approach with explicit "good faith" criteria during the first 12 months would convert most at-risk respondents to on-track.</w:t>
      </w:r>
    </w:p>
    <w:p>
      <w:pPr>
        <w:pStyle w:val="ListParagraph"/>
        <w:numPr>
          <w:ilvl w:val="0"/>
          <w:numId w:val="2"/>
        </w:numPr>
        <w:spacing w:after="80" w:line="300"/>
      </w:pPr>
      <w:r>
        <w:rPr>
          <w:rFonts w:ascii="Arial" w:cs="Arial" w:eastAsia="Arial" w:hAnsi="Arial"/>
          <w:color w:val="1A1A1A"/>
          <w:sz w:val="22"/>
          <w:szCs w:val="22"/>
        </w:rPr>
        <w:t xml:space="preserve">Open-data publication of audit findings would be the single most useful improvement for trade-press accountability journalism.</w:t>
      </w:r>
    </w:p>
    <w:p>
      <w:r>
        <w:br w:type="page"/>
      </w:r>
    </w:p>
    <w:p>
      <w:pPr>
        <w:pStyle w:val="Heading1"/>
        <w:spacing w:after="200" w:before="360"/>
      </w:pPr>
      <w:r>
        <w:rPr>
          <w:rFonts w:ascii="Arial" w:cs="Arial" w:eastAsia="Arial" w:hAnsi="Arial"/>
          <w:b/>
          <w:bCs/>
          <w:color w:val="1A1A1A"/>
          <w:sz w:val="36"/>
          <w:szCs w:val="36"/>
        </w:rPr>
        <w:t xml:space="preserve">Citation and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License</w:t>
            </w:r>
          </w:p>
          <w:p>
            <w:pPr>
              <w:spacing w:after="0" w:line="300"/>
            </w:pPr>
            <w:r>
              <w:rPr>
                <w:rFonts w:ascii="Arial" w:cs="Arial" w:eastAsia="Arial" w:hAnsi="Arial"/>
                <w:color w:val="1A1A1A"/>
                <w:sz w:val="22"/>
                <w:szCs w:val="22"/>
              </w:rPr>
              <w:t xml:space="preserve">This report and its underlying dataset are published under the Creative Commons Attribution 4.0 International license (CC-BY-4.0). You may share, adapt, and reuse the report and the dataset for any purpose, including commercial, provided you give appropriate credit to Proud Tek Research. The full license text is at https://creativecommons.org/licenses/by/4.0/.</w:t>
            </w:r>
          </w:p>
        </w:tc>
      </w:tr>
    </w:tbl>
    <w:p>
      <w:pPr>
        <w:pStyle w:val="Heading2"/>
        <w:spacing w:after="160" w:before="280"/>
      </w:pPr>
      <w:r>
        <w:rPr>
          <w:rFonts w:ascii="Arial" w:cs="Arial" w:eastAsia="Arial" w:hAnsi="Arial"/>
          <w:b/>
          <w:bCs/>
          <w:color w:val="1A1A1A"/>
          <w:sz w:val="28"/>
          <w:szCs w:val="28"/>
        </w:rPr>
        <w:t xml:space="preserve">Suggested citation — APA style</w:t>
      </w:r>
    </w:p>
    <w:p>
      <w:pPr>
        <w:spacing w:after="120" w:line="320"/>
      </w:pPr>
      <w:r>
        <w:rPr>
          <w:rFonts w:ascii="Arial" w:cs="Arial" w:eastAsia="Arial" w:hAnsi="Arial"/>
          <w:color w:val="1A1A1A"/>
          <w:sz w:val="22"/>
          <w:szCs w:val="22"/>
        </w:rPr>
        <w:t xml:space="preserve">Proud Tek Research. (2026). 2026 RFID Industry Adoption Index. Proud Tek. https://proudtek.com/research/2026-rfid-industry-adoption-index/</w:t>
      </w:r>
    </w:p>
    <w:p>
      <w:pPr>
        <w:pStyle w:val="Heading2"/>
        <w:spacing w:after="160" w:before="280"/>
      </w:pPr>
      <w:r>
        <w:rPr>
          <w:rFonts w:ascii="Arial" w:cs="Arial" w:eastAsia="Arial" w:hAnsi="Arial"/>
          <w:b/>
          <w:bCs/>
          <w:color w:val="1A1A1A"/>
          <w:sz w:val="28"/>
          <w:szCs w:val="28"/>
        </w:rPr>
        <w:t xml:space="preserve">Suggested citation — Chicago style (author-date)</w:t>
      </w:r>
    </w:p>
    <w:p>
      <w:pPr>
        <w:spacing w:after="120" w:line="320"/>
      </w:pPr>
      <w:r>
        <w:rPr>
          <w:rFonts w:ascii="Arial" w:cs="Arial" w:eastAsia="Arial" w:hAnsi="Arial"/>
          <w:color w:val="1A1A1A"/>
          <w:sz w:val="22"/>
          <w:szCs w:val="22"/>
        </w:rPr>
        <w:t xml:space="preserve">Proud Tek Research. 2026. "2026 RFID Industry Adoption Index." Proud Tek. https://proudtek.com/research/2026-rfid-industry-adoption-index/.</w:t>
      </w:r>
    </w:p>
    <w:p>
      <w:pPr>
        <w:pStyle w:val="Heading2"/>
        <w:spacing w:after="160" w:before="280"/>
      </w:pPr>
      <w:r>
        <w:rPr>
          <w:rFonts w:ascii="Arial" w:cs="Arial" w:eastAsia="Arial" w:hAnsi="Arial"/>
          <w:b/>
          <w:bCs/>
          <w:color w:val="1A1A1A"/>
          <w:sz w:val="28"/>
          <w:szCs w:val="28"/>
        </w:rPr>
        <w:t xml:space="preserve">Suggested citation — trade-journal style (RFID Journal etc.)</w:t>
      </w:r>
    </w:p>
    <w:p>
      <w:pPr>
        <w:spacing w:after="120" w:line="320"/>
      </w:pPr>
      <w:r>
        <w:rPr>
          <w:rFonts w:ascii="Arial" w:cs="Arial" w:eastAsia="Arial" w:hAnsi="Arial"/>
          <w:color w:val="1A1A1A"/>
          <w:sz w:val="22"/>
          <w:szCs w:val="22"/>
        </w:rPr>
        <w:t xml:space="preserve">Proud Tek Research, 2026 RFID Industry Adoption Index (Proud Tek, 2026), https://proudtek.com/research/2026-rfid-industry-adoption-index/.</w:t>
      </w:r>
    </w:p>
    <w:p>
      <w:pPr>
        <w:pStyle w:val="Heading2"/>
        <w:spacing w:after="160" w:before="280"/>
      </w:pPr>
      <w:r>
        <w:rPr>
          <w:rFonts w:ascii="Arial" w:cs="Arial" w:eastAsia="Arial" w:hAnsi="Arial"/>
          <w:b/>
          <w:bCs/>
          <w:color w:val="1A1A1A"/>
          <w:sz w:val="28"/>
          <w:szCs w:val="28"/>
        </w:rPr>
        <w:t xml:space="preserve">Dataset citation</w:t>
      </w:r>
    </w:p>
    <w:p>
      <w:pPr>
        <w:spacing w:after="120" w:line="320"/>
      </w:pPr>
      <w:r>
        <w:rPr>
          <w:rFonts w:ascii="Arial" w:cs="Arial" w:eastAsia="Arial" w:hAnsi="Arial"/>
          <w:color w:val="1A1A1A"/>
          <w:sz w:val="22"/>
          <w:szCs w:val="22"/>
        </w:rPr>
        <w:t xml:space="preserve">Proud Tek Research. (2027). 2026 RFID Industry Adoption Index — anonymized respondent-level dataset [Dataset]. CC-BY-4.0. https://proudtek.com/research/2026-rfid-industry-adoption-index/dataset/</w:t>
      </w:r>
    </w:p>
    <w:p>
      <w:pPr>
        <w:pStyle w:val="Heading2"/>
        <w:spacing w:after="160" w:before="280"/>
      </w:pPr>
      <w:r>
        <w:rPr>
          <w:rFonts w:ascii="Arial" w:cs="Arial" w:eastAsia="Arial" w:hAnsi="Arial"/>
          <w:b/>
          <w:bCs/>
          <w:color w:val="1A1A1A"/>
          <w:sz w:val="28"/>
          <w:szCs w:val="28"/>
        </w:rPr>
        <w:t xml:space="preserve">Permitted use</w:t>
      </w:r>
    </w:p>
    <w:p>
      <w:pPr>
        <w:pStyle w:val="ListParagraph"/>
        <w:numPr>
          <w:ilvl w:val="0"/>
          <w:numId w:val="2"/>
        </w:numPr>
        <w:spacing w:after="80" w:line="300"/>
      </w:pPr>
      <w:r>
        <w:rPr>
          <w:rFonts w:ascii="Arial" w:cs="Arial" w:eastAsia="Arial" w:hAnsi="Arial"/>
          <w:color w:val="1A1A1A"/>
          <w:sz w:val="22"/>
          <w:szCs w:val="22"/>
        </w:rPr>
        <w:t xml:space="preserve">Direct quotation of findings with citation — permitted without further permission.</w:t>
      </w:r>
    </w:p>
    <w:p>
      <w:pPr>
        <w:pStyle w:val="ListParagraph"/>
        <w:numPr>
          <w:ilvl w:val="0"/>
          <w:numId w:val="2"/>
        </w:numPr>
        <w:spacing w:after="80" w:line="300"/>
      </w:pPr>
      <w:r>
        <w:rPr>
          <w:rFonts w:ascii="Arial" w:cs="Arial" w:eastAsia="Arial" w:hAnsi="Arial"/>
          <w:color w:val="1A1A1A"/>
          <w:sz w:val="22"/>
          <w:szCs w:val="22"/>
        </w:rPr>
        <w:t xml:space="preserve">Reproduction of charts with caption attribution — permitted.</w:t>
      </w:r>
    </w:p>
    <w:p>
      <w:pPr>
        <w:pStyle w:val="ListParagraph"/>
        <w:numPr>
          <w:ilvl w:val="0"/>
          <w:numId w:val="2"/>
        </w:numPr>
        <w:spacing w:after="80" w:line="300"/>
      </w:pPr>
      <w:r>
        <w:rPr>
          <w:rFonts w:ascii="Arial" w:cs="Arial" w:eastAsia="Arial" w:hAnsi="Arial"/>
          <w:color w:val="1A1A1A"/>
          <w:sz w:val="22"/>
          <w:szCs w:val="22"/>
        </w:rPr>
        <w:t xml:space="preserve">Reuse of the anonymized dataset for derivative analysis with citation — permitted.</w:t>
      </w:r>
    </w:p>
    <w:p>
      <w:pPr>
        <w:pStyle w:val="ListParagraph"/>
        <w:numPr>
          <w:ilvl w:val="0"/>
          <w:numId w:val="2"/>
        </w:numPr>
        <w:spacing w:after="80" w:line="300"/>
      </w:pPr>
      <w:r>
        <w:rPr>
          <w:rFonts w:ascii="Arial" w:cs="Arial" w:eastAsia="Arial" w:hAnsi="Arial"/>
          <w:color w:val="1A1A1A"/>
          <w:sz w:val="22"/>
          <w:szCs w:val="22"/>
        </w:rPr>
        <w:t xml:space="preserve">Reuse of the instrument for non-commercial replication of the methodology with citation — permitted.</w:t>
      </w:r>
    </w:p>
    <w:p>
      <w:pPr>
        <w:pStyle w:val="ListParagraph"/>
        <w:numPr>
          <w:ilvl w:val="0"/>
          <w:numId w:val="2"/>
        </w:numPr>
        <w:spacing w:after="80" w:line="300"/>
      </w:pPr>
      <w:r>
        <w:rPr>
          <w:rFonts w:ascii="Arial" w:cs="Arial" w:eastAsia="Arial" w:hAnsi="Arial"/>
          <w:color w:val="1A1A1A"/>
          <w:sz w:val="22"/>
          <w:szCs w:val="22"/>
        </w:rPr>
        <w:t xml:space="preserve">Use of the Proud Tek name or marks beyond citation — not permitted without separate written permission.</w:t>
      </w:r>
    </w:p>
    <w:p>
      <w:r>
        <w:br w:type="page"/>
      </w:r>
    </w:p>
    <w:p>
      <w:pPr>
        <w:pStyle w:val="Heading1"/>
        <w:spacing w:after="200" w:before="360"/>
      </w:pPr>
      <w:r>
        <w:rPr>
          <w:rFonts w:ascii="Arial" w:cs="Arial" w:eastAsia="Arial" w:hAnsi="Arial"/>
          <w:b/>
          <w:bCs/>
          <w:color w:val="1A1A1A"/>
          <w:sz w:val="36"/>
          <w:szCs w:val="36"/>
        </w:rPr>
        <w:t xml:space="preserve">About Proud Tek</w:t>
      </w:r>
    </w:p>
    <w:p>
      <w:pPr>
        <w:spacing w:after="120" w:line="320"/>
      </w:pPr>
      <w:r>
        <w:rPr>
          <w:rFonts w:ascii="Arial" w:cs="Arial" w:eastAsia="Arial" w:hAnsi="Arial"/>
          <w:color w:val="1A1A1A"/>
          <w:sz w:val="22"/>
          <w:szCs w:val="22"/>
        </w:rPr>
        <w:t xml:space="preserve">Proud Tek is an editorial publisher covering twenty industries that use RFID and NFC technology. Proud Tek Research is the in-house research program — the source of the 2026 RFID Industry Adoption Index and the planned quarterly Regulatory Pulse and biennial Deep-Field studies. The research program is funded internally and accepts no external co-funding from RFID hardware vendors, integrators or end-user clients.</w:t>
      </w:r>
    </w:p>
    <w:p>
      <w:pPr>
        <w:spacing w:after="120" w:line="320"/>
      </w:pPr>
      <w:r>
        <w:rPr>
          <w:rFonts w:ascii="Arial" w:cs="Arial" w:eastAsia="Arial" w:hAnsi="Arial"/>
          <w:color w:val="1A1A1A"/>
          <w:sz w:val="22"/>
          <w:szCs w:val="22"/>
        </w:rPr>
        <w:t xml:space="preserve">The editorial product is read by procurement, IT, supply-chain, brand-protection and operations leaders across the twenty industries we cover. The /research/ section of proudtek.com is the canonical home for everything the research program publishes; the /industries/ section is the editorial product per industry.</w:t>
      </w:r>
    </w:p>
    <w:p>
      <w:pPr>
        <w:spacing w:after="120" w:line="320"/>
      </w:pPr>
      <w:r>
        <w:rPr>
          <w:rFonts w:ascii="Arial" w:cs="Arial" w:eastAsia="Arial" w:hAnsi="Arial"/>
          <w:color w:val="1A1A1A"/>
          <w:sz w:val="22"/>
          <w:szCs w:val="22"/>
        </w:rPr>
        <w:t xml:space="preserve">Contact: research@proudtek.com.</w:t>
      </w:r>
    </w:p>
    <w:p>
      <w:r>
        <w:br w:type="page"/>
      </w:r>
    </w:p>
    <w:p>
      <w:pPr>
        <w:pStyle w:val="Heading1"/>
        <w:spacing w:after="200" w:before="360"/>
      </w:pPr>
      <w:r>
        <w:rPr>
          <w:rFonts w:ascii="Arial" w:cs="Arial" w:eastAsia="Arial" w:hAnsi="Arial"/>
          <w:b/>
          <w:bCs/>
          <w:color w:val="1A1A1A"/>
          <w:sz w:val="36"/>
          <w:szCs w:val="36"/>
        </w:rPr>
        <w:t xml:space="preserve">Acknowledgements</w:t>
      </w:r>
    </w:p>
    <w:p>
      <w:pPr>
        <w:spacing w:after="120" w:line="320"/>
      </w:pPr>
      <w:r>
        <w:rPr>
          <w:rFonts w:ascii="Arial" w:cs="Arial" w:eastAsia="Arial" w:hAnsi="Arial"/>
          <w:color w:val="1A1A1A"/>
          <w:sz w:val="22"/>
          <w:szCs w:val="22"/>
        </w:rPr>
        <w:t xml:space="preserve">A study with two hundred respondents and twenty interviewees is the work of more than the named authors. The acknowledgements below cover everyone who contributed — researchers, advisers, charities supported through the donation incentive, and named interviewees who consented to be acknowledged.</w:t>
      </w:r>
    </w:p>
    <w:p>
      <w:pPr>
        <w:pStyle w:val="Heading2"/>
        <w:spacing w:after="160" w:before="280"/>
      </w:pPr>
      <w:r>
        <w:rPr>
          <w:rFonts w:ascii="Arial" w:cs="Arial" w:eastAsia="Arial" w:hAnsi="Arial"/>
          <w:b/>
          <w:bCs/>
          <w:color w:val="1A1A1A"/>
          <w:sz w:val="28"/>
          <w:szCs w:val="28"/>
        </w:rPr>
        <w:t xml:space="preserve">Research team</w:t>
      </w:r>
    </w:p>
    <w:p>
      <w:pPr>
        <w:pStyle w:val="ListParagraph"/>
        <w:numPr>
          <w:ilvl w:val="0"/>
          <w:numId w:val="2"/>
        </w:numPr>
        <w:spacing w:after="80" w:line="300"/>
      </w:pPr>
      <w:r>
        <w:rPr>
          <w:rFonts w:ascii="Arial" w:cs="Arial" w:eastAsia="Arial" w:hAnsi="Arial"/>
          <w:color w:val="1A1A1A"/>
          <w:sz w:val="22"/>
          <w:szCs w:val="22"/>
        </w:rPr>
        <w:t xml:space="preserve">Peter Zhang, Sponsor and Principal — Proud Tek.</w:t>
      </w:r>
    </w:p>
    <w:p>
      <w:pPr>
        <w:pStyle w:val="ListParagraph"/>
        <w:numPr>
          <w:ilvl w:val="0"/>
          <w:numId w:val="2"/>
        </w:numPr>
        <w:spacing w:after="80" w:line="300"/>
      </w:pPr>
      <w:r>
        <w:rPr>
          <w:rFonts w:ascii="Arial" w:cs="Arial" w:eastAsia="Arial" w:hAnsi="Arial"/>
          <w:color w:val="1A1A1A"/>
          <w:sz w:val="22"/>
          <w:szCs w:val="22"/>
        </w:rPr>
        <w:t xml:space="preserve">ProudTek Editorial Board — research lead and report editor.</w:t>
      </w:r>
    </w:p>
    <w:p>
      <w:pPr>
        <w:pStyle w:val="ListParagraph"/>
        <w:numPr>
          <w:ilvl w:val="0"/>
          <w:numId w:val="2"/>
        </w:numPr>
        <w:spacing w:after="80" w:line="300"/>
      </w:pPr>
      <w:r>
        <w:rPr>
          <w:rFonts w:ascii="Arial" w:cs="Arial" w:eastAsia="Arial" w:hAnsi="Arial"/>
          <w:color w:val="1A1A1A"/>
          <w:sz w:val="22"/>
          <w:szCs w:val="22"/>
        </w:rPr>
        <w:t xml:space="preserve">[DATA: stats_adviser_name] — Statistical adviser (independent contractor).</w:t>
      </w:r>
    </w:p>
    <w:p>
      <w:pPr>
        <w:pStyle w:val="ListParagraph"/>
        <w:numPr>
          <w:ilvl w:val="0"/>
          <w:numId w:val="2"/>
        </w:numPr>
        <w:spacing w:after="80" w:line="300"/>
      </w:pPr>
      <w:r>
        <w:rPr>
          <w:rFonts w:ascii="Arial" w:cs="Arial" w:eastAsia="Arial" w:hAnsi="Arial"/>
          <w:color w:val="1A1A1A"/>
          <w:sz w:val="22"/>
          <w:szCs w:val="22"/>
        </w:rPr>
        <w:t xml:space="preserve">[DATA: report_designer_name] — Report designer (independent contractor).</w:t>
      </w:r>
    </w:p>
    <w:p>
      <w:pPr>
        <w:pStyle w:val="ListParagraph"/>
        <w:numPr>
          <w:ilvl w:val="0"/>
          <w:numId w:val="2"/>
        </w:numPr>
        <w:spacing w:after="80" w:line="300"/>
      </w:pPr>
      <w:r>
        <w:rPr>
          <w:rFonts w:ascii="Arial" w:cs="Arial" w:eastAsia="Arial" w:hAnsi="Arial"/>
          <w:color w:val="1A1A1A"/>
          <w:sz w:val="22"/>
          <w:szCs w:val="22"/>
        </w:rPr>
        <w:t xml:space="preserve">[DATA: anonymization_reviewer_name] — Anonymization reviewer (independent contractor).</w:t>
      </w:r>
    </w:p>
    <w:p>
      <w:pPr>
        <w:pStyle w:val="ListParagraph"/>
        <w:numPr>
          <w:ilvl w:val="0"/>
          <w:numId w:val="2"/>
        </w:numPr>
        <w:spacing w:after="80" w:line="300"/>
      </w:pPr>
      <w:r>
        <w:rPr>
          <w:rFonts w:ascii="Arial" w:cs="Arial" w:eastAsia="Arial" w:hAnsi="Arial"/>
          <w:color w:val="1A1A1A"/>
          <w:sz w:val="22"/>
          <w:szCs w:val="22"/>
        </w:rPr>
        <w:t xml:space="preserve">[DATA: ethics_adviser_name] — Independent ethics adviser.</w:t>
      </w:r>
    </w:p>
    <w:p>
      <w:pPr>
        <w:pStyle w:val="Heading2"/>
        <w:spacing w:after="160" w:before="280"/>
      </w:pPr>
      <w:r>
        <w:rPr>
          <w:rFonts w:ascii="Arial" w:cs="Arial" w:eastAsia="Arial" w:hAnsi="Arial"/>
          <w:b/>
          <w:bCs/>
          <w:color w:val="1A1A1A"/>
          <w:sz w:val="28"/>
          <w:szCs w:val="28"/>
        </w:rPr>
        <w:t xml:space="preserve">Charities supported through the donation incentive</w:t>
      </w:r>
    </w:p>
    <w:p>
      <w:pPr>
        <w:pStyle w:val="ListParagraph"/>
        <w:numPr>
          <w:ilvl w:val="0"/>
          <w:numId w:val="2"/>
        </w:numPr>
        <w:spacing w:after="80" w:line="300"/>
      </w:pPr>
      <w:r>
        <w:rPr>
          <w:rFonts w:ascii="Arial" w:cs="Arial" w:eastAsia="Arial" w:hAnsi="Arial"/>
          <w:color w:val="1A1A1A"/>
          <w:sz w:val="22"/>
          <w:szCs w:val="22"/>
        </w:rPr>
        <w:t xml:space="preserve">Doctors Without Borders / Medecins Sans Frontieres — [DATA: msf_total_donated_usd] USD donated in 2026.</w:t>
      </w:r>
    </w:p>
    <w:p>
      <w:pPr>
        <w:pStyle w:val="ListParagraph"/>
        <w:numPr>
          <w:ilvl w:val="0"/>
          <w:numId w:val="2"/>
        </w:numPr>
        <w:spacing w:after="80" w:line="300"/>
      </w:pPr>
      <w:r>
        <w:rPr>
          <w:rFonts w:ascii="Arial" w:cs="Arial" w:eastAsia="Arial" w:hAnsi="Arial"/>
          <w:color w:val="1A1A1A"/>
          <w:sz w:val="22"/>
          <w:szCs w:val="22"/>
        </w:rPr>
        <w:t xml:space="preserve">World Food Programme — [DATA: wfp_total_donated_usd] USD donated in 2026.</w:t>
      </w:r>
    </w:p>
    <w:p>
      <w:pPr>
        <w:pStyle w:val="ListParagraph"/>
        <w:numPr>
          <w:ilvl w:val="0"/>
          <w:numId w:val="2"/>
        </w:numPr>
        <w:spacing w:after="80" w:line="300"/>
      </w:pPr>
      <w:r>
        <w:rPr>
          <w:rFonts w:ascii="Arial" w:cs="Arial" w:eastAsia="Arial" w:hAnsi="Arial"/>
          <w:color w:val="1A1A1A"/>
          <w:sz w:val="22"/>
          <w:szCs w:val="22"/>
        </w:rPr>
        <w:t xml:space="preserve">Khan Academy — [DATA: khan_total_donated_usd] USD donated in 2026.</w:t>
      </w:r>
    </w:p>
    <w:p>
      <w:pPr>
        <w:pStyle w:val="Heading2"/>
        <w:spacing w:after="160" w:before="280"/>
      </w:pPr>
      <w:r>
        <w:rPr>
          <w:rFonts w:ascii="Arial" w:cs="Arial" w:eastAsia="Arial" w:hAnsi="Arial"/>
          <w:b/>
          <w:bCs/>
          <w:color w:val="1A1A1A"/>
          <w:sz w:val="28"/>
          <w:szCs w:val="28"/>
        </w:rPr>
        <w:t xml:space="preserve">Expert interviewees (consent-confirmed)</w:t>
      </w:r>
    </w:p>
    <w:p>
      <w:pPr>
        <w:spacing w:after="120" w:line="300"/>
      </w:pPr>
      <w:r>
        <w:rPr>
          <w:rFonts w:ascii="Arial" w:cs="Arial" w:eastAsia="Arial" w:hAnsi="Arial"/>
          <w:b/>
          <w:bCs/>
          <w:i/>
          <w:iCs/>
          <w:color w:val="C39A5F"/>
          <w:sz w:val="22"/>
          <w:szCs w:val="22"/>
        </w:rPr>
        <w:t xml:space="preserve">[DATA: interviewee_acknowledgements — full list of consent-confirmed interviewees, one per industry, name, title, organization where consent granted; otherwise listed by industry only]</w:t>
      </w:r>
    </w:p>
    <w:p>
      <w:pPr>
        <w:pStyle w:val="Heading2"/>
        <w:spacing w:after="160" w:before="280"/>
      </w:pPr>
      <w:r>
        <w:rPr>
          <w:rFonts w:ascii="Arial" w:cs="Arial" w:eastAsia="Arial" w:hAnsi="Arial"/>
          <w:b/>
          <w:bCs/>
          <w:color w:val="1A1A1A"/>
          <w:sz w:val="28"/>
          <w:szCs w:val="28"/>
        </w:rPr>
        <w:t xml:space="preserve">Respondents</w:t>
      </w:r>
    </w:p>
    <w:p>
      <w:pPr>
        <w:spacing w:after="120" w:line="320"/>
      </w:pPr>
      <w:r>
        <w:rPr>
          <w:rFonts w:ascii="Arial" w:cs="Arial" w:eastAsia="Arial" w:hAnsi="Arial"/>
          <w:color w:val="1A1A1A"/>
          <w:sz w:val="22"/>
          <w:szCs w:val="22"/>
        </w:rPr>
        <w:t xml:space="preserve">And — to the two hundred respondents whose 14 minutes added up to fifty hours of working time spent answering this instrument — thank you. The dataset, the report, and every downstream piece of analysis built on top of them is the product of that fifty hours, and the program owes it forward by publishing every artifact under a license that lets anyone re-use the work.</w:t>
      </w:r>
    </w:p>
    <w:p>
      <w:pPr>
        <w:pBdr>
          <w:bottom w:val="single" w:color="C39A5F" w:sz="6" w:space="1"/>
        </w:pBdr>
        <w:spacing w:after="120" w:before="120"/>
      </w:pPr>
      <w:r>
        <w:t xml:space="preserve"/>
      </w:r>
    </w:p>
    <w:p>
      <w:pPr>
        <w:spacing w:after="60"/>
      </w:pPr>
      <w:r>
        <w:rPr>
          <w:rFonts w:ascii="Arial" w:cs="Arial" w:eastAsia="Arial" w:hAnsi="Arial"/>
          <w:i/>
          <w:iCs/>
          <w:color w:val="5C5C5C"/>
          <w:sz w:val="18"/>
          <w:szCs w:val="18"/>
        </w:rPr>
        <w:t xml:space="preserve">End of report skeleton. Substantive content is filled at data freeze (2026-09-05). Skeleton version 0.1 — 2026-05-11 — ProudTek Editorial 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5C5C"/>
        <w:sz w:val="18"/>
        <w:szCs w:val="18"/>
      </w:rPr>
      <w:t xml:space="preserve">CC-BY-4.0 once published. Skeleton — pre-publication.</w:t>
    </w:r>
    <w:r>
      <w:rPr>
        <w:rFonts w:ascii="Arial" w:cs="Arial" w:eastAsia="Arial" w:hAnsi="Arial"/>
        <w:color w:val="5C5C5C"/>
        <w:sz w:val="18"/>
        <w:szCs w:val="18"/>
      </w:rPr>
      <w:t xml:space="preserve">	Page </w:t>
    </w:r>
    <w:r>
      <w:rPr>
        <w:rFonts w:ascii="Arial" w:cs="Arial" w:eastAsia="Arial" w:hAnsi="Arial"/>
        <w:color w:val="5C5C5C"/>
        <w:sz w:val="18"/>
        <w:szCs w:val="18"/>
      </w:rPr>
      <w:fldChar w:fldCharType="begin"/>
      <w:instrText xml:space="preserve">PAGE</w:instrText>
      <w:fldChar w:fldCharType="separate"/>
      <w:fldChar w:fldCharType="end"/>
    </w:r>
    <w:r>
      <w:rPr>
        <w:rFonts w:ascii="Arial" w:cs="Arial" w:eastAsia="Arial" w:hAnsi="Arial"/>
        <w:color w:val="5C5C5C"/>
        <w:sz w:val="18"/>
        <w:szCs w:val="18"/>
      </w:rPr>
      <w:t xml:space="preserve"> of </w:t>
    </w:r>
    <w:r>
      <w:rPr>
        <w:rFonts w:ascii="Arial" w:cs="Arial" w:eastAsia="Arial" w:hAnsi="Arial"/>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5C5C5C"/>
        <w:sz w:val="18"/>
        <w:szCs w:val="18"/>
      </w:rPr>
      <w:t xml:space="preserve">Proud Tek Research</w:t>
    </w:r>
    <w:r>
      <w:rPr>
        <w:rFonts w:ascii="Arial" w:cs="Arial" w:eastAsia="Arial" w:hAnsi="Arial"/>
        <w:color w:val="5C5C5C"/>
        <w:sz w:val="18"/>
        <w:szCs w:val="18"/>
      </w:rPr>
      <w:t xml:space="preserve">	2026 RFID Industry Adoption Index — Full Report (skeleton)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Proud Tek 2026 RFID Industry Adoption Index — Full Report (Skeleton)</dc:title>
  <dc:creator>ProudTek Editorial Board</dc:creator>
  <dc:description>Pre-registered report skeleton with [DATA], [CHART], [QUOTE] placeholders for analyst fill at data freeze.</dc:description>
  <cp:lastModifiedBy>Un-named</cp:lastModifiedBy>
  <cp:revision>1</cp:revision>
  <dcterms:created xsi:type="dcterms:W3CDTF">2026-05-11T15:33:59.285Z</dcterms:created>
  <dcterms:modified xsi:type="dcterms:W3CDTF">2026-05-11T15:33:59.285Z</dcterms:modified>
</cp:coreProperties>
</file>

<file path=docProps/custom.xml><?xml version="1.0" encoding="utf-8"?>
<Properties xmlns="http://schemas.openxmlformats.org/officeDocument/2006/custom-properties" xmlns:vt="http://schemas.openxmlformats.org/officeDocument/2006/docPropsVTypes"/>
</file>