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6F8E"/>
          <w:sz w:val="40"/>
          <w:szCs w:val="40"/>
        </w:rPr>
        <w:t xml:space="preserve">FIELD ROUTER</w:t>
      </w:r>
    </w:p>
    <w:p>
      <w:pPr>
        <w:spacing w:after="300"/>
      </w:pPr>
      <w:r>
        <w:rPr>
          <w:color w:val="6B7680"/>
          <w:sz w:val="22"/>
          <w:szCs w:val="22"/>
        </w:rPr>
        <w:t xml:space="preserve">A step-by-step guide to scoping Power BI report migrations</w:t>
      </w:r>
    </w:p>
    <w:p>
      <w:pPr>
        <w:pStyle w:val="Heading1"/>
        <w:spacing w:after="120" w:before="280"/>
      </w:pPr>
      <w:r>
        <w:t xml:space="preserve">What this tool does</w:t>
      </w:r>
    </w:p>
    <w:p>
      <w:pPr>
        <w:spacing w:after="160"/>
      </w:pPr>
      <w:r>
        <w:t xml:space="preserve">Field Router is a single-page, in-browser tool. You upload the Power BI report you're migrating from ("old") and the one you're migrating into ("new"). You pick one page from the old report, and the tool lists every column and measure used on that page, then checks whether a matching field already exists in the new report — by exact name, by name under a different table, or by close naming similarity. Everything runs locally in your browser; the .pbix files are never uploaded anywhere.</w:t>
      </w:r>
    </w:p>
    <w:p>
      <w:pPr>
        <w:pStyle w:val="Heading1"/>
        <w:spacing w:after="120" w:before="280"/>
      </w:pPr>
      <w:r>
        <w:t xml:space="preserve">Before you start</w:t>
      </w:r>
    </w:p>
    <w:p>
      <w:pPr>
        <w:pStyle w:val="ListParagraph"/>
        <w:numPr>
          <w:ilvl w:val="0"/>
          <w:numId w:val="2"/>
        </w:numPr>
        <w:spacing w:after="80"/>
      </w:pPr>
      <w:r>
        <w:t xml:space="preserve">Have both .pbix files saved somewhere easy to find (old report and new report).</w:t>
      </w:r>
    </w:p>
    <w:p>
      <w:pPr>
        <w:pStyle w:val="ListParagraph"/>
        <w:numPr>
          <w:ilvl w:val="0"/>
          <w:numId w:val="2"/>
        </w:numPr>
        <w:spacing w:after="80"/>
      </w:pPr>
      <w:r>
        <w:t xml:space="preserve">Open pbi_scoping_tool.html in a modern browser (Chrome, Edge, or Firefox). Internet access is needed once, to load two small libraries from a CDN.</w:t>
      </w:r>
    </w:p>
    <w:p>
      <w:pPr>
        <w:pStyle w:val="ListParagraph"/>
        <w:numPr>
          <w:ilvl w:val="0"/>
          <w:numId w:val="2"/>
        </w:numPr>
        <w:spacing w:after="80"/>
      </w:pPr>
      <w:r>
        <w:t xml:space="preserve">No installation, login, or server setup is required.</w:t>
      </w:r>
    </w:p>
    <w:p>
      <w:pPr>
        <w:pStyle w:val="Heading1"/>
        <w:spacing w:after="120" w:before="280"/>
      </w:pPr>
      <w:r>
        <w:t xml:space="preserve">Step 1 — Upload both reports</w:t>
      </w:r>
    </w:p>
    <w:p>
      <w:pPr>
        <w:pStyle w:val="ListParagraph"/>
        <w:numPr>
          <w:ilvl w:val="0"/>
          <w:numId w:val="3"/>
        </w:numPr>
        <w:spacing w:after="80"/>
      </w:pPr>
      <w:r>
        <w:t xml:space="preserve">Open pbi_scoping_tool.html in your browser.</w:t>
      </w:r>
    </w:p>
    <w:p>
      <w:pPr>
        <w:pStyle w:val="ListParagraph"/>
        <w:numPr>
          <w:ilvl w:val="0"/>
          <w:numId w:val="3"/>
        </w:numPr>
        <w:spacing w:after="80"/>
      </w:pPr>
      <w:r>
        <w:t xml:space="preserve">Click the "Old report" box and choose the .pbix file you are scoping fields out of.</w:t>
      </w:r>
    </w:p>
    <w:p>
      <w:pPr>
        <w:pStyle w:val="ListParagraph"/>
        <w:numPr>
          <w:ilvl w:val="0"/>
          <w:numId w:val="3"/>
        </w:numPr>
        <w:spacing w:after="80"/>
      </w:pPr>
      <w:r>
        <w:t xml:space="preserve">Click the "New report" box and choose the .pbix file you are scoping fields into.</w:t>
      </w:r>
    </w:p>
    <w:p>
      <w:pPr>
        <w:pStyle w:val="ListParagraph"/>
        <w:numPr>
          <w:ilvl w:val="0"/>
          <w:numId w:val="3"/>
        </w:numPr>
        <w:spacing w:after="80"/>
      </w:pPr>
      <w:r>
        <w:t xml:space="preserve">Click "Analyze reports." The tool unzips both files in memory and reads their page layouts.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6F8E" w:sz="4"/>
              <w:left w:val="single" w:color="2E6F8E" w:sz="16"/>
              <w:bottom w:val="single" w:color="D8DEE3" w:sz="4"/>
              <w:right w:val="single" w:color="D8DEE3" w:sz="4"/>
            </w:tcBorders>
            <w:shd w:fill="EEF3F6" w:val="clear"/>
            <w:tcMar>
              <w:top w:type="dxa" w:w="160"/>
              <w:left w:type="dxa" w:w="200"/>
              <w:bottom w:type="dxa" w:w="160"/>
              <w:right w:type="dxa" w:w="200"/>
            </w:tcMar>
          </w:tcPr>
          <w:p>
            <w:pPr>
              <w:spacing w:after="80"/>
            </w:pPr>
            <w:r>
              <w:rPr>
                <w:b/>
                <w:bCs/>
                <w:color w:val="2E6F8E"/>
                <w:sz w:val="20"/>
                <w:szCs w:val="20"/>
              </w:rPr>
              <w:t xml:space="preserve">What you might see here</w:t>
            </w:r>
          </w:p>
          <w:p>
            <w:pPr>
              <w:spacing w:after="40"/>
            </w:pPr>
            <w:r>
              <w:rPr>
                <w:sz w:val="20"/>
                <w:szCs w:val="20"/>
              </w:rPr>
              <w:t xml:space="preserve">A note if a report has no readable data-model schema — this is normal for Import-mode reports and just means matching will rely on fields already used somewhere in that report's visuals, not the full underlying model.</w:t>
            </w:r>
          </w:p>
          <w:p>
            <w:pPr>
              <w:spacing w:after="40"/>
            </w:pPr>
            <w:r>
              <w:rPr>
                <w:sz w:val="20"/>
                <w:szCs w:val="20"/>
              </w:rPr>
              <w:t xml:space="preserve">An error if a file isn't a valid .pbix, or if it has no pages.</w:t>
            </w:r>
          </w:p>
        </w:tc>
      </w:tr>
    </w:tbl>
    <w:p>
      <w:pPr>
        <w:pStyle w:val="Heading1"/>
        <w:spacing w:after="120" w:before="280"/>
      </w:pPr>
      <w:r>
        <w:t xml:space="preserve">Step 2 — Select the page to scope</w:t>
      </w:r>
    </w:p>
    <w:p>
      <w:pPr>
        <w:pStyle w:val="ListParagraph"/>
        <w:numPr>
          <w:ilvl w:val="0"/>
          <w:numId w:val="3"/>
        </w:numPr>
        <w:spacing w:after="80"/>
      </w:pPr>
      <w:r>
        <w:t xml:space="preserve">A dropdown lists every page from the old report, by its display name.</w:t>
      </w:r>
    </w:p>
    <w:p>
      <w:pPr>
        <w:pStyle w:val="ListParagraph"/>
        <w:numPr>
          <w:ilvl w:val="0"/>
          <w:numId w:val="3"/>
        </w:numPr>
        <w:spacing w:after="80"/>
      </w:pPr>
      <w:r>
        <w:t xml:space="preserve">Choose the page whose columns and measures you want to trace into the new report.</w:t>
      </w:r>
    </w:p>
    <w:p>
      <w:pPr>
        <w:pStyle w:val="ListParagraph"/>
        <w:numPr>
          <w:ilvl w:val="0"/>
          <w:numId w:val="3"/>
        </w:numPr>
        <w:spacing w:after="80"/>
      </w:pPr>
      <w:r>
        <w:t xml:space="preserve">The tool immediately scans that page's visuals (and its page-level filters) for every column, measure, and hierarchy level referenced.</w:t>
      </w:r>
    </w:p>
    <w:p>
      <w:pPr>
        <w:pStyle w:val="Heading1"/>
        <w:spacing w:after="120" w:before="280"/>
      </w:pPr>
      <w:r>
        <w:t xml:space="preserve">Step 3 — Review the routed fields</w:t>
      </w:r>
    </w:p>
    <w:p>
      <w:pPr>
        <w:spacing w:after="160"/>
      </w:pPr>
      <w:r>
        <w:t xml:space="preserve">The results table lists one row per field used on the selected page, sorted by match confidence. Each row shows:</w:t>
      </w:r>
    </w:p>
    <w:p>
      <w:pPr>
        <w:pStyle w:val="ListParagraph"/>
        <w:numPr>
          <w:ilvl w:val="0"/>
          <w:numId w:val="2"/>
        </w:numPr>
        <w:spacing w:after="80"/>
      </w:pPr>
      <w:r>
        <w:t xml:space="preserve">Old table and old field — where the field lives in the old report.</w:t>
      </w:r>
    </w:p>
    <w:p>
      <w:pPr>
        <w:pStyle w:val="ListParagraph"/>
        <w:numPr>
          <w:ilvl w:val="0"/>
          <w:numId w:val="2"/>
        </w:numPr>
        <w:spacing w:after="80"/>
      </w:pPr>
      <w:r>
        <w:t xml:space="preserve">Type — Column, Measure, or Hierarchy level.</w:t>
      </w:r>
    </w:p>
    <w:p>
      <w:pPr>
        <w:pStyle w:val="ListParagraph"/>
        <w:numPr>
          <w:ilvl w:val="0"/>
          <w:numId w:val="2"/>
        </w:numPr>
        <w:spacing w:after="80"/>
      </w:pPr>
      <w:r>
        <w:t xml:space="preserve">Match status — see the table below.</w:t>
      </w:r>
    </w:p>
    <w:p>
      <w:pPr>
        <w:pStyle w:val="ListParagraph"/>
        <w:numPr>
          <w:ilvl w:val="0"/>
          <w:numId w:val="2"/>
        </w:numPr>
        <w:spacing w:after="80"/>
      </w:pPr>
      <w:r>
        <w:t xml:space="preserve">New table and new field — the closest match found in the new report, if any.</w:t>
      </w:r>
    </w:p>
    <w:p>
      <w:pPr>
        <w:pStyle w:val="ListParagraph"/>
        <w:numPr>
          <w:ilvl w:val="0"/>
          <w:numId w:val="2"/>
        </w:numPr>
        <w:spacing w:after="80"/>
      </w:pPr>
      <w:r>
        <w:t xml:space="preserve">Confidence — a rough percentage score for name-similarity matches.</w:t>
      </w:r>
    </w:p>
    <w:p>
      <w:pPr>
        <w:pStyle w:val="ListParagraph"/>
        <w:numPr>
          <w:ilvl w:val="0"/>
          <w:numId w:val="2"/>
        </w:numPr>
        <w:spacing w:after="80"/>
      </w:pPr>
      <w:r>
        <w:t xml:space="preserve">Notes — why it matched, or a naming-convention difference worth knowing about.</w:t>
      </w:r>
    </w:p>
    <w:p>
      <w:pPr>
        <w:spacing w:after="120" w:before="120"/>
      </w:pPr>
      <w:r>
        <w:rPr>
          <w:b/>
          <w:bCs/>
        </w:rPr>
        <w:t xml:space="preserve">Match status meanings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B2126" w:val="clear"/>
            <w:tcMar>
              <w:top w:type="dxa" w:w="100"/>
              <w:left w:type="dxa" w:w="120"/>
              <w:bottom w:type="dxa" w:w="100"/>
              <w:right w:type="dxa" w:w="120"/>
            </w:tcMar>
          </w:tcPr>
          <w:p>
            <w:r>
              <w:rPr>
                <w:b/>
                <w:bCs/>
                <w:color w:val="FFFFFF"/>
              </w:rPr>
              <w:t xml:space="preserve">Status</w:t>
            </w:r>
          </w:p>
        </w:tc>
        <w:tc>
          <w:tcPr>
            <w:tcW w:type="pct" w:w="70%"/>
            <w:shd w:fill="1B2126" w:val="clear"/>
            <w:tcMar>
              <w:top w:type="dxa" w:w="100"/>
              <w:left w:type="dxa" w:w="120"/>
              <w:bottom w:type="dxa" w:w="100"/>
              <w:right w:type="dxa" w:w="120"/>
            </w:tcMar>
          </w:tcPr>
          <w:p>
            <w:r>
              <w:rPr>
                <w:b/>
                <w:bCs/>
                <w:color w:val="FFFFFF"/>
              </w:rPr>
              <w:t xml:space="preserve">Meaning</w:t>
            </w:r>
          </w:p>
        </w:tc>
      </w:tr>
      <w:tr>
        <w:tc>
          <w:tcPr>
            <w:tcW w:type="pct" w:w="30%"/>
            <w:shd w:fill="FFFFFF" w:val="clear"/>
            <w:tcMar>
              <w:top w:type="dxa" w:w="100"/>
              <w:left w:type="dxa" w:w="120"/>
              <w:bottom w:type="dxa" w:w="100"/>
              <w:right w:type="dxa" w:w="120"/>
            </w:tcMar>
          </w:tcPr>
          <w:p>
            <w:r>
              <w:rPr>
                <w:b w:val="false"/>
                <w:bCs w:val="false"/>
                <w:color w:val="1B2126"/>
              </w:rPr>
              <w:t xml:space="preserve">Exact match</w:t>
            </w:r>
          </w:p>
        </w:tc>
        <w:tc>
          <w:tcPr>
            <w:tcW w:type="pct" w:w="70%"/>
            <w:shd w:fill="FFFFFF" w:val="clear"/>
            <w:tcMar>
              <w:top w:type="dxa" w:w="100"/>
              <w:left w:type="dxa" w:w="120"/>
              <w:bottom w:type="dxa" w:w="100"/>
              <w:right w:type="dxa" w:w="120"/>
            </w:tcMar>
          </w:tcPr>
          <w:p>
            <w:r>
              <w:rPr>
                <w:b w:val="false"/>
                <w:bCs w:val="false"/>
                <w:color w:val="1B2126"/>
              </w:rPr>
              <w:t xml:space="preserve">Same table and same field name found in the new report — safe to reuse as-is.</w:t>
            </w:r>
          </w:p>
        </w:tc>
      </w:tr>
      <w:tr>
        <w:tc>
          <w:tcPr>
            <w:tcW w:type="pct" w:w="30%"/>
            <w:shd w:fill="FFFFFF" w:val="clear"/>
            <w:tcMar>
              <w:top w:type="dxa" w:w="100"/>
              <w:left w:type="dxa" w:w="120"/>
              <w:bottom w:type="dxa" w:w="100"/>
              <w:right w:type="dxa" w:w="120"/>
            </w:tcMar>
          </w:tcPr>
          <w:p>
            <w:r>
              <w:rPr>
                <w:b w:val="false"/>
                <w:bCs w:val="false"/>
                <w:color w:val="1B2126"/>
              </w:rPr>
              <w:t xml:space="preserve">Field name matches (different table)</w:t>
            </w:r>
          </w:p>
        </w:tc>
        <w:tc>
          <w:tcPr>
            <w:tcW w:type="pct" w:w="70%"/>
            <w:shd w:fill="FFFFFF" w:val="clear"/>
            <w:tcMar>
              <w:top w:type="dxa" w:w="100"/>
              <w:left w:type="dxa" w:w="120"/>
              <w:bottom w:type="dxa" w:w="100"/>
              <w:right w:type="dxa" w:w="120"/>
            </w:tcMar>
          </w:tcPr>
          <w:p>
            <w:r>
              <w:rPr>
                <w:b w:val="false"/>
                <w:bCs w:val="false"/>
                <w:color w:val="1B2126"/>
              </w:rPr>
              <w:t xml:space="preserve">Same field name exists, but under a different table in the new report — confirm it's the same data before reusing.</w:t>
            </w:r>
          </w:p>
        </w:tc>
      </w:tr>
      <w:tr>
        <w:tc>
          <w:tcPr>
            <w:tcW w:type="pct" w:w="30%"/>
            <w:shd w:fill="FFFFFF" w:val="clear"/>
            <w:tcMar>
              <w:top w:type="dxa" w:w="100"/>
              <w:left w:type="dxa" w:w="120"/>
              <w:bottom w:type="dxa" w:w="100"/>
              <w:right w:type="dxa" w:w="120"/>
            </w:tcMar>
          </w:tcPr>
          <w:p>
            <w:r>
              <w:rPr>
                <w:b w:val="false"/>
                <w:bCs w:val="false"/>
                <w:color w:val="1B2126"/>
              </w:rPr>
              <w:t xml:space="preserve">Likely match</w:t>
            </w:r>
          </w:p>
        </w:tc>
        <w:tc>
          <w:tcPr>
            <w:tcW w:type="pct" w:w="70%"/>
            <w:shd w:fill="FFFFFF" w:val="clear"/>
            <w:tcMar>
              <w:top w:type="dxa" w:w="100"/>
              <w:left w:type="dxa" w:w="120"/>
              <w:bottom w:type="dxa" w:w="100"/>
              <w:right w:type="dxa" w:w="120"/>
            </w:tcMar>
          </w:tcPr>
          <w:p>
            <w:r>
              <w:rPr>
                <w:b w:val="false"/>
                <w:bCs w:val="false"/>
                <w:color w:val="1B2126"/>
              </w:rPr>
              <w:t xml:space="preserve">Names are very similar but not identical (e.g. a naming-convention difference) — quick confirmation recommended.</w:t>
            </w:r>
          </w:p>
        </w:tc>
      </w:tr>
      <w:tr>
        <w:tc>
          <w:tcPr>
            <w:tcW w:type="pct" w:w="30%"/>
            <w:shd w:fill="FFFFFF" w:val="clear"/>
            <w:tcMar>
              <w:top w:type="dxa" w:w="100"/>
              <w:left w:type="dxa" w:w="120"/>
              <w:bottom w:type="dxa" w:w="100"/>
              <w:right w:type="dxa" w:w="120"/>
            </w:tcMar>
          </w:tcPr>
          <w:p>
            <w:r>
              <w:rPr>
                <w:b w:val="false"/>
                <w:bCs w:val="false"/>
                <w:color w:val="1B2126"/>
              </w:rPr>
              <w:t xml:space="preserve">Possible match</w:t>
            </w:r>
          </w:p>
        </w:tc>
        <w:tc>
          <w:tcPr>
            <w:tcW w:type="pct" w:w="70%"/>
            <w:shd w:fill="FFFFFF" w:val="clear"/>
            <w:tcMar>
              <w:top w:type="dxa" w:w="100"/>
              <w:left w:type="dxa" w:w="120"/>
              <w:bottom w:type="dxa" w:w="100"/>
              <w:right w:type="dxa" w:w="120"/>
            </w:tcMar>
          </w:tcPr>
          <w:p>
            <w:r>
              <w:rPr>
                <w:b w:val="false"/>
                <w:bCs w:val="false"/>
                <w:color w:val="1B2126"/>
              </w:rPr>
              <w:t xml:space="preserve">Weak similarity only — review carefully before treating it as the same field.</w:t>
            </w:r>
          </w:p>
        </w:tc>
      </w:tr>
      <w:tr>
        <w:tc>
          <w:tcPr>
            <w:tcW w:type="pct" w:w="30%"/>
            <w:shd w:fill="FFFFFF" w:val="clear"/>
            <w:tcMar>
              <w:top w:type="dxa" w:w="100"/>
              <w:left w:type="dxa" w:w="120"/>
              <w:bottom w:type="dxa" w:w="100"/>
              <w:right w:type="dxa" w:w="120"/>
            </w:tcMar>
          </w:tcPr>
          <w:p>
            <w:r>
              <w:rPr>
                <w:b w:val="false"/>
                <w:bCs w:val="false"/>
                <w:color w:val="1B2126"/>
              </w:rPr>
              <w:t xml:space="preserve">No match found</w:t>
            </w:r>
          </w:p>
        </w:tc>
        <w:tc>
          <w:tcPr>
            <w:tcW w:type="pct" w:w="70%"/>
            <w:shd w:fill="FFFFFF" w:val="clear"/>
            <w:tcMar>
              <w:top w:type="dxa" w:w="100"/>
              <w:left w:type="dxa" w:w="120"/>
              <w:bottom w:type="dxa" w:w="100"/>
              <w:right w:type="dxa" w:w="120"/>
            </w:tcMar>
          </w:tcPr>
          <w:p>
            <w:r>
              <w:rPr>
                <w:b w:val="false"/>
                <w:bCs w:val="false"/>
                <w:color w:val="1B2126"/>
              </w:rPr>
              <w:t xml:space="preserve">Nothing close exists in the new report — this column or measure will need to be created there.</w:t>
            </w:r>
          </w:p>
        </w:tc>
      </w:tr>
    </w:tbl>
    <w:p>
      <w:pPr>
        <w:pStyle w:val="Heading1"/>
        <w:spacing w:after="120" w:before="280"/>
      </w:pPr>
      <w:r>
        <w:t xml:space="preserve">Step 4 — Filter and export</w:t>
      </w:r>
    </w:p>
    <w:p>
      <w:pPr>
        <w:pStyle w:val="ListParagraph"/>
        <w:numPr>
          <w:ilvl w:val="0"/>
          <w:numId w:val="3"/>
        </w:numPr>
        <w:spacing w:after="80"/>
      </w:pPr>
      <w:r>
        <w:t xml:space="preserve">Use the search box above the table to filter by field name, table name, or match status.</w:t>
      </w:r>
    </w:p>
    <w:p>
      <w:pPr>
        <w:pStyle w:val="ListParagraph"/>
        <w:numPr>
          <w:ilvl w:val="0"/>
          <w:numId w:val="3"/>
        </w:numPr>
        <w:spacing w:after="80"/>
      </w:pPr>
      <w:r>
        <w:t xml:space="preserve">Click "Download CSV" or "Download Excel" to save the full mapping table (unfiltered) for your scoping documentation.</w:t>
      </w:r>
    </w:p>
    <w:p>
      <w:pPr>
        <w:pStyle w:val="ListParagraph"/>
        <w:numPr>
          <w:ilvl w:val="0"/>
          <w:numId w:val="3"/>
        </w:numPr>
        <w:spacing w:after="80"/>
      </w:pPr>
      <w:r>
        <w:t xml:space="preserve">Repeat step 2 for any other pages you need to scope — you don't need to re-upload the files.</w:t>
      </w:r>
    </w:p>
    <w:p>
      <w:pPr>
        <w:pStyle w:val="Heading1"/>
        <w:spacing w:after="120" w:before="280"/>
      </w:pPr>
      <w:r>
        <w:t xml:space="preserve">Reading the naming-convention note</w:t>
      </w:r>
    </w:p>
    <w:p>
      <w:pPr>
        <w:spacing w:after="160"/>
      </w:pPr>
      <w:r>
        <w:t xml:space="preserve">At the bottom of the results, the tool reports the dominant naming style it detected on the old page (e.g. snake_case, camelCase, PascalCase, Title Case) and across the new report. If a matched pair uses different styles, that's called out in the row's Notes column — useful for deciding whether to rename fields for consistency while rebuilding.</w:t>
      </w:r>
    </w:p>
    <w:p>
      <w:pPr>
        <w:pStyle w:val="Heading1"/>
        <w:spacing w:after="120" w:before="280"/>
      </w:pPr>
      <w:r>
        <w:t xml:space="preserve">Limitations to keep in mind</w:t>
      </w:r>
    </w:p>
    <w:p>
      <w:pPr>
        <w:pStyle w:val="ListParagraph"/>
        <w:numPr>
          <w:ilvl w:val="0"/>
          <w:numId w:val="2"/>
        </w:numPr>
        <w:spacing w:after="80"/>
      </w:pPr>
      <w:r>
        <w:t xml:space="preserve">For Import-mode reports, the new report's field inventory only includes fields already placed on some visual — fields that exist in the model but were never used in the report won't be detected.</w:t>
      </w:r>
    </w:p>
    <w:p>
      <w:pPr>
        <w:pStyle w:val="ListParagraph"/>
        <w:numPr>
          <w:ilvl w:val="0"/>
          <w:numId w:val="2"/>
        </w:numPr>
        <w:spacing w:after="80"/>
      </w:pPr>
      <w:r>
        <w:t xml:space="preserve">Matching is based on names and structure, not on underlying data — always spot-check a match before rebuilding a measure on top of it.</w:t>
      </w:r>
    </w:p>
    <w:p>
      <w:pPr>
        <w:pStyle w:val="ListParagraph"/>
        <w:numPr>
          <w:ilvl w:val="0"/>
          <w:numId w:val="2"/>
        </w:numPr>
        <w:spacing w:after="80"/>
      </w:pPr>
      <w:r>
        <w:t xml:space="preserve">Measure formulas (DAX) themselves are not compared — only whether a measure with a matching name and table exists.</w:t>
      </w:r>
    </w:p>
    <w:p>
      <w:pPr>
        <w:pBdr>
          <w:top w:val="single" w:color="D8DEE3" w:sz="4"/>
        </w:pBdr>
        <w:spacing w:before="300"/>
      </w:pPr>
    </w:p>
    <w:p>
      <w:pPr>
        <w:spacing w:before="160"/>
      </w:pPr>
      <w:r>
        <w:rPr>
          <w:i/>
          <w:iCs/>
          <w:color w:val="6B7680"/>
          <w:sz w:val="20"/>
          <w:szCs w:val="20"/>
        </w:rPr>
        <w:t xml:space="preserve">Keep this guide alongside pbi_scoping_tool.html for future scoping passes.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2026-07-28T08:18:35.310Z</dcterms:created>
  <dcterms:modified xsi:type="dcterms:W3CDTF">2026-07-28T08:18:35.324Z</dcterms:modified>
</cp:coreProperties>
</file>

<file path=docProps/custom.xml><?xml version="1.0" encoding="utf-8"?>
<Properties xmlns="http://schemas.openxmlformats.org/officeDocument/2006/custom-properties" xmlns:vt="http://schemas.openxmlformats.org/officeDocument/2006/docPropsVTypes"/>
</file>