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ASSIST — SERVICE PAGE BLUEPRINT</w:t>
      </w:r>
    </w:p>
    <w:p>
      <w:pPr>
        <w:jc w:val="center"/>
      </w:pPr>
      <w:r>
        <w:rPr>
          <w:i/>
        </w:rPr>
        <w:t>Customer-facing UI/UX + front-end engineering handoff</w:t>
        <w:br/>
        <w:t>Version 1.0 • 15 August 2026</w:t>
      </w:r>
    </w:p>
    <w:p>
      <w:pPr>
        <w:pStyle w:val="Heading1"/>
      </w:pPr>
      <w:r>
        <w:t>1. Purpose</w:t>
      </w:r>
    </w:p>
    <w:p>
      <w:r>
        <w:t>ASOJU Assist is the customer-facing service family for important tasks in Nigeria that do not naturally fit into Arrivals, Inspect, Build, Care or Verify. It is the flexible 'trusted hands on the ground' entry point for customers abroad who need ASOJU to coordinate an agreed task, purchase, collection, delivery, local errand or other supported activity.</w:t>
      </w:r>
    </w:p>
    <w:p>
      <w:r>
        <w:t>The page must make Assist feel broad without becoming vague. The AI Concierge is essential: the customer describes the task in their own words, ASOJU determines whether and how it can be handled, then converts the request into a formal scoped case.</w:t>
      </w:r>
    </w:p>
    <w:p>
      <w:pPr>
        <w:pStyle w:val="Heading1"/>
      </w:pPr>
      <w:r>
        <w:t>2. Locked service identity</w:t>
      </w:r>
    </w:p>
    <w:tbl>
      <w:tblPr>
        <w:tblStyle w:val="TableGrid"/>
        <w:tblW w:type="auto" w:w="0"/>
        <w:tblLook w:firstColumn="1" w:firstRow="1" w:lastColumn="0" w:lastRow="0" w:noHBand="0" w:noVBand="1" w:val="04A0"/>
      </w:tblPr>
      <w:tblGrid>
        <w:gridCol w:w="5112"/>
        <w:gridCol w:w="5112"/>
      </w:tblGrid>
      <w:tr>
        <w:tc>
          <w:tcPr>
            <w:tcW w:type="dxa" w:w="5112"/>
          </w:tcPr>
          <w:p>
            <w:r>
              <w:t>Element</w:t>
            </w:r>
          </w:p>
        </w:tc>
        <w:tc>
          <w:tcPr>
            <w:tcW w:type="dxa" w:w="5112"/>
          </w:tcPr>
          <w:p>
            <w:r>
              <w:t>Locked specification</w:t>
            </w:r>
          </w:p>
        </w:tc>
      </w:tr>
      <w:tr>
        <w:tc>
          <w:tcPr>
            <w:tcW w:type="dxa" w:w="5112"/>
          </w:tcPr>
          <w:p>
            <w:r>
              <w:t>Service name</w:t>
            </w:r>
          </w:p>
        </w:tc>
        <w:tc>
          <w:tcPr>
            <w:tcW w:type="dxa" w:w="5112"/>
          </w:tcPr>
          <w:p>
            <w:r>
              <w:t>ASOJU Assist</w:t>
            </w:r>
          </w:p>
        </w:tc>
      </w:tr>
      <w:tr>
        <w:tc>
          <w:tcPr>
            <w:tcW w:type="dxa" w:w="5112"/>
          </w:tcPr>
          <w:p>
            <w:r>
              <w:t>Homepage promise</w:t>
            </w:r>
          </w:p>
        </w:tc>
        <w:tc>
          <w:tcPr>
            <w:tcW w:type="dxa" w:w="5112"/>
          </w:tcPr>
          <w:p>
            <w:r>
              <w:t>When something needs to be done in Nigeria, ASOJU can handle it for you.</w:t>
            </w:r>
          </w:p>
        </w:tc>
      </w:tr>
      <w:tr>
        <w:tc>
          <w:tcPr>
            <w:tcW w:type="dxa" w:w="5112"/>
          </w:tcPr>
          <w:p>
            <w:r>
              <w:t>Primary CTA</w:t>
            </w:r>
          </w:p>
        </w:tc>
        <w:tc>
          <w:tcPr>
            <w:tcW w:type="dxa" w:w="5112"/>
          </w:tcPr>
          <w:p>
            <w:r>
              <w:t>Start with ASOJU →</w:t>
            </w:r>
          </w:p>
        </w:tc>
      </w:tr>
      <w:tr>
        <w:tc>
          <w:tcPr>
            <w:tcW w:type="dxa" w:w="5112"/>
          </w:tcPr>
          <w:p>
            <w:r>
              <w:t>Secondary CTA</w:t>
            </w:r>
          </w:p>
        </w:tc>
        <w:tc>
          <w:tcPr>
            <w:tcW w:type="dxa" w:w="5112"/>
          </w:tcPr>
          <w:p>
            <w:r>
              <w:t>Tell us what you need →</w:t>
            </w:r>
          </w:p>
        </w:tc>
      </w:tr>
      <w:tr>
        <w:tc>
          <w:tcPr>
            <w:tcW w:type="dxa" w:w="5112"/>
          </w:tcPr>
          <w:p>
            <w:r>
              <w:t>Primary conversion</w:t>
            </w:r>
          </w:p>
        </w:tc>
        <w:tc>
          <w:tcPr>
            <w:tcW w:type="dxa" w:w="5112"/>
          </w:tcPr>
          <w:p>
            <w:r>
              <w:t>AI Concierge</w:t>
            </w:r>
          </w:p>
        </w:tc>
      </w:tr>
      <w:tr>
        <w:tc>
          <w:tcPr>
            <w:tcW w:type="dxa" w:w="5112"/>
          </w:tcPr>
          <w:p>
            <w:r>
              <w:t>Anonymous use</w:t>
            </w:r>
          </w:p>
        </w:tc>
        <w:tc>
          <w:tcPr>
            <w:tcW w:type="dxa" w:w="5112"/>
          </w:tcPr>
          <w:p>
            <w:r>
              <w:t>Yes — first-instance Concierge conversation.</w:t>
            </w:r>
          </w:p>
        </w:tc>
      </w:tr>
      <w:tr>
        <w:tc>
          <w:tcPr>
            <w:tcW w:type="dxa" w:w="5112"/>
          </w:tcPr>
          <w:p>
            <w:r>
              <w:t>Authentication gate</w:t>
            </w:r>
          </w:p>
        </w:tc>
        <w:tc>
          <w:tcPr>
            <w:tcW w:type="dxa" w:w="5112"/>
          </w:tcPr>
          <w:p>
            <w:r>
              <w:t>Required before formal case creation and quote/payment progression.</w:t>
            </w:r>
          </w:p>
        </w:tc>
      </w:tr>
    </w:tbl>
    <w:p>
      <w:pPr>
        <w:pStyle w:val="Heading1"/>
      </w:pPr>
      <w:r>
        <w:t>3. Source-supported scope</w:t>
      </w:r>
    </w:p>
    <w:p>
      <w:r>
        <w:t>The current ASOJU build documentation identifies Procurement, Investment Support and Agriculture Support as services added to the platform. It also describes the platform as handling important tasks in Nigeria on behalf of customers abroad. The supplied source does not define a complete granular Assist catalogue, so this page should remain request-led and should only present specific sub-services that are actually configured.</w:t>
      </w:r>
    </w:p>
    <w:tbl>
      <w:tblPr>
        <w:tblStyle w:val="TableGrid"/>
        <w:tblW w:type="auto" w:w="0"/>
        <w:tblLook w:firstColumn="1" w:firstRow="1" w:lastColumn="0" w:lastRow="0" w:noHBand="0" w:noVBand="1" w:val="04A0"/>
      </w:tblPr>
      <w:tblGrid>
        <w:gridCol w:w="5112"/>
        <w:gridCol w:w="5112"/>
      </w:tblGrid>
      <w:tr>
        <w:tc>
          <w:tcPr>
            <w:tcW w:type="dxa" w:w="5112"/>
          </w:tcPr>
          <w:p>
            <w:r>
              <w:t>Supported/possible Assist area</w:t>
            </w:r>
          </w:p>
        </w:tc>
        <w:tc>
          <w:tcPr>
            <w:tcW w:type="dxa" w:w="5112"/>
          </w:tcPr>
          <w:p>
            <w:r>
              <w:t>Customer-facing framing</w:t>
            </w:r>
          </w:p>
        </w:tc>
      </w:tr>
      <w:tr>
        <w:tc>
          <w:tcPr>
            <w:tcW w:type="dxa" w:w="5112"/>
          </w:tcPr>
          <w:p>
            <w:r>
              <w:t>Procurement</w:t>
            </w:r>
          </w:p>
        </w:tc>
        <w:tc>
          <w:tcPr>
            <w:tcW w:type="dxa" w:w="5112"/>
          </w:tcPr>
          <w:p>
            <w:r>
              <w:t>Source or purchase agreed goods/services on the customer's behalf where supported.</w:t>
            </w:r>
          </w:p>
        </w:tc>
      </w:tr>
      <w:tr>
        <w:tc>
          <w:tcPr>
            <w:tcW w:type="dxa" w:w="5112"/>
          </w:tcPr>
          <w:p>
            <w:r>
              <w:t>Collection / delivery coordination</w:t>
            </w:r>
          </w:p>
        </w:tc>
        <w:tc>
          <w:tcPr>
            <w:tcW w:type="dxa" w:w="5112"/>
          </w:tcPr>
          <w:p>
            <w:r>
              <w:t>Coordinate agreed collection or delivery tasks where supported.</w:t>
            </w:r>
          </w:p>
        </w:tc>
      </w:tr>
      <w:tr>
        <w:tc>
          <w:tcPr>
            <w:tcW w:type="dxa" w:w="5112"/>
          </w:tcPr>
          <w:p>
            <w:r>
              <w:t>Agriculture support</w:t>
            </w:r>
          </w:p>
        </w:tc>
        <w:tc>
          <w:tcPr>
            <w:tcW w:type="dxa" w:w="5112"/>
          </w:tcPr>
          <w:p>
            <w:r>
              <w:t>Handle configured agriculture-related support requests.</w:t>
            </w:r>
          </w:p>
        </w:tc>
      </w:tr>
      <w:tr>
        <w:tc>
          <w:tcPr>
            <w:tcW w:type="dxa" w:w="5112"/>
          </w:tcPr>
          <w:p>
            <w:r>
              <w:t>Investment support</w:t>
            </w:r>
          </w:p>
        </w:tc>
        <w:tc>
          <w:tcPr>
            <w:tcW w:type="dxa" w:w="5112"/>
          </w:tcPr>
          <w:p>
            <w:r>
              <w:t>Provide configured local support around an investment-related request; do not imply investment advice.</w:t>
            </w:r>
          </w:p>
        </w:tc>
      </w:tr>
      <w:tr>
        <w:tc>
          <w:tcPr>
            <w:tcW w:type="dxa" w:w="5112"/>
          </w:tcPr>
          <w:p>
            <w:r>
              <w:t>Other supported tasks</w:t>
            </w:r>
          </w:p>
        </w:tc>
        <w:tc>
          <w:tcPr>
            <w:tcW w:type="dxa" w:w="5112"/>
          </w:tcPr>
          <w:p>
            <w:r>
              <w:t>Use the Concierge to explain a specific task and determine whether ASOJU can handle it.</w:t>
            </w:r>
          </w:p>
        </w:tc>
      </w:tr>
    </w:tbl>
    <w:p>
      <w:r>
        <w:t>ASOJU Assist should not become a promise that every task can be completed. The Concierge and backend configuration determine eligibility, scope, provider availability, safety and price.</w:t>
      </w:r>
    </w:p>
    <w:p>
      <w:pPr>
        <w:pStyle w:val="Heading1"/>
      </w:pPr>
      <w:r>
        <w:t>4. Page objective</w:t>
      </w:r>
    </w:p>
    <w:p>
      <w:pPr>
        <w:pStyle w:val="ListBullet"/>
      </w:pPr>
      <w:r>
        <w:t>Make Assist the obvious place for tasks that do not fit another service family.</w:t>
      </w:r>
    </w:p>
    <w:p>
      <w:pPr>
        <w:pStyle w:val="ListBullet"/>
      </w:pPr>
      <w:r>
        <w:t>Show concrete examples without creating a rigid catalogue.</w:t>
      </w:r>
    </w:p>
    <w:p>
      <w:pPr>
        <w:pStyle w:val="ListBullet"/>
      </w:pPr>
      <w:r>
        <w:t>Let visitors start describing a task immediately.</w:t>
      </w:r>
    </w:p>
    <w:p>
      <w:pPr>
        <w:pStyle w:val="ListBullet"/>
      </w:pPr>
      <w:r>
        <w:t>Use the Concierge to classify the request into Assist or another ASOJU service family.</w:t>
      </w:r>
    </w:p>
    <w:p>
      <w:pPr>
        <w:pStyle w:val="ListBullet"/>
      </w:pPr>
      <w:r>
        <w:t>Convert the clarified task into an authenticated case and quote.</w:t>
      </w:r>
    </w:p>
    <w:p>
      <w:pPr>
        <w:pStyle w:val="ListBullet"/>
      </w:pPr>
      <w:r>
        <w:t>Communicate trust, scope, accountability and clear boundaries.</w:t>
      </w:r>
    </w:p>
    <w:p>
      <w:pPr>
        <w:pStyle w:val="Heading1"/>
      </w:pPr>
      <w:r>
        <w:t>5. Recommended page structure</w:t>
      </w:r>
    </w:p>
    <w:tbl>
      <w:tblPr>
        <w:tblStyle w:val="TableGrid"/>
        <w:tblW w:type="auto" w:w="0"/>
        <w:tblLook w:firstColumn="1" w:firstRow="1" w:lastColumn="0" w:lastRow="0" w:noHBand="0" w:noVBand="1" w:val="04A0"/>
      </w:tblPr>
      <w:tblGrid>
        <w:gridCol w:w="3408"/>
        <w:gridCol w:w="3408"/>
        <w:gridCol w:w="3408"/>
      </w:tblGrid>
      <w:tr>
        <w:tc>
          <w:tcPr>
            <w:tcW w:type="dxa" w:w="3408"/>
          </w:tcPr>
          <w:p>
            <w:r>
              <w:t>Order</w:t>
            </w:r>
          </w:p>
        </w:tc>
        <w:tc>
          <w:tcPr>
            <w:tcW w:type="dxa" w:w="3408"/>
          </w:tcPr>
          <w:p>
            <w:r>
              <w:t>Section</w:t>
            </w:r>
          </w:p>
        </w:tc>
        <w:tc>
          <w:tcPr>
            <w:tcW w:type="dxa" w:w="3408"/>
          </w:tcPr>
          <w:p>
            <w:r>
              <w:t>Purpose</w:t>
            </w:r>
          </w:p>
        </w:tc>
      </w:tr>
      <w:tr>
        <w:tc>
          <w:tcPr>
            <w:tcW w:type="dxa" w:w="3408"/>
          </w:tcPr>
          <w:p>
            <w:r>
              <w:t>1</w:t>
            </w:r>
          </w:p>
        </w:tc>
        <w:tc>
          <w:tcPr>
            <w:tcW w:type="dxa" w:w="3408"/>
          </w:tcPr>
          <w:p>
            <w:r>
              <w:t>Header</w:t>
            </w:r>
          </w:p>
        </w:tc>
        <w:tc>
          <w:tcPr>
            <w:tcW w:type="dxa" w:w="3408"/>
          </w:tcPr>
          <w:p>
            <w:r>
              <w:t>Global ASOJU navigation.</w:t>
            </w:r>
          </w:p>
        </w:tc>
      </w:tr>
      <w:tr>
        <w:tc>
          <w:tcPr>
            <w:tcW w:type="dxa" w:w="3408"/>
          </w:tcPr>
          <w:p>
            <w:r>
              <w:t>2</w:t>
            </w:r>
          </w:p>
        </w:tc>
        <w:tc>
          <w:tcPr>
            <w:tcW w:type="dxa" w:w="3408"/>
          </w:tcPr>
          <w:p>
            <w:r>
              <w:t>Hero + Concierge</w:t>
            </w:r>
          </w:p>
        </w:tc>
        <w:tc>
          <w:tcPr>
            <w:tcW w:type="dxa" w:w="3408"/>
          </w:tcPr>
          <w:p>
            <w:r>
              <w:t>Primary flexible-request entry point.</w:t>
            </w:r>
          </w:p>
        </w:tc>
      </w:tr>
      <w:tr>
        <w:tc>
          <w:tcPr>
            <w:tcW w:type="dxa" w:w="3408"/>
          </w:tcPr>
          <w:p>
            <w:r>
              <w:t>3</w:t>
            </w:r>
          </w:p>
        </w:tc>
        <w:tc>
          <w:tcPr>
            <w:tcW w:type="dxa" w:w="3408"/>
          </w:tcPr>
          <w:p>
            <w:r>
              <w:t>What Assist can help with</w:t>
            </w:r>
          </w:p>
        </w:tc>
        <w:tc>
          <w:tcPr>
            <w:tcW w:type="dxa" w:w="3408"/>
          </w:tcPr>
          <w:p>
            <w:r>
              <w:t>Examples of supported task categories.</w:t>
            </w:r>
          </w:p>
        </w:tc>
      </w:tr>
      <w:tr>
        <w:tc>
          <w:tcPr>
            <w:tcW w:type="dxa" w:w="3408"/>
          </w:tcPr>
          <w:p>
            <w:r>
              <w:t>4</w:t>
            </w:r>
          </w:p>
        </w:tc>
        <w:tc>
          <w:tcPr>
            <w:tcW w:type="dxa" w:w="3408"/>
          </w:tcPr>
          <w:p>
            <w:r>
              <w:t>Not sure where it fits?</w:t>
            </w:r>
          </w:p>
        </w:tc>
        <w:tc>
          <w:tcPr>
            <w:tcW w:type="dxa" w:w="3408"/>
          </w:tcPr>
          <w:p>
            <w:r>
              <w:t>Encourage Concierge classification.</w:t>
            </w:r>
          </w:p>
        </w:tc>
      </w:tr>
      <w:tr>
        <w:tc>
          <w:tcPr>
            <w:tcW w:type="dxa" w:w="3408"/>
          </w:tcPr>
          <w:p>
            <w:r>
              <w:t>5</w:t>
            </w:r>
          </w:p>
        </w:tc>
        <w:tc>
          <w:tcPr>
            <w:tcW w:type="dxa" w:w="3408"/>
          </w:tcPr>
          <w:p>
            <w:r>
              <w:t>How it works</w:t>
            </w:r>
          </w:p>
        </w:tc>
        <w:tc>
          <w:tcPr>
            <w:tcW w:type="dxa" w:w="3408"/>
          </w:tcPr>
          <w:p>
            <w:r>
              <w:t>Request → scope → execution → confirmation.</w:t>
            </w:r>
          </w:p>
        </w:tc>
      </w:tr>
      <w:tr>
        <w:tc>
          <w:tcPr>
            <w:tcW w:type="dxa" w:w="3408"/>
          </w:tcPr>
          <w:p>
            <w:r>
              <w:t>6</w:t>
            </w:r>
          </w:p>
        </w:tc>
        <w:tc>
          <w:tcPr>
            <w:tcW w:type="dxa" w:w="3408"/>
          </w:tcPr>
          <w:p>
            <w:r>
              <w:t>Why ASOJU</w:t>
            </w:r>
          </w:p>
        </w:tc>
        <w:tc>
          <w:tcPr>
            <w:tcW w:type="dxa" w:w="3408"/>
          </w:tcPr>
          <w:p>
            <w:r>
              <w:t>Trusted local representation and accountability.</w:t>
            </w:r>
          </w:p>
        </w:tc>
      </w:tr>
      <w:tr>
        <w:tc>
          <w:tcPr>
            <w:tcW w:type="dxa" w:w="3408"/>
          </w:tcPr>
          <w:p>
            <w:r>
              <w:t>7</w:t>
            </w:r>
          </w:p>
        </w:tc>
        <w:tc>
          <w:tcPr>
            <w:tcW w:type="dxa" w:w="3408"/>
          </w:tcPr>
          <w:p>
            <w:r>
              <w:t>What you receive</w:t>
            </w:r>
          </w:p>
        </w:tc>
        <w:tc>
          <w:tcPr>
            <w:tcW w:type="dxa" w:w="3408"/>
          </w:tcPr>
          <w:p>
            <w:r>
              <w:t>Scope, confirmations, evidence and completion information where applicable.</w:t>
            </w:r>
          </w:p>
        </w:tc>
      </w:tr>
      <w:tr>
        <w:tc>
          <w:tcPr>
            <w:tcW w:type="dxa" w:w="3408"/>
          </w:tcPr>
          <w:p>
            <w:r>
              <w:t>8</w:t>
            </w:r>
          </w:p>
        </w:tc>
        <w:tc>
          <w:tcPr>
            <w:tcW w:type="dxa" w:w="3408"/>
          </w:tcPr>
          <w:p>
            <w:r>
              <w:t>Boundaries</w:t>
            </w:r>
          </w:p>
        </w:tc>
        <w:tc>
          <w:tcPr>
            <w:tcW w:type="dxa" w:w="3408"/>
          </w:tcPr>
          <w:p>
            <w:r>
              <w:t>Explain that some tasks may not be accepted.</w:t>
            </w:r>
          </w:p>
        </w:tc>
      </w:tr>
      <w:tr>
        <w:tc>
          <w:tcPr>
            <w:tcW w:type="dxa" w:w="3408"/>
          </w:tcPr>
          <w:p>
            <w:r>
              <w:t>9</w:t>
            </w:r>
          </w:p>
        </w:tc>
        <w:tc>
          <w:tcPr>
            <w:tcW w:type="dxa" w:w="3408"/>
          </w:tcPr>
          <w:p>
            <w:r>
              <w:t>FAQ</w:t>
            </w:r>
          </w:p>
        </w:tc>
        <w:tc>
          <w:tcPr>
            <w:tcW w:type="dxa" w:w="3408"/>
          </w:tcPr>
          <w:p>
            <w:r>
              <w:t>Approved practical questions.</w:t>
            </w:r>
          </w:p>
        </w:tc>
      </w:tr>
      <w:tr>
        <w:tc>
          <w:tcPr>
            <w:tcW w:type="dxa" w:w="3408"/>
          </w:tcPr>
          <w:p>
            <w:r>
              <w:t>10</w:t>
            </w:r>
          </w:p>
        </w:tc>
        <w:tc>
          <w:tcPr>
            <w:tcW w:type="dxa" w:w="3408"/>
          </w:tcPr>
          <w:p>
            <w:r>
              <w:t>Final Concierge CTA</w:t>
            </w:r>
          </w:p>
        </w:tc>
        <w:tc>
          <w:tcPr>
            <w:tcW w:type="dxa" w:w="3408"/>
          </w:tcPr>
          <w:p>
            <w:r>
              <w:t>Conversion.</w:t>
            </w:r>
          </w:p>
        </w:tc>
      </w:tr>
      <w:tr>
        <w:tc>
          <w:tcPr>
            <w:tcW w:type="dxa" w:w="3408"/>
          </w:tcPr>
          <w:p>
            <w:r>
              <w:t>11</w:t>
            </w:r>
          </w:p>
        </w:tc>
        <w:tc>
          <w:tcPr>
            <w:tcW w:type="dxa" w:w="3408"/>
          </w:tcPr>
          <w:p>
            <w:r>
              <w:t>Footer</w:t>
            </w:r>
          </w:p>
        </w:tc>
        <w:tc>
          <w:tcPr>
            <w:tcW w:type="dxa" w:w="3408"/>
          </w:tcPr>
          <w:p>
            <w:r>
              <w:t>Global navigation.</w:t>
            </w:r>
          </w:p>
        </w:tc>
      </w:tr>
    </w:tbl>
    <w:p>
      <w:pPr>
        <w:pStyle w:val="Heading1"/>
      </w:pPr>
      <w:r>
        <w:t>6. Hero</w:t>
      </w:r>
    </w:p>
    <w:p>
      <w:r>
        <w:t>Eyebrow: ASOJU ASSIST</w:t>
      </w:r>
    </w:p>
    <w:p>
      <w:r>
        <w:t>Headline: “When something needs to be done in Nigeria, ASOJU can handle it for you.”</w:t>
      </w:r>
    </w:p>
    <w:p>
      <w:r>
        <w:t>Supporting message: “From sourcing and procurement to important local tasks, ASOJU gives you a trusted way to get things handled on the ground while you stay informed from wherever you are.”</w:t>
      </w:r>
    </w:p>
    <w:p>
      <w:r>
        <w:t>Primary CTA: Start with ASOJU →</w:t>
      </w:r>
    </w:p>
    <w:p>
      <w:r>
        <w:t>Secondary CTA: Tell us what you need →</w:t>
      </w:r>
    </w:p>
    <w:p>
      <w:pPr>
        <w:pStyle w:val="Heading1"/>
      </w:pPr>
      <w:r>
        <w:t>7. Hero Concierge</w:t>
      </w:r>
    </w:p>
    <w:p>
      <w:r>
        <w:t>Heading: “Tell ASOJU what you need done”</w:t>
      </w:r>
    </w:p>
    <w:p>
      <w:r>
        <w:t>Prompt: “What needs to be done in Nigeria, where is it, and what outcome do you need?”</w:t>
      </w:r>
    </w:p>
    <w:p>
      <w:r>
        <w:t>Example prompts:</w:t>
      </w:r>
    </w:p>
    <w:p>
      <w:pPr>
        <w:pStyle w:val="ListBullet"/>
      </w:pPr>
      <w:r>
        <w:t>“I need someone to source and purchase something for me in Lagos.”</w:t>
      </w:r>
    </w:p>
    <w:p>
      <w:pPr>
        <w:pStyle w:val="ListBullet"/>
      </w:pPr>
      <w:r>
        <w:t>“I need an item collected and delivered to my family.”</w:t>
      </w:r>
    </w:p>
    <w:p>
      <w:pPr>
        <w:pStyle w:val="ListBullet"/>
      </w:pPr>
      <w:r>
        <w:t>“I need help with an agriculture-related task in Nigeria.”</w:t>
      </w:r>
    </w:p>
    <w:p>
      <w:pPr>
        <w:pStyle w:val="ListBullet"/>
      </w:pPr>
      <w:r>
        <w:t>“I need local support with something connected to an investment I am considering.”</w:t>
      </w:r>
    </w:p>
    <w:p>
      <w:pPr>
        <w:pStyle w:val="ListBullet"/>
      </w:pPr>
      <w:r>
        <w:t>“I have a task in Nigeria that doesn't fit any of the other services.”</w:t>
      </w:r>
    </w:p>
    <w:p>
      <w:pPr>
        <w:pStyle w:val="Heading1"/>
      </w:pPr>
      <w:r>
        <w:t>8. Concierge classification behavior</w:t>
      </w:r>
    </w:p>
    <w:tbl>
      <w:tblPr>
        <w:tblStyle w:val="TableGrid"/>
        <w:tblW w:type="auto" w:w="0"/>
        <w:tblLook w:firstColumn="1" w:firstRow="1" w:lastColumn="0" w:lastRow="0" w:noHBand="0" w:noVBand="1" w:val="04A0"/>
      </w:tblPr>
      <w:tblGrid>
        <w:gridCol w:w="5112"/>
        <w:gridCol w:w="5112"/>
      </w:tblGrid>
      <w:tr>
        <w:tc>
          <w:tcPr>
            <w:tcW w:type="dxa" w:w="5112"/>
          </w:tcPr>
          <w:p>
            <w:r>
              <w:t>State</w:t>
            </w:r>
          </w:p>
        </w:tc>
        <w:tc>
          <w:tcPr>
            <w:tcW w:type="dxa" w:w="5112"/>
          </w:tcPr>
          <w:p>
            <w:r>
              <w:t>UI behavior</w:t>
            </w:r>
          </w:p>
        </w:tc>
      </w:tr>
      <w:tr>
        <w:tc>
          <w:tcPr>
            <w:tcW w:type="dxa" w:w="5112"/>
          </w:tcPr>
          <w:p>
            <w:r>
              <w:t>Anonymous idle</w:t>
            </w:r>
          </w:p>
        </w:tc>
        <w:tc>
          <w:tcPr>
            <w:tcW w:type="dxa" w:w="5112"/>
          </w:tcPr>
          <w:p>
            <w:r>
              <w:t>Input + examples; no sign-in.</w:t>
            </w:r>
          </w:p>
        </w:tc>
      </w:tr>
      <w:tr>
        <w:tc>
          <w:tcPr>
            <w:tcW w:type="dxa" w:w="5112"/>
          </w:tcPr>
          <w:p>
            <w:r>
              <w:t>Conversation</w:t>
            </w:r>
          </w:p>
        </w:tc>
        <w:tc>
          <w:tcPr>
            <w:tcW w:type="dxa" w:w="5112"/>
          </w:tcPr>
          <w:p>
            <w:r>
              <w:t>Clarify task, location, objective, timing, dependencies and desired outcome.</w:t>
            </w:r>
          </w:p>
        </w:tc>
      </w:tr>
      <w:tr>
        <w:tc>
          <w:tcPr>
            <w:tcW w:type="dxa" w:w="5112"/>
          </w:tcPr>
          <w:p>
            <w:r>
              <w:t>Classification</w:t>
            </w:r>
          </w:p>
        </w:tc>
        <w:tc>
          <w:tcPr>
            <w:tcW w:type="dxa" w:w="5112"/>
          </w:tcPr>
          <w:p>
            <w:r>
              <w:t>Concierge may suggest Arrivals, Inspect, Build, Care, Verify or Assist based on the request.</w:t>
            </w:r>
          </w:p>
        </w:tc>
      </w:tr>
      <w:tr>
        <w:tc>
          <w:tcPr>
            <w:tcW w:type="dxa" w:w="5112"/>
          </w:tcPr>
          <w:p>
            <w:r>
              <w:t>Structured request</w:t>
            </w:r>
          </w:p>
        </w:tc>
        <w:tc>
          <w:tcPr>
            <w:tcW w:type="dxa" w:w="5112"/>
          </w:tcPr>
          <w:p>
            <w:r>
              <w:t>If Assist is appropriate, show ASOJU Assist plus the task summary and missing details.</w:t>
            </w:r>
          </w:p>
        </w:tc>
      </w:tr>
      <w:tr>
        <w:tc>
          <w:tcPr>
            <w:tcW w:type="dxa" w:w="5112"/>
          </w:tcPr>
          <w:p>
            <w:r>
              <w:t>Authentication gate</w:t>
            </w:r>
          </w:p>
        </w:tc>
        <w:tc>
          <w:tcPr>
            <w:tcW w:type="dxa" w:w="5112"/>
          </w:tcPr>
          <w:p>
            <w:r>
              <w:t>Require sign-in/create-account before formal case creation.</w:t>
            </w:r>
          </w:p>
        </w:tc>
      </w:tr>
      <w:tr>
        <w:tc>
          <w:tcPr>
            <w:tcW w:type="dxa" w:w="5112"/>
          </w:tcPr>
          <w:p>
            <w:r>
              <w:t>Authenticated continuation</w:t>
            </w:r>
          </w:p>
        </w:tc>
        <w:tc>
          <w:tcPr>
            <w:tcW w:type="dxa" w:w="5112"/>
          </w:tcPr>
          <w:p>
            <w:r>
              <w:t>Restore request context and create formal case.</w:t>
            </w:r>
          </w:p>
        </w:tc>
      </w:tr>
      <w:tr>
        <w:tc>
          <w:tcPr>
            <w:tcW w:type="dxa" w:w="5112"/>
          </w:tcPr>
          <w:p>
            <w:r>
              <w:t>Scope/quote</w:t>
            </w:r>
          </w:p>
        </w:tc>
        <w:tc>
          <w:tcPr>
            <w:tcW w:type="dxa" w:w="5112"/>
          </w:tcPr>
          <w:p>
            <w:r>
              <w:t>Backend determines whether the task is accepted, scope, fees, external costs and quote.</w:t>
            </w:r>
          </w:p>
        </w:tc>
      </w:tr>
      <w:tr>
        <w:tc>
          <w:tcPr>
            <w:tcW w:type="dxa" w:w="5112"/>
          </w:tcPr>
          <w:p>
            <w:r>
              <w:t>Execution</w:t>
            </w:r>
          </w:p>
        </w:tc>
        <w:tc>
          <w:tcPr>
            <w:tcW w:type="dxa" w:w="5112"/>
          </w:tcPr>
          <w:p>
            <w:r>
              <w:t>Assigned staff/provider executes only the confirmed scope.</w:t>
            </w:r>
          </w:p>
        </w:tc>
      </w:tr>
      <w:tr>
        <w:tc>
          <w:tcPr>
            <w:tcW w:type="dxa" w:w="5112"/>
          </w:tcPr>
          <w:p>
            <w:r>
              <w:t>Completion</w:t>
            </w:r>
          </w:p>
        </w:tc>
        <w:tc>
          <w:tcPr>
            <w:tcW w:type="dxa" w:w="5112"/>
          </w:tcPr>
          <w:p>
            <w:r>
              <w:t>Customer receives confirmations, evidence and completion information according to the case.</w:t>
            </w:r>
          </w:p>
        </w:tc>
      </w:tr>
    </w:tbl>
    <w:p>
      <w:pPr>
        <w:pStyle w:val="Heading1"/>
      </w:pPr>
      <w:r>
        <w:t>9. Assist examples</w:t>
      </w:r>
    </w:p>
    <w:tbl>
      <w:tblPr>
        <w:tblStyle w:val="TableGrid"/>
        <w:tblW w:type="auto" w:w="0"/>
        <w:tblLook w:firstColumn="1" w:firstRow="1" w:lastColumn="0" w:lastRow="0" w:noHBand="0" w:noVBand="1" w:val="04A0"/>
      </w:tblPr>
      <w:tblGrid>
        <w:gridCol w:w="5112"/>
        <w:gridCol w:w="5112"/>
      </w:tblGrid>
      <w:tr>
        <w:tc>
          <w:tcPr>
            <w:tcW w:type="dxa" w:w="5112"/>
          </w:tcPr>
          <w:p>
            <w:r>
              <w:t>Category</w:t>
            </w:r>
          </w:p>
        </w:tc>
        <w:tc>
          <w:tcPr>
            <w:tcW w:type="dxa" w:w="5112"/>
          </w:tcPr>
          <w:p>
            <w:r>
              <w:t>Examples</w:t>
            </w:r>
          </w:p>
        </w:tc>
      </w:tr>
      <w:tr>
        <w:tc>
          <w:tcPr>
            <w:tcW w:type="dxa" w:w="5112"/>
          </w:tcPr>
          <w:p>
            <w:r>
              <w:t>Procurement</w:t>
            </w:r>
          </w:p>
        </w:tc>
        <w:tc>
          <w:tcPr>
            <w:tcW w:type="dxa" w:w="5112"/>
          </w:tcPr>
          <w:p>
            <w:r>
              <w:t>Source, purchase or coordinate acquisition of agreed goods/services.</w:t>
            </w:r>
          </w:p>
        </w:tc>
      </w:tr>
      <w:tr>
        <w:tc>
          <w:tcPr>
            <w:tcW w:type="dxa" w:w="5112"/>
          </w:tcPr>
          <w:p>
            <w:r>
              <w:t>Collection &amp; delivery</w:t>
            </w:r>
          </w:p>
        </w:tc>
        <w:tc>
          <w:tcPr>
            <w:tcW w:type="dxa" w:w="5112"/>
          </w:tcPr>
          <w:p>
            <w:r>
              <w:t>Coordinate collection, handover or delivery of agreed items.</w:t>
            </w:r>
          </w:p>
        </w:tc>
      </w:tr>
      <w:tr>
        <w:tc>
          <w:tcPr>
            <w:tcW w:type="dxa" w:w="5112"/>
          </w:tcPr>
          <w:p>
            <w:r>
              <w:t>Agriculture</w:t>
            </w:r>
          </w:p>
        </w:tc>
        <w:tc>
          <w:tcPr>
            <w:tcW w:type="dxa" w:w="5112"/>
          </w:tcPr>
          <w:p>
            <w:r>
              <w:t>Support configured farm/agriculture-related requests.</w:t>
            </w:r>
          </w:p>
        </w:tc>
      </w:tr>
      <w:tr>
        <w:tc>
          <w:tcPr>
            <w:tcW w:type="dxa" w:w="5112"/>
          </w:tcPr>
          <w:p>
            <w:r>
              <w:t>Investment support</w:t>
            </w:r>
          </w:p>
        </w:tc>
        <w:tc>
          <w:tcPr>
            <w:tcW w:type="dxa" w:w="5112"/>
          </w:tcPr>
          <w:p>
            <w:r>
              <w:t>Coordinate configured local tasks connected to an investment-related need without presenting ASOJU as an investment adviser.</w:t>
            </w:r>
          </w:p>
        </w:tc>
      </w:tr>
      <w:tr>
        <w:tc>
          <w:tcPr>
            <w:tcW w:type="dxa" w:w="5112"/>
          </w:tcPr>
          <w:p>
            <w:r>
              <w:t>Special task</w:t>
            </w:r>
          </w:p>
        </w:tc>
        <w:tc>
          <w:tcPr>
            <w:tcW w:type="dxa" w:w="5112"/>
          </w:tcPr>
          <w:p>
            <w:r>
              <w:t>A practical local task that does not fit the other five service families and is accepted after scoping.</w:t>
            </w:r>
          </w:p>
        </w:tc>
      </w:tr>
    </w:tbl>
    <w:p>
      <w:r>
        <w:t>The examples are a customer-facing illustration of the supported direction, not a guarantee that every variation is available.</w:t>
      </w:r>
    </w:p>
    <w:p>
      <w:pPr>
        <w:pStyle w:val="Heading1"/>
      </w:pPr>
      <w:r>
        <w:t>10. Service-family classification</w:t>
      </w:r>
    </w:p>
    <w:p>
      <w:r>
        <w:t>Assist should be the fallback only after the Concierge checks whether another family is a better fit.</w:t>
      </w:r>
    </w:p>
    <w:tbl>
      <w:tblPr>
        <w:tblStyle w:val="TableGrid"/>
        <w:tblW w:type="auto" w:w="0"/>
        <w:tblLook w:firstColumn="1" w:firstRow="1" w:lastColumn="0" w:lastRow="0" w:noHBand="0" w:noVBand="1" w:val="04A0"/>
      </w:tblPr>
      <w:tblGrid>
        <w:gridCol w:w="5112"/>
        <w:gridCol w:w="5112"/>
      </w:tblGrid>
      <w:tr>
        <w:tc>
          <w:tcPr>
            <w:tcW w:type="dxa" w:w="5112"/>
          </w:tcPr>
          <w:p>
            <w:r>
              <w:t>If the request is primarily about…</w:t>
            </w:r>
          </w:p>
        </w:tc>
        <w:tc>
          <w:tcPr>
            <w:tcW w:type="dxa" w:w="5112"/>
          </w:tcPr>
          <w:p>
            <w:r>
              <w:t>Route to</w:t>
            </w:r>
          </w:p>
        </w:tc>
      </w:tr>
      <w:tr>
        <w:tc>
          <w:tcPr>
            <w:tcW w:type="dxa" w:w="5112"/>
          </w:tcPr>
          <w:p>
            <w:r>
              <w:t>Arriving, transport, accommodation or arrival coordination</w:t>
            </w:r>
          </w:p>
        </w:tc>
        <w:tc>
          <w:tcPr>
            <w:tcW w:type="dxa" w:w="5112"/>
          </w:tcPr>
          <w:p>
            <w:r>
              <w:t>ASOJU Arrivals</w:t>
            </w:r>
          </w:p>
        </w:tc>
      </w:tr>
      <w:tr>
        <w:tc>
          <w:tcPr>
            <w:tcW w:type="dxa" w:w="5112"/>
          </w:tcPr>
          <w:p>
            <w:r>
              <w:t>Physical property, asset or site inspection</w:t>
            </w:r>
          </w:p>
        </w:tc>
        <w:tc>
          <w:tcPr>
            <w:tcW w:type="dxa" w:w="5112"/>
          </w:tcPr>
          <w:p>
            <w:r>
              <w:t>ASOJU Inspect</w:t>
            </w:r>
          </w:p>
        </w:tc>
      </w:tr>
      <w:tr>
        <w:tc>
          <w:tcPr>
            <w:tcW w:type="dxa" w:w="5112"/>
          </w:tcPr>
          <w:p>
            <w:r>
              <w:t>Construction/project supervision</w:t>
            </w:r>
          </w:p>
        </w:tc>
        <w:tc>
          <w:tcPr>
            <w:tcW w:type="dxa" w:w="5112"/>
          </w:tcPr>
          <w:p>
            <w:r>
              <w:t>ASOJU Build</w:t>
            </w:r>
          </w:p>
        </w:tc>
      </w:tr>
      <w:tr>
        <w:tc>
          <w:tcPr>
            <w:tcW w:type="dxa" w:w="5112"/>
          </w:tcPr>
          <w:p>
            <w:r>
              <w:t>Family/personal support</w:t>
            </w:r>
          </w:p>
        </w:tc>
        <w:tc>
          <w:tcPr>
            <w:tcW w:type="dxa" w:w="5112"/>
          </w:tcPr>
          <w:p>
            <w:r>
              <w:t>ASOJU Care</w:t>
            </w:r>
          </w:p>
        </w:tc>
      </w:tr>
      <w:tr>
        <w:tc>
          <w:tcPr>
            <w:tcW w:type="dxa" w:w="5112"/>
          </w:tcPr>
          <w:p>
            <w:r>
              <w:t>Verification/due diligence</w:t>
            </w:r>
          </w:p>
        </w:tc>
        <w:tc>
          <w:tcPr>
            <w:tcW w:type="dxa" w:w="5112"/>
          </w:tcPr>
          <w:p>
            <w:r>
              <w:t>ASOJU Verify</w:t>
            </w:r>
          </w:p>
        </w:tc>
      </w:tr>
      <w:tr>
        <w:tc>
          <w:tcPr>
            <w:tcW w:type="dxa" w:w="5112"/>
          </w:tcPr>
          <w:p>
            <w:r>
              <w:t>Other supported task/procurement/agriculture/investment support</w:t>
            </w:r>
          </w:p>
        </w:tc>
        <w:tc>
          <w:tcPr>
            <w:tcW w:type="dxa" w:w="5112"/>
          </w:tcPr>
          <w:p>
            <w:r>
              <w:t>ASOJU Assist</w:t>
            </w:r>
          </w:p>
        </w:tc>
      </w:tr>
    </w:tbl>
    <w:p>
      <w:r>
        <w:t>The classification is a UX aid. The backend remains authoritative for actual service eligibility and case creation.</w:t>
      </w:r>
    </w:p>
    <w:p>
      <w:pPr>
        <w:pStyle w:val="Heading1"/>
      </w:pPr>
      <w:r>
        <w:t>11. How ASOJU Assist works</w:t>
      </w:r>
    </w:p>
    <w:tbl>
      <w:tblPr>
        <w:tblStyle w:val="TableGrid"/>
        <w:tblW w:type="auto" w:w="0"/>
        <w:tblLook w:firstColumn="1" w:firstRow="1" w:lastColumn="0" w:lastRow="0" w:noHBand="0" w:noVBand="1" w:val="04A0"/>
      </w:tblPr>
      <w:tblGrid>
        <w:gridCol w:w="5112"/>
        <w:gridCol w:w="5112"/>
      </w:tblGrid>
      <w:tr>
        <w:tc>
          <w:tcPr>
            <w:tcW w:type="dxa" w:w="5112"/>
          </w:tcPr>
          <w:p>
            <w:r>
              <w:t>Step</w:t>
            </w:r>
          </w:p>
        </w:tc>
        <w:tc>
          <w:tcPr>
            <w:tcW w:type="dxa" w:w="5112"/>
          </w:tcPr>
          <w:p>
            <w:r>
              <w:t>Customer-facing explanation</w:t>
            </w:r>
          </w:p>
        </w:tc>
      </w:tr>
      <w:tr>
        <w:tc>
          <w:tcPr>
            <w:tcW w:type="dxa" w:w="5112"/>
          </w:tcPr>
          <w:p>
            <w:r>
              <w:t>1 — Tell us</w:t>
            </w:r>
          </w:p>
        </w:tc>
        <w:tc>
          <w:tcPr>
            <w:tcW w:type="dxa" w:w="5112"/>
          </w:tcPr>
          <w:p>
            <w:r>
              <w:t>Describe the task in your own words.</w:t>
            </w:r>
          </w:p>
        </w:tc>
      </w:tr>
      <w:tr>
        <w:tc>
          <w:tcPr>
            <w:tcW w:type="dxa" w:w="5112"/>
          </w:tcPr>
          <w:p>
            <w:r>
              <w:t>2 — Define it</w:t>
            </w:r>
          </w:p>
        </w:tc>
        <w:tc>
          <w:tcPr>
            <w:tcW w:type="dxa" w:w="5112"/>
          </w:tcPr>
          <w:p>
            <w:r>
              <w:t>ASOJU clarifies the scope, dependencies, timing and expected outcome.</w:t>
            </w:r>
          </w:p>
        </w:tc>
      </w:tr>
      <w:tr>
        <w:tc>
          <w:tcPr>
            <w:tcW w:type="dxa" w:w="5112"/>
          </w:tcPr>
          <w:p>
            <w:r>
              <w:t>3 — We handle it</w:t>
            </w:r>
          </w:p>
        </w:tc>
        <w:tc>
          <w:tcPr>
            <w:tcW w:type="dxa" w:w="5112"/>
          </w:tcPr>
          <w:p>
            <w:r>
              <w:t>The appropriate ASOJU workflow and assigned people execute the agreed task.</w:t>
            </w:r>
          </w:p>
        </w:tc>
      </w:tr>
      <w:tr>
        <w:tc>
          <w:tcPr>
            <w:tcW w:type="dxa" w:w="5112"/>
          </w:tcPr>
          <w:p>
            <w:r>
              <w:t>4 — You see what happened</w:t>
            </w:r>
          </w:p>
        </w:tc>
        <w:tc>
          <w:tcPr>
            <w:tcW w:type="dxa" w:w="5112"/>
          </w:tcPr>
          <w:p>
            <w:r>
              <w:t>Receive confirmations, evidence and completion information according to the scope.</w:t>
            </w:r>
          </w:p>
        </w:tc>
      </w:tr>
    </w:tbl>
    <w:p>
      <w:pPr>
        <w:pStyle w:val="Heading1"/>
      </w:pPr>
      <w:r>
        <w:t>12. Why ASOJU Assist</w:t>
      </w:r>
    </w:p>
    <w:tbl>
      <w:tblPr>
        <w:tblStyle w:val="TableGrid"/>
        <w:tblW w:type="auto" w:w="0"/>
        <w:tblLook w:firstColumn="1" w:firstRow="1" w:lastColumn="0" w:lastRow="0" w:noHBand="0" w:noVBand="1" w:val="04A0"/>
      </w:tblPr>
      <w:tblGrid>
        <w:gridCol w:w="5112"/>
        <w:gridCol w:w="5112"/>
      </w:tblGrid>
      <w:tr>
        <w:tc>
          <w:tcPr>
            <w:tcW w:type="dxa" w:w="5112"/>
          </w:tcPr>
          <w:p>
            <w:r>
              <w:t>Pillar</w:t>
            </w:r>
          </w:p>
        </w:tc>
        <w:tc>
          <w:tcPr>
            <w:tcW w:type="dxa" w:w="5112"/>
          </w:tcPr>
          <w:p>
            <w:r>
              <w:t>Message</w:t>
            </w:r>
          </w:p>
        </w:tc>
      </w:tr>
      <w:tr>
        <w:tc>
          <w:tcPr>
            <w:tcW w:type="dxa" w:w="5112"/>
          </w:tcPr>
          <w:p>
            <w:r>
              <w:t>Trusted local hands</w:t>
            </w:r>
          </w:p>
        </w:tc>
        <w:tc>
          <w:tcPr>
            <w:tcW w:type="dxa" w:w="5112"/>
          </w:tcPr>
          <w:p>
            <w:r>
              <w:t>You have an accountable point of execution in Nigeria.</w:t>
            </w:r>
          </w:p>
        </w:tc>
      </w:tr>
      <w:tr>
        <w:tc>
          <w:tcPr>
            <w:tcW w:type="dxa" w:w="5112"/>
          </w:tcPr>
          <w:p>
            <w:r>
              <w:t>One place to start</w:t>
            </w:r>
          </w:p>
        </w:tc>
        <w:tc>
          <w:tcPr>
            <w:tcW w:type="dxa" w:w="5112"/>
          </w:tcPr>
          <w:p>
            <w:r>
              <w:t>You do not need to know the internal service category before asking.</w:t>
            </w:r>
          </w:p>
        </w:tc>
      </w:tr>
      <w:tr>
        <w:tc>
          <w:tcPr>
            <w:tcW w:type="dxa" w:w="5112"/>
          </w:tcPr>
          <w:p>
            <w:r>
              <w:t>Clear scope</w:t>
            </w:r>
          </w:p>
        </w:tc>
        <w:tc>
          <w:tcPr>
            <w:tcW w:type="dxa" w:w="5112"/>
          </w:tcPr>
          <w:p>
            <w:r>
              <w:t>The task is defined before formal execution.</w:t>
            </w:r>
          </w:p>
        </w:tc>
      </w:tr>
      <w:tr>
        <w:tc>
          <w:tcPr>
            <w:tcW w:type="dxa" w:w="5112"/>
          </w:tcPr>
          <w:p>
            <w:r>
              <w:t>Visibility</w:t>
            </w:r>
          </w:p>
        </w:tc>
        <w:tc>
          <w:tcPr>
            <w:tcW w:type="dxa" w:w="5112"/>
          </w:tcPr>
          <w:p>
            <w:r>
              <w:t>You receive relevant confirmations and updates.</w:t>
            </w:r>
          </w:p>
        </w:tc>
      </w:tr>
      <w:tr>
        <w:tc>
          <w:tcPr>
            <w:tcW w:type="dxa" w:w="5112"/>
          </w:tcPr>
          <w:p>
            <w:r>
              <w:t>Accountability</w:t>
            </w:r>
          </w:p>
        </w:tc>
        <w:tc>
          <w:tcPr>
            <w:tcW w:type="dxa" w:w="5112"/>
          </w:tcPr>
          <w:p>
            <w:r>
              <w:t>The task moves through a controlled case workflow.</w:t>
            </w:r>
          </w:p>
        </w:tc>
      </w:tr>
    </w:tbl>
    <w:p>
      <w:pPr>
        <w:pStyle w:val="Heading1"/>
      </w:pPr>
      <w:r>
        <w:t>13. What the customer receives</w:t>
      </w:r>
    </w:p>
    <w:p>
      <w:pPr>
        <w:pStyle w:val="ListBullet"/>
      </w:pPr>
      <w:r>
        <w:t>Clear request/scope summary once the task is accepted.</w:t>
      </w:r>
    </w:p>
    <w:p>
      <w:pPr>
        <w:pStyle w:val="ListBullet"/>
      </w:pPr>
      <w:r>
        <w:t>Quote/payment information where applicable.</w:t>
      </w:r>
    </w:p>
    <w:p>
      <w:pPr>
        <w:pStyle w:val="ListBullet"/>
      </w:pPr>
      <w:r>
        <w:t>Relevant provider/order/collection/delivery confirmations where supported.</w:t>
      </w:r>
    </w:p>
    <w:p>
      <w:pPr>
        <w:pStyle w:val="ListBullet"/>
      </w:pPr>
      <w:r>
        <w:t>Evidence or documentation where the task requires it.</w:t>
      </w:r>
    </w:p>
    <w:p>
      <w:pPr>
        <w:pStyle w:val="ListBullet"/>
      </w:pPr>
      <w:r>
        <w:t>Completion information and case history.</w:t>
      </w:r>
    </w:p>
    <w:p>
      <w:pPr>
        <w:pStyle w:val="ListBullet"/>
      </w:pPr>
      <w:r>
        <w:t>Explanation if the requested task cannot be accepted or completed.</w:t>
      </w:r>
    </w:p>
    <w:p>
      <w:r>
        <w:t>Do not promise a task outcome, provider availability, price or timing before the appropriate confirmation exists.</w:t>
      </w:r>
    </w:p>
    <w:p>
      <w:pPr>
        <w:pStyle w:val="Heading1"/>
      </w:pPr>
      <w:r>
        <w:t>14. Boundaries and safety</w:t>
      </w:r>
    </w:p>
    <w:p>
      <w:r>
        <w:t>Assist must communicate a clear boundary: ASOJU handles supported, lawful and appropriately scoped tasks. The Concierge should redirect or decline requests that are outside the platform's operational, legal, safety or professional boundaries.</w:t>
      </w:r>
    </w:p>
    <w:p>
      <w:pPr>
        <w:pStyle w:val="ListBullet"/>
      </w:pPr>
      <w:r>
        <w:t>Do not imply ASOJU can perform unrestricted errands of any kind.</w:t>
      </w:r>
    </w:p>
    <w:p>
      <w:pPr>
        <w:pStyle w:val="ListBullet"/>
      </w:pPr>
      <w:r>
        <w:t>Do not promise regulated professional advice such as legal, medical or investment advice.</w:t>
      </w:r>
    </w:p>
    <w:p>
      <w:pPr>
        <w:pStyle w:val="ListBullet"/>
      </w:pPr>
      <w:r>
        <w:t>Do not promise financial outcomes.</w:t>
      </w:r>
    </w:p>
    <w:p>
      <w:pPr>
        <w:pStyle w:val="ListBullet"/>
      </w:pPr>
      <w:r>
        <w:t>Do not expose third-party personal information without appropriate authorization.</w:t>
      </w:r>
    </w:p>
    <w:p>
      <w:pPr>
        <w:pStyle w:val="ListBullet"/>
      </w:pPr>
      <w:r>
        <w:t>Do not present a task as accepted until the backend confirms acceptance/formal case creation.</w:t>
      </w:r>
    </w:p>
    <w:p>
      <w:pPr>
        <w:pStyle w:val="Heading1"/>
      </w:pPr>
      <w:r>
        <w:t>15. Pricing and quote behavior</w:t>
      </w:r>
    </w:p>
    <w:p>
      <w:pPr>
        <w:pStyle w:val="ListBullet"/>
      </w:pPr>
      <w:r>
        <w:t>Do not publish generic Assist package prices.</w:t>
      </w:r>
    </w:p>
    <w:p>
      <w:pPr>
        <w:pStyle w:val="ListBullet"/>
      </w:pPr>
      <w:r>
        <w:t>Scope first, then quote through the existing ASOJU quote workflow.</w:t>
      </w:r>
    </w:p>
    <w:p>
      <w:pPr>
        <w:pStyle w:val="ListBullet"/>
      </w:pPr>
      <w:r>
        <w:t>Show ASOJU service fees separately from external/provider/purchase costs and applicable taxes where configured.</w:t>
      </w:r>
    </w:p>
    <w:p>
      <w:pPr>
        <w:pStyle w:val="ListBullet"/>
      </w:pPr>
      <w:r>
        <w:t>Authentication is required before formal case creation, quote acceptance and payment.</w:t>
      </w:r>
    </w:p>
    <w:p>
      <w:pPr>
        <w:pStyle w:val="ListBullet"/>
      </w:pPr>
      <w:r>
        <w:t>Quote expiry and payment state must be backend-authoritative.</w:t>
      </w:r>
    </w:p>
    <w:p>
      <w:pPr>
        <w:pStyle w:val="Heading1"/>
      </w:pPr>
      <w:r>
        <w:t>16. FAQ framework</w:t>
      </w:r>
    </w:p>
    <w:p>
      <w:pPr>
        <w:pStyle w:val="ListBullet"/>
      </w:pPr>
      <w:r>
        <w:t>What kinds of tasks can ASOJU Assist handle?</w:t>
      </w:r>
    </w:p>
    <w:p>
      <w:pPr>
        <w:pStyle w:val="ListBullet"/>
      </w:pPr>
      <w:r>
        <w:t>I don't know which ASOJU service I need — can I just explain the task?</w:t>
      </w:r>
    </w:p>
    <w:p>
      <w:pPr>
        <w:pStyle w:val="ListBullet"/>
      </w:pPr>
      <w:r>
        <w:t>Can ASOJU purchase something for me?</w:t>
      </w:r>
    </w:p>
    <w:p>
      <w:pPr>
        <w:pStyle w:val="ListBullet"/>
      </w:pPr>
      <w:r>
        <w:t>Can ASOJU coordinate collection or delivery?</w:t>
      </w:r>
    </w:p>
    <w:p>
      <w:pPr>
        <w:pStyle w:val="ListBullet"/>
      </w:pPr>
      <w:r>
        <w:t>Can you help with agriculture-related tasks?</w:t>
      </w:r>
    </w:p>
    <w:p>
      <w:pPr>
        <w:pStyle w:val="ListBullet"/>
      </w:pPr>
      <w:r>
        <w:t>Can ASOJU help with an investment-related task?</w:t>
      </w:r>
    </w:p>
    <w:p>
      <w:pPr>
        <w:pStyle w:val="ListBullet"/>
      </w:pPr>
      <w:r>
        <w:t>Will ASOJU accept every request?</w:t>
      </w:r>
    </w:p>
    <w:p>
      <w:pPr>
        <w:pStyle w:val="ListBullet"/>
      </w:pPr>
      <w:r>
        <w:t>Do I need an account to ask whether ASOJU can help?</w:t>
      </w:r>
    </w:p>
    <w:p>
      <w:r>
        <w:t>Answers must reflect current configuration and policies. Avoid presenting the examples as an unlimited promise.</w:t>
      </w:r>
    </w:p>
    <w:p>
      <w:pPr>
        <w:pStyle w:val="Heading1"/>
      </w:pPr>
      <w:r>
        <w:t>17. Privacy and third-party information</w:t>
      </w:r>
    </w:p>
    <w:p>
      <w:pPr>
        <w:pStyle w:val="ListBullet"/>
      </w:pPr>
      <w:r>
        <w:t>Collect only information required to scope the task.</w:t>
      </w:r>
    </w:p>
    <w:p>
      <w:pPr>
        <w:pStyle w:val="ListBullet"/>
      </w:pPr>
      <w:r>
        <w:t>Keep customer, beneficiary and third-party information case-scoped.</w:t>
      </w:r>
    </w:p>
    <w:p>
      <w:pPr>
        <w:pStyle w:val="ListBullet"/>
      </w:pPr>
      <w:r>
        <w:t>Do not expose private contact/payment details unnecessarily.</w:t>
      </w:r>
    </w:p>
    <w:p>
      <w:pPr>
        <w:pStyle w:val="ListBullet"/>
      </w:pPr>
      <w:r>
        <w:t>Use existing document/evidence classification and signed access controls.</w:t>
      </w:r>
    </w:p>
    <w:p>
      <w:pPr>
        <w:pStyle w:val="ListBullet"/>
      </w:pPr>
      <w:r>
        <w:t>Do not place sensitive task content into analytics unless explicitly approved.</w:t>
      </w:r>
    </w:p>
    <w:p>
      <w:pPr>
        <w:pStyle w:val="Heading1"/>
      </w:pPr>
      <w:r>
        <w:t>18. Front-end components</w:t>
      </w:r>
    </w:p>
    <w:p>
      <w:pPr>
        <w:pStyle w:val="ListBullet"/>
      </w:pPr>
      <w:r>
        <w:t>ServiceHero</w:t>
      </w:r>
    </w:p>
    <w:p>
      <w:pPr>
        <w:pStyle w:val="ListBullet"/>
      </w:pPr>
      <w:r>
        <w:t>AssistConciergePanel</w:t>
      </w:r>
    </w:p>
    <w:p>
      <w:pPr>
        <w:pStyle w:val="ListBullet"/>
      </w:pPr>
      <w:r>
        <w:t>ExamplePromptList</w:t>
      </w:r>
    </w:p>
    <w:p>
      <w:pPr>
        <w:pStyle w:val="ListBullet"/>
      </w:pPr>
      <w:r>
        <w:t>AssistCategoryCards</w:t>
      </w:r>
    </w:p>
    <w:p>
      <w:pPr>
        <w:pStyle w:val="ListBullet"/>
      </w:pPr>
      <w:r>
        <w:t>ServiceClassifierHint</w:t>
      </w:r>
    </w:p>
    <w:p>
      <w:pPr>
        <w:pStyle w:val="ListBullet"/>
      </w:pPr>
      <w:r>
        <w:t>HowItWorks</w:t>
      </w:r>
    </w:p>
    <w:p>
      <w:pPr>
        <w:pStyle w:val="ListBullet"/>
      </w:pPr>
      <w:r>
        <w:t>TrustPillars</w:t>
      </w:r>
    </w:p>
    <w:p>
      <w:pPr>
        <w:pStyle w:val="ListBullet"/>
      </w:pPr>
      <w:r>
        <w:t>BoundariesSection</w:t>
      </w:r>
    </w:p>
    <w:p>
      <w:pPr>
        <w:pStyle w:val="ListBullet"/>
      </w:pPr>
      <w:r>
        <w:t>CustomerOutcomeSection</w:t>
      </w:r>
    </w:p>
    <w:p>
      <w:pPr>
        <w:pStyle w:val="ListBullet"/>
      </w:pPr>
      <w:r>
        <w:t>FAQAccordion</w:t>
      </w:r>
    </w:p>
    <w:p>
      <w:pPr>
        <w:pStyle w:val="ListBullet"/>
      </w:pPr>
      <w:r>
        <w:t>ServiceCTA</w:t>
      </w:r>
    </w:p>
    <w:p>
      <w:pPr>
        <w:pStyle w:val="ListBullet"/>
      </w:pPr>
      <w:r>
        <w:t>GlobalHeader</w:t>
      </w:r>
    </w:p>
    <w:p>
      <w:pPr>
        <w:pStyle w:val="ListBullet"/>
      </w:pPr>
      <w:r>
        <w:t>GlobalFooter</w:t>
      </w:r>
    </w:p>
    <w:p>
      <w:pPr>
        <w:pStyle w:val="Heading1"/>
      </w:pPr>
      <w:r>
        <w:t>19. Responsive behavior</w:t>
      </w:r>
    </w:p>
    <w:tbl>
      <w:tblPr>
        <w:tblStyle w:val="TableGrid"/>
        <w:tblW w:type="auto" w:w="0"/>
        <w:tblLook w:firstColumn="1" w:firstRow="1" w:lastColumn="0" w:lastRow="0" w:noHBand="0" w:noVBand="1" w:val="04A0"/>
      </w:tblPr>
      <w:tblGrid>
        <w:gridCol w:w="5112"/>
        <w:gridCol w:w="5112"/>
      </w:tblGrid>
      <w:tr>
        <w:tc>
          <w:tcPr>
            <w:tcW w:type="dxa" w:w="5112"/>
          </w:tcPr>
          <w:p>
            <w:r>
              <w:t>Viewport</w:t>
            </w:r>
          </w:p>
        </w:tc>
        <w:tc>
          <w:tcPr>
            <w:tcW w:type="dxa" w:w="5112"/>
          </w:tcPr>
          <w:p>
            <w:r>
              <w:t>Requirement</w:t>
            </w:r>
          </w:p>
        </w:tc>
      </w:tr>
      <w:tr>
        <w:tc>
          <w:tcPr>
            <w:tcW w:type="dxa" w:w="5112"/>
          </w:tcPr>
          <w:p>
            <w:r>
              <w:t>Desktop</w:t>
            </w:r>
          </w:p>
        </w:tc>
        <w:tc>
          <w:tcPr>
            <w:tcW w:type="dxa" w:w="5112"/>
          </w:tcPr>
          <w:p>
            <w:r>
              <w:t>Concierge dominates hero; category examples are easy to scan; classification explanation is clear.</w:t>
            </w:r>
          </w:p>
        </w:tc>
      </w:tr>
      <w:tr>
        <w:tc>
          <w:tcPr>
            <w:tcW w:type="dxa" w:w="5112"/>
          </w:tcPr>
          <w:p>
            <w:r>
              <w:t>Tablet</w:t>
            </w:r>
          </w:p>
        </w:tc>
        <w:tc>
          <w:tcPr>
            <w:tcW w:type="dxa" w:w="5112"/>
          </w:tcPr>
          <w:p>
            <w:r>
              <w:t>Two-column category cards; preserve Concierge prominence.</w:t>
            </w:r>
          </w:p>
        </w:tc>
      </w:tr>
      <w:tr>
        <w:tc>
          <w:tcPr>
            <w:tcW w:type="dxa" w:w="5112"/>
          </w:tcPr>
          <w:p>
            <w:r>
              <w:t>Mobile</w:t>
            </w:r>
          </w:p>
        </w:tc>
        <w:tc>
          <w:tcPr>
            <w:tcW w:type="dxa" w:w="5112"/>
          </w:tcPr>
          <w:p>
            <w:r>
              <w:t>Concierge first; category cards stack; classification becomes a compact vertical flow; CTA remains prominent.</w:t>
            </w:r>
          </w:p>
        </w:tc>
      </w:tr>
    </w:tbl>
    <w:p>
      <w:pPr>
        <w:pStyle w:val="Heading1"/>
      </w:pPr>
      <w:r>
        <w:t>20. Accessibility</w:t>
      </w:r>
    </w:p>
    <w:p>
      <w:pPr>
        <w:pStyle w:val="ListBullet"/>
      </w:pPr>
      <w:r>
        <w:t>Concierge input has a visible/programmatic label.</w:t>
      </w:r>
    </w:p>
    <w:p>
      <w:pPr>
        <w:pStyle w:val="ListBullet"/>
      </w:pPr>
      <w:r>
        <w:t>Example prompts are keyboard accessible.</w:t>
      </w:r>
    </w:p>
    <w:p>
      <w:pPr>
        <w:pStyle w:val="ListBullet"/>
      </w:pPr>
      <w:r>
        <w:t>Classification suggestions are understandable without color.</w:t>
      </w:r>
    </w:p>
    <w:p>
      <w:pPr>
        <w:pStyle w:val="ListBullet"/>
      </w:pPr>
      <w:r>
        <w:t>FAQ supports keyboard and screen-reader interaction.</w:t>
      </w:r>
    </w:p>
    <w:p>
      <w:pPr>
        <w:pStyle w:val="ListBullet"/>
      </w:pPr>
      <w:r>
        <w:t>Boundaries and error states use plain text plus appropriate visual cues.</w:t>
      </w:r>
    </w:p>
    <w:p>
      <w:pPr>
        <w:pStyle w:val="ListBullet"/>
      </w:pPr>
      <w:r>
        <w:t>All interactive controls have visible focus and usable touch targets.</w:t>
      </w:r>
    </w:p>
    <w:p>
      <w:pPr>
        <w:pStyle w:val="Heading1"/>
      </w:pPr>
      <w:r>
        <w:t>21. Analytics</w:t>
      </w:r>
    </w:p>
    <w:p>
      <w:pPr>
        <w:pStyle w:val="ListBullet"/>
      </w:pPr>
      <w:r>
        <w:t>assist_page_view</w:t>
      </w:r>
    </w:p>
    <w:p>
      <w:pPr>
        <w:pStyle w:val="ListBullet"/>
      </w:pPr>
      <w:r>
        <w:t>assist_concierge_open</w:t>
      </w:r>
    </w:p>
    <w:p>
      <w:pPr>
        <w:pStyle w:val="ListBullet"/>
      </w:pPr>
      <w:r>
        <w:t>assist_prompt_click</w:t>
      </w:r>
    </w:p>
    <w:p>
      <w:pPr>
        <w:pStyle w:val="ListBullet"/>
      </w:pPr>
      <w:r>
        <w:t>assist_procurement_interest</w:t>
      </w:r>
    </w:p>
    <w:p>
      <w:pPr>
        <w:pStyle w:val="ListBullet"/>
      </w:pPr>
      <w:r>
        <w:t>assist_delivery_interest</w:t>
      </w:r>
    </w:p>
    <w:p>
      <w:pPr>
        <w:pStyle w:val="ListBullet"/>
      </w:pPr>
      <w:r>
        <w:t>assist_agriculture_interest</w:t>
      </w:r>
    </w:p>
    <w:p>
      <w:pPr>
        <w:pStyle w:val="ListBullet"/>
      </w:pPr>
      <w:r>
        <w:t>assist_investment_interest</w:t>
      </w:r>
    </w:p>
    <w:p>
      <w:pPr>
        <w:pStyle w:val="ListBullet"/>
      </w:pPr>
      <w:r>
        <w:t>assist_conversation_started</w:t>
      </w:r>
    </w:p>
    <w:p>
      <w:pPr>
        <w:pStyle w:val="ListBullet"/>
      </w:pPr>
      <w:r>
        <w:t>assist_service_reclassification</w:t>
      </w:r>
    </w:p>
    <w:p>
      <w:pPr>
        <w:pStyle w:val="ListBullet"/>
      </w:pPr>
      <w:r>
        <w:t>assist_structured_request</w:t>
      </w:r>
    </w:p>
    <w:p>
      <w:pPr>
        <w:pStyle w:val="ListBullet"/>
      </w:pPr>
      <w:r>
        <w:t>assist_auth_gate</w:t>
      </w:r>
    </w:p>
    <w:p>
      <w:pPr>
        <w:pStyle w:val="ListBullet"/>
      </w:pPr>
      <w:r>
        <w:t>assist_case_created</w:t>
      </w:r>
    </w:p>
    <w:p>
      <w:pPr>
        <w:pStyle w:val="ListBullet"/>
      </w:pPr>
      <w:r>
        <w:t>assist_cta_click</w:t>
      </w:r>
    </w:p>
    <w:p>
      <w:r>
        <w:t>Do not transmit sensitive task free-text, payment details or third-party information into analytics unless explicitly approved.</w:t>
      </w:r>
    </w:p>
    <w:p>
      <w:pPr>
        <w:pStyle w:val="Heading1"/>
      </w:pPr>
      <w:r>
        <w:t>22. Engineering rules</w:t>
      </w:r>
    </w:p>
    <w:p>
      <w:pPr>
        <w:pStyle w:val="ListBullet"/>
      </w:pPr>
      <w:r>
        <w:t>Map Assist to actual Procurement, Agriculture Support, Investment Support and other configured task workflows.</w:t>
      </w:r>
    </w:p>
    <w:p>
      <w:pPr>
        <w:pStyle w:val="ListBullet"/>
      </w:pPr>
      <w:r>
        <w:t>Use the AI Concierge as the flexible classification and scoping interface.</w:t>
      </w:r>
    </w:p>
    <w:p>
      <w:pPr>
        <w:pStyle w:val="ListBullet"/>
      </w:pPr>
      <w:r>
        <w:t>Do not hard-code a universal 'anything goes' Assist workflow.</w:t>
      </w:r>
    </w:p>
    <w:p>
      <w:pPr>
        <w:pStyle w:val="ListBullet"/>
      </w:pPr>
      <w:r>
        <w:t>Use server-authoritative service eligibility, scope, pricing, permissions and case state.</w:t>
      </w:r>
    </w:p>
    <w:p>
      <w:pPr>
        <w:pStyle w:val="ListBullet"/>
      </w:pPr>
      <w:r>
        <w:t>Use existing quote/payment architecture.</w:t>
      </w:r>
    </w:p>
    <w:p>
      <w:pPr>
        <w:pStyle w:val="ListBullet"/>
      </w:pPr>
      <w:r>
        <w:t>Use duplicate-safe case creation.</w:t>
      </w:r>
    </w:p>
    <w:p>
      <w:pPr>
        <w:pStyle w:val="ListBullet"/>
      </w:pPr>
      <w:r>
        <w:t>Support task rejection, clarification, provider unavailable, quote expiry, payment failure and completion states where supported.</w:t>
      </w:r>
    </w:p>
    <w:p>
      <w:pPr>
        <w:pStyle w:val="ListBullet"/>
      </w:pPr>
      <w:r>
        <w:t>Do not expose internal risk, compliance or staff-only information.</w:t>
      </w:r>
    </w:p>
    <w:p>
      <w:pPr>
        <w:pStyle w:val="Heading1"/>
      </w:pPr>
      <w:r>
        <w:t>23. Acceptance criteria</w:t>
      </w:r>
    </w:p>
    <w:p>
      <w:pPr>
        <w:pStyle w:val="ListBullet"/>
      </w:pPr>
      <w:r>
        <w:t>Visitor understands Assist as the flexible trusted-task service.</w:t>
      </w:r>
    </w:p>
    <w:p>
      <w:pPr>
        <w:pStyle w:val="ListBullet"/>
      </w:pPr>
      <w:r>
        <w:t>Exact locked service name and promise are used.</w:t>
      </w:r>
    </w:p>
    <w:p>
      <w:pPr>
        <w:pStyle w:val="ListBullet"/>
      </w:pPr>
      <w:r>
        <w:t>Visitor can start the Concierge without signing in.</w:t>
      </w:r>
    </w:p>
    <w:p>
      <w:pPr>
        <w:pStyle w:val="ListBullet"/>
      </w:pPr>
      <w:r>
        <w:t>Concierge can determine whether another service family is a better fit.</w:t>
      </w:r>
    </w:p>
    <w:p>
      <w:pPr>
        <w:pStyle w:val="ListBullet"/>
      </w:pPr>
      <w:r>
        <w:t>Formal case creation requires authentication.</w:t>
      </w:r>
    </w:p>
    <w:p>
      <w:pPr>
        <w:pStyle w:val="ListBullet"/>
      </w:pPr>
      <w:r>
        <w:t>Accepted task scope and quote are backend-authoritative.</w:t>
      </w:r>
    </w:p>
    <w:p>
      <w:pPr>
        <w:pStyle w:val="ListBullet"/>
      </w:pPr>
      <w:r>
        <w:t>Examples do not become unsupported promises.</w:t>
      </w:r>
    </w:p>
    <w:p>
      <w:pPr>
        <w:pStyle w:val="ListBullet"/>
      </w:pPr>
      <w:r>
        <w:t>Privacy and case-scoped access controls are respected.</w:t>
      </w:r>
    </w:p>
    <w:p>
      <w:pPr>
        <w:pStyle w:val="ListBullet"/>
      </w:pPr>
      <w:r>
        <w:t>Responsive, accessibility, error-state and E2E QA pass.</w:t>
      </w:r>
    </w:p>
    <w:p>
      <w:pPr>
        <w:pStyle w:val="Heading1"/>
      </w:pPr>
      <w:r>
        <w:t>24. Developer build sequence</w:t>
      </w:r>
    </w:p>
    <w:p>
      <w:r>
        <w:t>1. Audit current Procurement, Agriculture Support, Investment Support and other supported task configuration.</w:t>
      </w:r>
    </w:p>
    <w:p>
      <w:r>
        <w:t>2. Map those capabilities to ASOJU Assist.</w:t>
      </w:r>
    </w:p>
    <w:p>
      <w:r>
        <w:t>3. Build the page using the shared service-page system.</w:t>
      </w:r>
    </w:p>
    <w:p>
      <w:r>
        <w:t>4. Connect Assist Concierge prompts to the existing AI Concierge.</w:t>
      </w:r>
    </w:p>
    <w:p>
      <w:r>
        <w:t>5. Implement service-family classification and safe re-routing.</w:t>
      </w:r>
    </w:p>
    <w:p>
      <w:r>
        <w:t>6. Implement anonymous → authentication → formal case creation.</w:t>
      </w:r>
    </w:p>
    <w:p>
      <w:r>
        <w:t>7. Connect accepted requests to scope, quote, payment, assignment and completion states.</w:t>
      </w:r>
    </w:p>
    <w:p>
      <w:r>
        <w:t>8. Add boundary, privacy, responsive and accessibility handling.</w:t>
      </w:r>
    </w:p>
    <w:p>
      <w:r>
        <w:t>9. Run E2E and manual UX tests.</w:t>
      </w:r>
    </w:p>
    <w:p>
      <w:r>
        <w:t>10. Review public copy against actual configured Assist capabilities before production.</w:t>
      </w:r>
    </w:p>
    <w:p>
      <w:pPr>
        <w:pStyle w:val="Heading1"/>
      </w:pPr>
      <w:r>
        <w:t>25. Product boundary</w:t>
      </w:r>
    </w:p>
    <w:p>
      <w:r>
        <w:t>ASOJU Assist is the flexible customer-facing family for supported tasks that do not naturally belong to Arrivals, Inspect, Build, Care or Verify. The current source explicitly supports Procurement, Investment Support and Agriculture Support as added services. Exact sub-services and accepted task types must be verified against the current repository/configuration.</w:t>
      </w:r>
    </w:p>
    <w:p>
      <w:r>
        <w:t>This blueprint intentionally preserves a broad but controlled Assist concept: the Concierge helps the customer describe the need, while the backend determines whether ASOJU can accept and execute 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