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CARE — SERVICE PAGE BLUEPRINT</w:t>
      </w:r>
    </w:p>
    <w:p>
      <w:pPr>
        <w:jc w:val="center"/>
      </w:pPr>
      <w:r>
        <w:rPr>
          <w:i/>
        </w:rPr>
        <w:t>Customer-facing UI/UX + front-end engineering handoff</w:t>
        <w:br/>
        <w:t>Version 1.0 • 15 August 2026</w:t>
      </w:r>
    </w:p>
    <w:p>
      <w:pPr>
        <w:pStyle w:val="Heading1"/>
      </w:pPr>
      <w:r>
        <w:t>1. Purpose</w:t>
      </w:r>
    </w:p>
    <w:p>
      <w:r>
        <w:t>ASOJU Care is the customer-facing service family for customers abroad who need trusted local support for family members and important personal matters in Nigeria. The page should make the service feel human, dependable and accountable while keeping the actual request, scope, permissions and execution inside the ASOJU case workflow.</w:t>
      </w:r>
    </w:p>
    <w:p>
      <w:r>
        <w:t>The central promise is representation: the customer may be far away, but ASOJU can help them remain present through trusted, agreed support on the ground.</w:t>
      </w:r>
    </w:p>
    <w:p>
      <w:pPr>
        <w:pStyle w:val="Heading1"/>
      </w:pPr>
      <w:r>
        <w:t>2. Locked service identity</w:t>
      </w:r>
    </w:p>
    <w:tbl>
      <w:tblPr>
        <w:tblStyle w:val="TableGrid"/>
        <w:tblW w:type="auto" w:w="0"/>
        <w:tblLook w:firstColumn="1" w:firstRow="1" w:lastColumn="0" w:lastRow="0" w:noHBand="0" w:noVBand="1" w:val="04A0"/>
      </w:tblPr>
      <w:tblGrid>
        <w:gridCol w:w="5112"/>
        <w:gridCol w:w="5112"/>
      </w:tblGrid>
      <w:tr>
        <w:tc>
          <w:tcPr>
            <w:tcW w:type="dxa" w:w="5112"/>
          </w:tcPr>
          <w:p>
            <w:r>
              <w:t>Element</w:t>
            </w:r>
          </w:p>
        </w:tc>
        <w:tc>
          <w:tcPr>
            <w:tcW w:type="dxa" w:w="5112"/>
          </w:tcPr>
          <w:p>
            <w:r>
              <w:t>Locked specification</w:t>
            </w:r>
          </w:p>
        </w:tc>
      </w:tr>
      <w:tr>
        <w:tc>
          <w:tcPr>
            <w:tcW w:type="dxa" w:w="5112"/>
          </w:tcPr>
          <w:p>
            <w:r>
              <w:t>Service name</w:t>
            </w:r>
          </w:p>
        </w:tc>
        <w:tc>
          <w:tcPr>
            <w:tcW w:type="dxa" w:w="5112"/>
          </w:tcPr>
          <w:p>
            <w:r>
              <w:t>ASOJU Care</w:t>
            </w:r>
          </w:p>
        </w:tc>
      </w:tr>
      <w:tr>
        <w:tc>
          <w:tcPr>
            <w:tcW w:type="dxa" w:w="5112"/>
          </w:tcPr>
          <w:p>
            <w:r>
              <w:t>Homepage promise</w:t>
            </w:r>
          </w:p>
        </w:tc>
        <w:tc>
          <w:tcPr>
            <w:tcW w:type="dxa" w:w="5112"/>
          </w:tcPr>
          <w:p>
            <w:r>
              <w:t>Be there for the people who matter, even when you're far away.</w:t>
            </w:r>
          </w:p>
        </w:tc>
      </w:tr>
      <w:tr>
        <w:tc>
          <w:tcPr>
            <w:tcW w:type="dxa" w:w="5112"/>
          </w:tcPr>
          <w:p>
            <w:r>
              <w:t>Primary CTA</w:t>
            </w:r>
          </w:p>
        </w:tc>
        <w:tc>
          <w:tcPr>
            <w:tcW w:type="dxa" w:w="5112"/>
          </w:tcPr>
          <w:p>
            <w:r>
              <w:t>Start with ASOJU →</w:t>
            </w:r>
          </w:p>
        </w:tc>
      </w:tr>
      <w:tr>
        <w:tc>
          <w:tcPr>
            <w:tcW w:type="dxa" w:w="5112"/>
          </w:tcPr>
          <w:p>
            <w:r>
              <w:t>Secondary CTA</w:t>
            </w:r>
          </w:p>
        </w:tc>
        <w:tc>
          <w:tcPr>
            <w:tcW w:type="dxa" w:w="5112"/>
          </w:tcPr>
          <w:p>
            <w:r>
              <w:t>Tell us what you need →</w:t>
            </w:r>
          </w:p>
        </w:tc>
      </w:tr>
      <w:tr>
        <w:tc>
          <w:tcPr>
            <w:tcW w:type="dxa" w:w="5112"/>
          </w:tcPr>
          <w:p>
            <w:r>
              <w:t>Primary conversion</w:t>
            </w:r>
          </w:p>
        </w:tc>
        <w:tc>
          <w:tcPr>
            <w:tcW w:type="dxa" w:w="5112"/>
          </w:tcPr>
          <w:p>
            <w:r>
              <w:t>AI Concierge</w:t>
            </w:r>
          </w:p>
        </w:tc>
      </w:tr>
      <w:tr>
        <w:tc>
          <w:tcPr>
            <w:tcW w:type="dxa" w:w="5112"/>
          </w:tcPr>
          <w:p>
            <w:r>
              <w:t>Anonymous use</w:t>
            </w:r>
          </w:p>
        </w:tc>
        <w:tc>
          <w:tcPr>
            <w:tcW w:type="dxa" w:w="5112"/>
          </w:tcPr>
          <w:p>
            <w:r>
              <w:t>Yes — first-instance Concierge conversation.</w:t>
            </w:r>
          </w:p>
        </w:tc>
      </w:tr>
      <w:tr>
        <w:tc>
          <w:tcPr>
            <w:tcW w:type="dxa" w:w="5112"/>
          </w:tcPr>
          <w:p>
            <w:r>
              <w:t>Authentication gate</w:t>
            </w:r>
          </w:p>
        </w:tc>
        <w:tc>
          <w:tcPr>
            <w:tcW w:type="dxa" w:w="5112"/>
          </w:tcPr>
          <w:p>
            <w:r>
              <w:t>Required before formal case creation and quote/payment progression.</w:t>
            </w:r>
          </w:p>
        </w:tc>
      </w:tr>
    </w:tbl>
    <w:p>
      <w:pPr>
        <w:pStyle w:val="Heading1"/>
      </w:pPr>
      <w:r>
        <w:t>3. Source-supported scope</w:t>
      </w:r>
    </w:p>
    <w:p>
      <w:r>
        <w:t>The current ASOJU build documentation identifies Family Support as a service added to the platform and describes the platform more broadly as handling important tasks in Nigeria on behalf of customers abroad. The supplied source does not define a complete granular catalogue of Family Support sub-services. Therefore, this page should use a flexible request-led model rather than presenting an invented exhaustive service list.</w:t>
      </w:r>
    </w:p>
    <w:p>
      <w:r>
        <w:t>The AI Concierge should be the mechanism for understanding the customer's actual family-support need, clarifying what is required and determining the appropriate case/service scope.</w:t>
      </w:r>
    </w:p>
    <w:p>
      <w:pPr>
        <w:pStyle w:val="Heading1"/>
      </w:pPr>
      <w:r>
        <w:t>4. Page objective</w:t>
      </w:r>
    </w:p>
    <w:p>
      <w:pPr>
        <w:pStyle w:val="ListBullet"/>
      </w:pPr>
      <w:r>
        <w:t>Immediately communicate that ASOJU can help customers support family from abroad.</w:t>
      </w:r>
    </w:p>
    <w:p>
      <w:pPr>
        <w:pStyle w:val="ListBullet"/>
      </w:pPr>
      <w:r>
        <w:t>Make the service feel trustworthy without implying medical, legal, financial or other regulated professional care unless explicitly configured.</w:t>
      </w:r>
    </w:p>
    <w:p>
      <w:pPr>
        <w:pStyle w:val="ListBullet"/>
      </w:pPr>
      <w:r>
        <w:t>Allow a visitor to describe a family-related need anonymously.</w:t>
      </w:r>
    </w:p>
    <w:p>
      <w:pPr>
        <w:pStyle w:val="ListBullet"/>
      </w:pPr>
      <w:r>
        <w:t>Convert the clarified request into an authenticated formal case.</w:t>
      </w:r>
    </w:p>
    <w:p>
      <w:pPr>
        <w:pStyle w:val="ListBullet"/>
      </w:pPr>
      <w:r>
        <w:t>Explain that ASOJU provides accountable local representation, updates and evidence where applicable.</w:t>
      </w:r>
    </w:p>
    <w:p>
      <w:pPr>
        <w:pStyle w:val="ListBullet"/>
      </w:pPr>
      <w:r>
        <w:t>Keep the customer's and beneficiary's privacy boundaries clear.</w:t>
      </w:r>
    </w:p>
    <w:p>
      <w:pPr>
        <w:pStyle w:val="Heading1"/>
      </w:pPr>
      <w:r>
        <w:t>5. Recommended page structure</w:t>
      </w:r>
    </w:p>
    <w:tbl>
      <w:tblPr>
        <w:tblStyle w:val="TableGrid"/>
        <w:tblW w:type="auto" w:w="0"/>
        <w:tblLook w:firstColumn="1" w:firstRow="1" w:lastColumn="0" w:lastRow="0" w:noHBand="0" w:noVBand="1" w:val="04A0"/>
      </w:tblPr>
      <w:tblGrid>
        <w:gridCol w:w="3408"/>
        <w:gridCol w:w="3408"/>
        <w:gridCol w:w="3408"/>
      </w:tblGrid>
      <w:tr>
        <w:tc>
          <w:tcPr>
            <w:tcW w:type="dxa" w:w="3408"/>
          </w:tcPr>
          <w:p>
            <w:r>
              <w:t>Order</w:t>
            </w:r>
          </w:p>
        </w:tc>
        <w:tc>
          <w:tcPr>
            <w:tcW w:type="dxa" w:w="3408"/>
          </w:tcPr>
          <w:p>
            <w:r>
              <w:t>Section</w:t>
            </w:r>
          </w:p>
        </w:tc>
        <w:tc>
          <w:tcPr>
            <w:tcW w:type="dxa" w:w="3408"/>
          </w:tcPr>
          <w:p>
            <w:r>
              <w:t>Purpose</w:t>
            </w:r>
          </w:p>
        </w:tc>
      </w:tr>
      <w:tr>
        <w:tc>
          <w:tcPr>
            <w:tcW w:type="dxa" w:w="3408"/>
          </w:tcPr>
          <w:p>
            <w:r>
              <w:t>1</w:t>
            </w:r>
          </w:p>
        </w:tc>
        <w:tc>
          <w:tcPr>
            <w:tcW w:type="dxa" w:w="3408"/>
          </w:tcPr>
          <w:p>
            <w:r>
              <w:t>Header</w:t>
            </w:r>
          </w:p>
        </w:tc>
        <w:tc>
          <w:tcPr>
            <w:tcW w:type="dxa" w:w="3408"/>
          </w:tcPr>
          <w:p>
            <w:r>
              <w:t>Global ASOJU navigation.</w:t>
            </w:r>
          </w:p>
        </w:tc>
      </w:tr>
      <w:tr>
        <w:tc>
          <w:tcPr>
            <w:tcW w:type="dxa" w:w="3408"/>
          </w:tcPr>
          <w:p>
            <w:r>
              <w:t>2</w:t>
            </w:r>
          </w:p>
        </w:tc>
        <w:tc>
          <w:tcPr>
            <w:tcW w:type="dxa" w:w="3408"/>
          </w:tcPr>
          <w:p>
            <w:r>
              <w:t>Hero + Concierge</w:t>
            </w:r>
          </w:p>
        </w:tc>
        <w:tc>
          <w:tcPr>
            <w:tcW w:type="dxa" w:w="3408"/>
          </w:tcPr>
          <w:p>
            <w:r>
              <w:t>Immediate emotional connection and request entry.</w:t>
            </w:r>
          </w:p>
        </w:tc>
      </w:tr>
      <w:tr>
        <w:tc>
          <w:tcPr>
            <w:tcW w:type="dxa" w:w="3408"/>
          </w:tcPr>
          <w:p>
            <w:r>
              <w:t>3</w:t>
            </w:r>
          </w:p>
        </w:tc>
        <w:tc>
          <w:tcPr>
            <w:tcW w:type="dxa" w:w="3408"/>
          </w:tcPr>
          <w:p>
            <w:r>
              <w:t>How ASOJU Care can help</w:t>
            </w:r>
          </w:p>
        </w:tc>
        <w:tc>
          <w:tcPr>
            <w:tcW w:type="dxa" w:w="3408"/>
          </w:tcPr>
          <w:p>
            <w:r>
              <w:t>Flexible examples of support situations.</w:t>
            </w:r>
          </w:p>
        </w:tc>
      </w:tr>
      <w:tr>
        <w:tc>
          <w:tcPr>
            <w:tcW w:type="dxa" w:w="3408"/>
          </w:tcPr>
          <w:p>
            <w:r>
              <w:t>4</w:t>
            </w:r>
          </w:p>
        </w:tc>
        <w:tc>
          <w:tcPr>
            <w:tcW w:type="dxa" w:w="3408"/>
          </w:tcPr>
          <w:p>
            <w:r>
              <w:t>Your family, represented</w:t>
            </w:r>
          </w:p>
        </w:tc>
        <w:tc>
          <w:tcPr>
            <w:tcW w:type="dxa" w:w="3408"/>
          </w:tcPr>
          <w:p>
            <w:r>
              <w:t>Explain local presence and accountability.</w:t>
            </w:r>
          </w:p>
        </w:tc>
      </w:tr>
      <w:tr>
        <w:tc>
          <w:tcPr>
            <w:tcW w:type="dxa" w:w="3408"/>
          </w:tcPr>
          <w:p>
            <w:r>
              <w:t>5</w:t>
            </w:r>
          </w:p>
        </w:tc>
        <w:tc>
          <w:tcPr>
            <w:tcW w:type="dxa" w:w="3408"/>
          </w:tcPr>
          <w:p>
            <w:r>
              <w:t>How it works</w:t>
            </w:r>
          </w:p>
        </w:tc>
        <w:tc>
          <w:tcPr>
            <w:tcW w:type="dxa" w:w="3408"/>
          </w:tcPr>
          <w:p>
            <w:r>
              <w:t>Request → scope → execution → updates.</w:t>
            </w:r>
          </w:p>
        </w:tc>
      </w:tr>
      <w:tr>
        <w:tc>
          <w:tcPr>
            <w:tcW w:type="dxa" w:w="3408"/>
          </w:tcPr>
          <w:p>
            <w:r>
              <w:t>6</w:t>
            </w:r>
          </w:p>
        </w:tc>
        <w:tc>
          <w:tcPr>
            <w:tcW w:type="dxa" w:w="3408"/>
          </w:tcPr>
          <w:p>
            <w:r>
              <w:t>Why ASOJU</w:t>
            </w:r>
          </w:p>
        </w:tc>
        <w:tc>
          <w:tcPr>
            <w:tcW w:type="dxa" w:w="3408"/>
          </w:tcPr>
          <w:p>
            <w:r>
              <w:t>Trust, visibility, privacy and accountability.</w:t>
            </w:r>
          </w:p>
        </w:tc>
      </w:tr>
      <w:tr>
        <w:tc>
          <w:tcPr>
            <w:tcW w:type="dxa" w:w="3408"/>
          </w:tcPr>
          <w:p>
            <w:r>
              <w:t>7</w:t>
            </w:r>
          </w:p>
        </w:tc>
        <w:tc>
          <w:tcPr>
            <w:tcW w:type="dxa" w:w="3408"/>
          </w:tcPr>
          <w:p>
            <w:r>
              <w:t>What you receive</w:t>
            </w:r>
          </w:p>
        </w:tc>
        <w:tc>
          <w:tcPr>
            <w:tcW w:type="dxa" w:w="3408"/>
          </w:tcPr>
          <w:p>
            <w:r>
              <w:t>Case updates/evidence/completion information where applicable.</w:t>
            </w:r>
          </w:p>
        </w:tc>
      </w:tr>
      <w:tr>
        <w:tc>
          <w:tcPr>
            <w:tcW w:type="dxa" w:w="3408"/>
          </w:tcPr>
          <w:p>
            <w:r>
              <w:t>8</w:t>
            </w:r>
          </w:p>
        </w:tc>
        <w:tc>
          <w:tcPr>
            <w:tcW w:type="dxa" w:w="3408"/>
          </w:tcPr>
          <w:p>
            <w:r>
              <w:t>FAQ</w:t>
            </w:r>
          </w:p>
        </w:tc>
        <w:tc>
          <w:tcPr>
            <w:tcW w:type="dxa" w:w="3408"/>
          </w:tcPr>
          <w:p>
            <w:r>
              <w:t>Approved practical questions.</w:t>
            </w:r>
          </w:p>
        </w:tc>
      </w:tr>
      <w:tr>
        <w:tc>
          <w:tcPr>
            <w:tcW w:type="dxa" w:w="3408"/>
          </w:tcPr>
          <w:p>
            <w:r>
              <w:t>9</w:t>
            </w:r>
          </w:p>
        </w:tc>
        <w:tc>
          <w:tcPr>
            <w:tcW w:type="dxa" w:w="3408"/>
          </w:tcPr>
          <w:p>
            <w:r>
              <w:t>Final Concierge CTA</w:t>
            </w:r>
          </w:p>
        </w:tc>
        <w:tc>
          <w:tcPr>
            <w:tcW w:type="dxa" w:w="3408"/>
          </w:tcPr>
          <w:p>
            <w:r>
              <w:t>Conversion.</w:t>
            </w:r>
          </w:p>
        </w:tc>
      </w:tr>
      <w:tr>
        <w:tc>
          <w:tcPr>
            <w:tcW w:type="dxa" w:w="3408"/>
          </w:tcPr>
          <w:p>
            <w:r>
              <w:t>10</w:t>
            </w:r>
          </w:p>
        </w:tc>
        <w:tc>
          <w:tcPr>
            <w:tcW w:type="dxa" w:w="3408"/>
          </w:tcPr>
          <w:p>
            <w:r>
              <w:t>Footer</w:t>
            </w:r>
          </w:p>
        </w:tc>
        <w:tc>
          <w:tcPr>
            <w:tcW w:type="dxa" w:w="3408"/>
          </w:tcPr>
          <w:p>
            <w:r>
              <w:t>Global navigation.</w:t>
            </w:r>
          </w:p>
        </w:tc>
      </w:tr>
    </w:tbl>
    <w:p>
      <w:pPr>
        <w:pStyle w:val="Heading1"/>
      </w:pPr>
      <w:r>
        <w:t>6. Hero</w:t>
      </w:r>
    </w:p>
    <w:p>
      <w:r>
        <w:t>Eyebrow: ASOJU CARE</w:t>
      </w:r>
    </w:p>
    <w:p>
      <w:r>
        <w:t>Headline: “Be there for the people who matter, even when you're far away.”</w:t>
      </w:r>
    </w:p>
    <w:p>
      <w:r>
        <w:t>Supporting message: “When family needs something in Nigeria and you cannot be there yourself, ASOJU helps coordinate agreed support on the ground and keeps you informed.”</w:t>
      </w:r>
    </w:p>
    <w:p>
      <w:r>
        <w:t>Primary CTA: Start with ASOJU →</w:t>
      </w:r>
    </w:p>
    <w:p>
      <w:r>
        <w:t>Secondary CTA: Tell us what you need →</w:t>
      </w:r>
    </w:p>
    <w:p>
      <w:pPr>
        <w:pStyle w:val="Heading1"/>
      </w:pPr>
      <w:r>
        <w:t>7. Hero Concierge</w:t>
      </w:r>
    </w:p>
    <w:p>
      <w:r>
        <w:t>Heading: “Tell ASOJU what your family needs”</w:t>
      </w:r>
    </w:p>
    <w:p>
      <w:r>
        <w:t>Prompt: “Tell us what is happening, who needs help, where they are, and what you would like ASOJU to handle.”</w:t>
      </w:r>
    </w:p>
    <w:p>
      <w:r>
        <w:t>Example prompts:</w:t>
      </w:r>
    </w:p>
    <w:p>
      <w:pPr>
        <w:pStyle w:val="ListBullet"/>
      </w:pPr>
      <w:r>
        <w:t>“My parents need help with something in Abuja and I cannot travel right now.”</w:t>
      </w:r>
    </w:p>
    <w:p>
      <w:pPr>
        <w:pStyle w:val="ListBullet"/>
      </w:pPr>
      <w:r>
        <w:t>“I need someone to help coordinate an important family matter in Lagos.”</w:t>
      </w:r>
    </w:p>
    <w:p>
      <w:pPr>
        <w:pStyle w:val="ListBullet"/>
      </w:pPr>
      <w:r>
        <w:t>“Please check on a family-related situation and let me know what you find.”</w:t>
      </w:r>
    </w:p>
    <w:p>
      <w:pPr>
        <w:pStyle w:val="ListBullet"/>
      </w:pPr>
      <w:r>
        <w:t>“There is something my family needs handled locally and I need someone I can trust.”</w:t>
      </w:r>
    </w:p>
    <w:p>
      <w:pPr>
        <w:pStyle w:val="Heading1"/>
      </w:pPr>
      <w:r>
        <w:t>8. Concierge state flow</w:t>
      </w:r>
    </w:p>
    <w:tbl>
      <w:tblPr>
        <w:tblStyle w:val="TableGrid"/>
        <w:tblW w:type="auto" w:w="0"/>
        <w:tblLook w:firstColumn="1" w:firstRow="1" w:lastColumn="0" w:lastRow="0" w:noHBand="0" w:noVBand="1" w:val="04A0"/>
      </w:tblPr>
      <w:tblGrid>
        <w:gridCol w:w="5112"/>
        <w:gridCol w:w="5112"/>
      </w:tblGrid>
      <w:tr>
        <w:tc>
          <w:tcPr>
            <w:tcW w:type="dxa" w:w="5112"/>
          </w:tcPr>
          <w:p>
            <w:r>
              <w:t>State</w:t>
            </w:r>
          </w:p>
        </w:tc>
        <w:tc>
          <w:tcPr>
            <w:tcW w:type="dxa" w:w="5112"/>
          </w:tcPr>
          <w:p>
            <w:r>
              <w:t>UI behavior</w:t>
            </w:r>
          </w:p>
        </w:tc>
      </w:tr>
      <w:tr>
        <w:tc>
          <w:tcPr>
            <w:tcW w:type="dxa" w:w="5112"/>
          </w:tcPr>
          <w:p>
            <w:r>
              <w:t>Anonymous idle</w:t>
            </w:r>
          </w:p>
        </w:tc>
        <w:tc>
          <w:tcPr>
            <w:tcW w:type="dxa" w:w="5112"/>
          </w:tcPr>
          <w:p>
            <w:r>
              <w:t>Input + examples; no sign-in.</w:t>
            </w:r>
          </w:p>
        </w:tc>
      </w:tr>
      <w:tr>
        <w:tc>
          <w:tcPr>
            <w:tcW w:type="dxa" w:w="5112"/>
          </w:tcPr>
          <w:p>
            <w:r>
              <w:t>Conversation</w:t>
            </w:r>
          </w:p>
        </w:tc>
        <w:tc>
          <w:tcPr>
            <w:tcW w:type="dxa" w:w="5112"/>
          </w:tcPr>
          <w:p>
            <w:r>
              <w:t>Clarify who needs support, location, request, urgency/context and desired outcome without collecting unnecessary sensitive information.</w:t>
            </w:r>
          </w:p>
        </w:tc>
      </w:tr>
      <w:tr>
        <w:tc>
          <w:tcPr>
            <w:tcW w:type="dxa" w:w="5112"/>
          </w:tcPr>
          <w:p>
            <w:r>
              <w:t>Structured request</w:t>
            </w:r>
          </w:p>
        </w:tc>
        <w:tc>
          <w:tcPr>
            <w:tcW w:type="dxa" w:w="5112"/>
          </w:tcPr>
          <w:p>
            <w:r>
              <w:t>Show ASOJU Care, request summary, intended outcome and missing details.</w:t>
            </w:r>
          </w:p>
        </w:tc>
      </w:tr>
      <w:tr>
        <w:tc>
          <w:tcPr>
            <w:tcW w:type="dxa" w:w="5112"/>
          </w:tcPr>
          <w:p>
            <w:r>
              <w:t>Authentication gate</w:t>
            </w:r>
          </w:p>
        </w:tc>
        <w:tc>
          <w:tcPr>
            <w:tcW w:type="dxa" w:w="5112"/>
          </w:tcPr>
          <w:p>
            <w:r>
              <w:t>Require sign-in/create-account before formal case creation.</w:t>
            </w:r>
          </w:p>
        </w:tc>
      </w:tr>
      <w:tr>
        <w:tc>
          <w:tcPr>
            <w:tcW w:type="dxa" w:w="5112"/>
          </w:tcPr>
          <w:p>
            <w:r>
              <w:t>Authenticated continuation</w:t>
            </w:r>
          </w:p>
        </w:tc>
        <w:tc>
          <w:tcPr>
            <w:tcW w:type="dxa" w:w="5112"/>
          </w:tcPr>
          <w:p>
            <w:r>
              <w:t>Restore the prepared request and allow formal case creation.</w:t>
            </w:r>
          </w:p>
        </w:tc>
      </w:tr>
      <w:tr>
        <w:tc>
          <w:tcPr>
            <w:tcW w:type="dxa" w:w="5112"/>
          </w:tcPr>
          <w:p>
            <w:r>
              <w:t>Scope/quote</w:t>
            </w:r>
          </w:p>
        </w:tc>
        <w:tc>
          <w:tcPr>
            <w:tcW w:type="dxa" w:w="5112"/>
          </w:tcPr>
          <w:p>
            <w:r>
              <w:t>Backend determines scope, fees, external costs and quote where applicable.</w:t>
            </w:r>
          </w:p>
        </w:tc>
      </w:tr>
      <w:tr>
        <w:tc>
          <w:tcPr>
            <w:tcW w:type="dxa" w:w="5112"/>
          </w:tcPr>
          <w:p>
            <w:r>
              <w:t>Execution</w:t>
            </w:r>
          </w:p>
        </w:tc>
        <w:tc>
          <w:tcPr>
            <w:tcW w:type="dxa" w:w="5112"/>
          </w:tcPr>
          <w:p>
            <w:r>
              <w:t>Assigned staff/provider follows confirmed case scope.</w:t>
            </w:r>
          </w:p>
        </w:tc>
      </w:tr>
      <w:tr>
        <w:tc>
          <w:tcPr>
            <w:tcW w:type="dxa" w:w="5112"/>
          </w:tcPr>
          <w:p>
            <w:r>
              <w:t>Completion</w:t>
            </w:r>
          </w:p>
        </w:tc>
        <w:tc>
          <w:tcPr>
            <w:tcW w:type="dxa" w:w="5112"/>
          </w:tcPr>
          <w:p>
            <w:r>
              <w:t>Customer receives permitted updates/evidence/report/completion information.</w:t>
            </w:r>
          </w:p>
        </w:tc>
      </w:tr>
    </w:tbl>
    <w:p>
      <w:pPr>
        <w:pStyle w:val="Heading1"/>
      </w:pPr>
      <w:r>
        <w:t>9. Care situations</w:t>
      </w:r>
    </w:p>
    <w:p>
      <w:r>
        <w:t>Use these as examples, not a closed catalogue, because the supplied source does not define every Family Support sub-service.</w:t>
      </w:r>
    </w:p>
    <w:tbl>
      <w:tblPr>
        <w:tblStyle w:val="TableGrid"/>
        <w:tblW w:type="auto" w:w="0"/>
        <w:tblLook w:firstColumn="1" w:firstRow="1" w:lastColumn="0" w:lastRow="0" w:noHBand="0" w:noVBand="1" w:val="04A0"/>
      </w:tblPr>
      <w:tblGrid>
        <w:gridCol w:w="5112"/>
        <w:gridCol w:w="5112"/>
      </w:tblGrid>
      <w:tr>
        <w:tc>
          <w:tcPr>
            <w:tcW w:type="dxa" w:w="5112"/>
          </w:tcPr>
          <w:p>
            <w:r>
              <w:t>Situation</w:t>
            </w:r>
          </w:p>
        </w:tc>
        <w:tc>
          <w:tcPr>
            <w:tcW w:type="dxa" w:w="5112"/>
          </w:tcPr>
          <w:p>
            <w:r>
              <w:t>Customer-facing framing</w:t>
            </w:r>
          </w:p>
        </w:tc>
      </w:tr>
      <w:tr>
        <w:tc>
          <w:tcPr>
            <w:tcW w:type="dxa" w:w="5112"/>
          </w:tcPr>
          <w:p>
            <w:r>
              <w:t>Important family matter</w:t>
            </w:r>
          </w:p>
        </w:tc>
        <w:tc>
          <w:tcPr>
            <w:tcW w:type="dxa" w:w="5112"/>
          </w:tcPr>
          <w:p>
            <w:r>
              <w:t>Coordinate an agreed task or matter on behalf of a customer abroad.</w:t>
            </w:r>
          </w:p>
        </w:tc>
      </w:tr>
      <w:tr>
        <w:tc>
          <w:tcPr>
            <w:tcW w:type="dxa" w:w="5112"/>
          </w:tcPr>
          <w:p>
            <w:r>
              <w:t>Local check-in/support</w:t>
            </w:r>
          </w:p>
        </w:tc>
        <w:tc>
          <w:tcPr>
            <w:tcW w:type="dxa" w:w="5112"/>
          </w:tcPr>
          <w:p>
            <w:r>
              <w:t>Arrange an appropriate local check or support action where the configured service permits it.</w:t>
            </w:r>
          </w:p>
        </w:tc>
      </w:tr>
      <w:tr>
        <w:tc>
          <w:tcPr>
            <w:tcW w:type="dxa" w:w="5112"/>
          </w:tcPr>
          <w:p>
            <w:r>
              <w:t>Family logistics</w:t>
            </w:r>
          </w:p>
        </w:tc>
        <w:tc>
          <w:tcPr>
            <w:tcW w:type="dxa" w:w="5112"/>
          </w:tcPr>
          <w:p>
            <w:r>
              <w:t>Help coordinate a practical family-related task in Nigeria.</w:t>
            </w:r>
          </w:p>
        </w:tc>
      </w:tr>
      <w:tr>
        <w:tc>
          <w:tcPr>
            <w:tcW w:type="dxa" w:w="5112"/>
          </w:tcPr>
          <w:p>
            <w:r>
              <w:t>Representation</w:t>
            </w:r>
          </w:p>
        </w:tc>
        <w:tc>
          <w:tcPr>
            <w:tcW w:type="dxa" w:w="5112"/>
          </w:tcPr>
          <w:p>
            <w:r>
              <w:t>Act as the customer's accountable local point for an agreed matter.</w:t>
            </w:r>
          </w:p>
        </w:tc>
      </w:tr>
      <w:tr>
        <w:tc>
          <w:tcPr>
            <w:tcW w:type="dxa" w:w="5112"/>
          </w:tcPr>
          <w:p>
            <w:r>
              <w:t>Urgent/non-routine request</w:t>
            </w:r>
          </w:p>
        </w:tc>
        <w:tc>
          <w:tcPr>
            <w:tcW w:type="dxa" w:w="5112"/>
          </w:tcPr>
          <w:p>
            <w:r>
              <w:t>Use the Concierge to clarify what is needed and determine whether ASOJU can safely support it.</w:t>
            </w:r>
          </w:p>
        </w:tc>
      </w:tr>
    </w:tbl>
    <w:p>
      <w:r>
        <w:t>Do not imply emergency medical response, clinical care, law enforcement, legal representation, financial advice or other regulated services unless separately configured and supported.</w:t>
      </w:r>
    </w:p>
    <w:p>
      <w:pPr>
        <w:pStyle w:val="Heading1"/>
      </w:pPr>
      <w:r>
        <w:t>10. Privacy and dignity</w:t>
      </w:r>
    </w:p>
    <w:p>
      <w:r>
        <w:t>Family-related requests can be sensitive. The frontend should be deliberately restrained.</w:t>
      </w:r>
    </w:p>
    <w:p>
      <w:pPr>
        <w:pStyle w:val="ListBullet"/>
      </w:pPr>
      <w:r>
        <w:t>Ask only for information necessary to understand and scope the request.</w:t>
      </w:r>
    </w:p>
    <w:p>
      <w:pPr>
        <w:pStyle w:val="ListBullet"/>
      </w:pPr>
      <w:r>
        <w:t>Do not display sensitive family information in public pages, analytics payloads or notification previews unless explicitly permitted.</w:t>
      </w:r>
    </w:p>
    <w:p>
      <w:pPr>
        <w:pStyle w:val="ListBullet"/>
      </w:pPr>
      <w:r>
        <w:t>Use role/case-scoped access for customer, beneficiary and staff views.</w:t>
      </w:r>
    </w:p>
    <w:p>
      <w:pPr>
        <w:pStyle w:val="ListBullet"/>
      </w:pPr>
      <w:r>
        <w:t>Beneficiary access remains limited to the backend-defined allowlist.</w:t>
      </w:r>
    </w:p>
    <w:p>
      <w:pPr>
        <w:pStyle w:val="ListBullet"/>
      </w:pPr>
      <w:r>
        <w:t>Do not expose internal risk flags, incidents or staff-only notes to the customer or beneficiary.</w:t>
      </w:r>
    </w:p>
    <w:p>
      <w:pPr>
        <w:pStyle w:val="Heading1"/>
      </w:pPr>
      <w:r>
        <w:t>11. How ASOJU Care works</w:t>
      </w:r>
    </w:p>
    <w:tbl>
      <w:tblPr>
        <w:tblStyle w:val="TableGrid"/>
        <w:tblW w:type="auto" w:w="0"/>
        <w:tblLook w:firstColumn="1" w:firstRow="1" w:lastColumn="0" w:lastRow="0" w:noHBand="0" w:noVBand="1" w:val="04A0"/>
      </w:tblPr>
      <w:tblGrid>
        <w:gridCol w:w="5112"/>
        <w:gridCol w:w="5112"/>
      </w:tblGrid>
      <w:tr>
        <w:tc>
          <w:tcPr>
            <w:tcW w:type="dxa" w:w="5112"/>
          </w:tcPr>
          <w:p>
            <w:r>
              <w:t>Step</w:t>
            </w:r>
          </w:p>
        </w:tc>
        <w:tc>
          <w:tcPr>
            <w:tcW w:type="dxa" w:w="5112"/>
          </w:tcPr>
          <w:p>
            <w:r>
              <w:t>Customer-facing explanation</w:t>
            </w:r>
          </w:p>
        </w:tc>
      </w:tr>
      <w:tr>
        <w:tc>
          <w:tcPr>
            <w:tcW w:type="dxa" w:w="5112"/>
          </w:tcPr>
          <w:p>
            <w:r>
              <w:t>1 — Tell us</w:t>
            </w:r>
          </w:p>
        </w:tc>
        <w:tc>
          <w:tcPr>
            <w:tcW w:type="dxa" w:w="5112"/>
          </w:tcPr>
          <w:p>
            <w:r>
              <w:t>Describe what your family needs and where support is required.</w:t>
            </w:r>
          </w:p>
        </w:tc>
      </w:tr>
      <w:tr>
        <w:tc>
          <w:tcPr>
            <w:tcW w:type="dxa" w:w="5112"/>
          </w:tcPr>
          <w:p>
            <w:r>
              <w:t>2 — Define it</w:t>
            </w:r>
          </w:p>
        </w:tc>
        <w:tc>
          <w:tcPr>
            <w:tcW w:type="dxa" w:w="5112"/>
          </w:tcPr>
          <w:p>
            <w:r>
              <w:t>ASOJU clarifies the request, scope and expected outcome.</w:t>
            </w:r>
          </w:p>
        </w:tc>
      </w:tr>
      <w:tr>
        <w:tc>
          <w:tcPr>
            <w:tcW w:type="dxa" w:w="5112"/>
          </w:tcPr>
          <w:p>
            <w:r>
              <w:t>3 — We handle it</w:t>
            </w:r>
          </w:p>
        </w:tc>
        <w:tc>
          <w:tcPr>
            <w:tcW w:type="dxa" w:w="5112"/>
          </w:tcPr>
          <w:p>
            <w:r>
              <w:t>The appropriate ASOJU workflow and assigned people execute the agreed task.</w:t>
            </w:r>
          </w:p>
        </w:tc>
      </w:tr>
      <w:tr>
        <w:tc>
          <w:tcPr>
            <w:tcW w:type="dxa" w:w="5112"/>
          </w:tcPr>
          <w:p>
            <w:r>
              <w:t>4 — You stay informed</w:t>
            </w:r>
          </w:p>
        </w:tc>
        <w:tc>
          <w:tcPr>
            <w:tcW w:type="dxa" w:w="5112"/>
          </w:tcPr>
          <w:p>
            <w:r>
              <w:t>Receive relevant updates, evidence and completion information according to the case scope.</w:t>
            </w:r>
          </w:p>
        </w:tc>
      </w:tr>
    </w:tbl>
    <w:p>
      <w:pPr>
        <w:pStyle w:val="Heading1"/>
      </w:pPr>
      <w:r>
        <w:t>12. Why ASOJU Care</w:t>
      </w:r>
    </w:p>
    <w:tbl>
      <w:tblPr>
        <w:tblStyle w:val="TableGrid"/>
        <w:tblW w:type="auto" w:w="0"/>
        <w:tblLook w:firstColumn="1" w:firstRow="1" w:lastColumn="0" w:lastRow="0" w:noHBand="0" w:noVBand="1" w:val="04A0"/>
      </w:tblPr>
      <w:tblGrid>
        <w:gridCol w:w="5112"/>
        <w:gridCol w:w="5112"/>
      </w:tblGrid>
      <w:tr>
        <w:tc>
          <w:tcPr>
            <w:tcW w:type="dxa" w:w="5112"/>
          </w:tcPr>
          <w:p>
            <w:r>
              <w:t>Pillar</w:t>
            </w:r>
          </w:p>
        </w:tc>
        <w:tc>
          <w:tcPr>
            <w:tcW w:type="dxa" w:w="5112"/>
          </w:tcPr>
          <w:p>
            <w:r>
              <w:t>Message</w:t>
            </w:r>
          </w:p>
        </w:tc>
      </w:tr>
      <w:tr>
        <w:tc>
          <w:tcPr>
            <w:tcW w:type="dxa" w:w="5112"/>
          </w:tcPr>
          <w:p>
            <w:r>
              <w:t>Representation</w:t>
            </w:r>
          </w:p>
        </w:tc>
        <w:tc>
          <w:tcPr>
            <w:tcW w:type="dxa" w:w="5112"/>
          </w:tcPr>
          <w:p>
            <w:r>
              <w:t>Someone accountable can handle an agreed matter on the ground.</w:t>
            </w:r>
          </w:p>
        </w:tc>
      </w:tr>
      <w:tr>
        <w:tc>
          <w:tcPr>
            <w:tcW w:type="dxa" w:w="5112"/>
          </w:tcPr>
          <w:p>
            <w:r>
              <w:t>Visibility</w:t>
            </w:r>
          </w:p>
        </w:tc>
        <w:tc>
          <w:tcPr>
            <w:tcW w:type="dxa" w:w="5112"/>
          </w:tcPr>
          <w:p>
            <w:r>
              <w:t>You can stay informed without being physically present.</w:t>
            </w:r>
          </w:p>
        </w:tc>
      </w:tr>
      <w:tr>
        <w:tc>
          <w:tcPr>
            <w:tcW w:type="dxa" w:w="5112"/>
          </w:tcPr>
          <w:p>
            <w:r>
              <w:t>Clear scope</w:t>
            </w:r>
          </w:p>
        </w:tc>
        <w:tc>
          <w:tcPr>
            <w:tcW w:type="dxa" w:w="5112"/>
          </w:tcPr>
          <w:p>
            <w:r>
              <w:t>The agreed task and responsibility are defined before execution.</w:t>
            </w:r>
          </w:p>
        </w:tc>
      </w:tr>
      <w:tr>
        <w:tc>
          <w:tcPr>
            <w:tcW w:type="dxa" w:w="5112"/>
          </w:tcPr>
          <w:p>
            <w:r>
              <w:t>Privacy</w:t>
            </w:r>
          </w:p>
        </w:tc>
        <w:tc>
          <w:tcPr>
            <w:tcW w:type="dxa" w:w="5112"/>
          </w:tcPr>
          <w:p>
            <w:r>
              <w:t>Family-related information is handled within role and case permissions.</w:t>
            </w:r>
          </w:p>
        </w:tc>
      </w:tr>
      <w:tr>
        <w:tc>
          <w:tcPr>
            <w:tcW w:type="dxa" w:w="5112"/>
          </w:tcPr>
          <w:p>
            <w:r>
              <w:t>Accountability</w:t>
            </w:r>
          </w:p>
        </w:tc>
        <w:tc>
          <w:tcPr>
            <w:tcW w:type="dxa" w:w="5112"/>
          </w:tcPr>
          <w:p>
            <w:r>
              <w:t>The request moves through a controlled case workflow.</w:t>
            </w:r>
          </w:p>
        </w:tc>
      </w:tr>
    </w:tbl>
    <w:p>
      <w:pPr>
        <w:pStyle w:val="Heading1"/>
      </w:pPr>
      <w:r>
        <w:t>13. What the customer receives</w:t>
      </w:r>
    </w:p>
    <w:p>
      <w:pPr>
        <w:pStyle w:val="ListBullet"/>
      </w:pPr>
      <w:r>
        <w:t>Clear request/scope summary once defined.</w:t>
      </w:r>
    </w:p>
    <w:p>
      <w:pPr>
        <w:pStyle w:val="ListBullet"/>
      </w:pPr>
      <w:r>
        <w:t>Case status and relevant updates.</w:t>
      </w:r>
    </w:p>
    <w:p>
      <w:pPr>
        <w:pStyle w:val="ListBullet"/>
      </w:pPr>
      <w:r>
        <w:t>Evidence or documentation where the agreed service requires it.</w:t>
      </w:r>
    </w:p>
    <w:p>
      <w:pPr>
        <w:pStyle w:val="ListBullet"/>
      </w:pPr>
      <w:r>
        <w:t>Completion information or report where applicable.</w:t>
      </w:r>
    </w:p>
    <w:p>
      <w:pPr>
        <w:pStyle w:val="ListBullet"/>
      </w:pPr>
      <w:r>
        <w:t>Access to the authenticated case record within the customer's permissions.</w:t>
      </w:r>
    </w:p>
    <w:p>
      <w:r>
        <w:t>Do not promise a fixed response time, outcome, visit frequency or professional service unless it is explicitly part of the configured case scope.</w:t>
      </w:r>
    </w:p>
    <w:p>
      <w:pPr>
        <w:pStyle w:val="Heading1"/>
      </w:pPr>
      <w:r>
        <w:t>14. Quote and payment behavior</w:t>
      </w:r>
    </w:p>
    <w:p>
      <w:pPr>
        <w:pStyle w:val="ListBullet"/>
      </w:pPr>
      <w:r>
        <w:t>Do not publish invented Care package prices.</w:t>
      </w:r>
    </w:p>
    <w:p>
      <w:pPr>
        <w:pStyle w:val="ListBullet"/>
      </w:pPr>
      <w:r>
        <w:t>Use the existing ASOJU quote workflow after the request is scoped.</w:t>
      </w:r>
    </w:p>
    <w:p>
      <w:pPr>
        <w:pStyle w:val="ListBullet"/>
      </w:pPr>
      <w:r>
        <w:t>Separate ASOJU service fees from external/provider/professional costs and applicable tax lines where configured.</w:t>
      </w:r>
    </w:p>
    <w:p>
      <w:pPr>
        <w:pStyle w:val="ListBullet"/>
      </w:pPr>
      <w:r>
        <w:t>Authentication is required before formal case creation, quote acceptance and payment.</w:t>
      </w:r>
    </w:p>
    <w:p>
      <w:pPr>
        <w:pStyle w:val="ListBullet"/>
      </w:pPr>
      <w:r>
        <w:t>Never imply that a payment succeeded until backend confirmation.</w:t>
      </w:r>
    </w:p>
    <w:p>
      <w:pPr>
        <w:pStyle w:val="Heading1"/>
      </w:pPr>
      <w:r>
        <w:t>15. FAQ framework</w:t>
      </w:r>
    </w:p>
    <w:p>
      <w:pPr>
        <w:pStyle w:val="ListBullet"/>
      </w:pPr>
      <w:r>
        <w:t>Can ASOJU help my family while I am abroad?</w:t>
      </w:r>
    </w:p>
    <w:p>
      <w:pPr>
        <w:pStyle w:val="ListBullet"/>
      </w:pPr>
      <w:r>
        <w:t>Can I tell the Concierge what is happening before I create an account?</w:t>
      </w:r>
    </w:p>
    <w:p>
      <w:pPr>
        <w:pStyle w:val="ListBullet"/>
      </w:pPr>
      <w:r>
        <w:t>Can ASOJU handle a one-off family matter?</w:t>
      </w:r>
    </w:p>
    <w:p>
      <w:pPr>
        <w:pStyle w:val="ListBullet"/>
      </w:pPr>
      <w:r>
        <w:t>Can someone in Nigeria coordinate with ASOJU on my behalf?</w:t>
      </w:r>
    </w:p>
    <w:p>
      <w:pPr>
        <w:pStyle w:val="ListBullet"/>
      </w:pPr>
      <w:r>
        <w:t>How will I know what ASOJU is doing?</w:t>
      </w:r>
    </w:p>
    <w:p>
      <w:pPr>
        <w:pStyle w:val="ListBullet"/>
      </w:pPr>
      <w:r>
        <w:t>Can my family member access the case?</w:t>
      </w:r>
    </w:p>
    <w:p>
      <w:pPr>
        <w:pStyle w:val="ListBullet"/>
      </w:pPr>
      <w:r>
        <w:t>What information will my family member be able to see?</w:t>
      </w:r>
    </w:p>
    <w:p>
      <w:pPr>
        <w:pStyle w:val="ListBullet"/>
      </w:pPr>
      <w:r>
        <w:t>What happens if ASOJU cannot safely or appropriately handle the request?</w:t>
      </w:r>
    </w:p>
    <w:p>
      <w:r>
        <w:t>Answers must follow actual ASOJU policies and backend permissions. Avoid promises that turn a general family-support platform into an unconfigured professional or emergency service.</w:t>
      </w:r>
    </w:p>
    <w:p>
      <w:pPr>
        <w:pStyle w:val="Heading1"/>
      </w:pPr>
      <w:r>
        <w:t>16. Customer / beneficiary experience boundary</w:t>
      </w:r>
    </w:p>
    <w:tbl>
      <w:tblPr>
        <w:tblStyle w:val="TableGrid"/>
        <w:tblW w:type="auto" w:w="0"/>
        <w:tblLook w:firstColumn="1" w:firstRow="1" w:lastColumn="0" w:lastRow="0" w:noHBand="0" w:noVBand="1" w:val="04A0"/>
      </w:tblPr>
      <w:tblGrid>
        <w:gridCol w:w="5112"/>
        <w:gridCol w:w="5112"/>
      </w:tblGrid>
      <w:tr>
        <w:tc>
          <w:tcPr>
            <w:tcW w:type="dxa" w:w="5112"/>
          </w:tcPr>
          <w:p>
            <w:r>
              <w:t>Customer</w:t>
            </w:r>
          </w:p>
        </w:tc>
        <w:tc>
          <w:tcPr>
            <w:tcW w:type="dxa" w:w="5112"/>
          </w:tcPr>
          <w:p>
            <w:r>
              <w:t>Beneficiary</w:t>
            </w:r>
          </w:p>
        </w:tc>
      </w:tr>
      <w:tr>
        <w:tc>
          <w:tcPr>
            <w:tcW w:type="dxa" w:w="5112"/>
          </w:tcPr>
          <w:p>
            <w:r>
              <w:t>Creates/owns the formal case.</w:t>
            </w:r>
          </w:p>
        </w:tc>
        <w:tc>
          <w:tcPr>
            <w:tcW w:type="dxa" w:w="5112"/>
          </w:tcPr>
          <w:p>
            <w:r>
              <w:t>May receive a limited read-only invitation where configured.</w:t>
            </w:r>
          </w:p>
        </w:tc>
      </w:tr>
      <w:tr>
        <w:tc>
          <w:tcPr>
            <w:tcW w:type="dxa" w:w="5112"/>
          </w:tcPr>
          <w:p>
            <w:r>
              <w:t>Can see their own case, quote/payment and permitted history.</w:t>
            </w:r>
          </w:p>
        </w:tc>
        <w:tc>
          <w:tcPr>
            <w:tcW w:type="dxa" w:w="5112"/>
          </w:tcPr>
          <w:p>
            <w:r>
              <w:t>Can see only the backend-defined allowlist, such as status, schedule, evidence and reports.</w:t>
            </w:r>
          </w:p>
        </w:tc>
      </w:tr>
      <w:tr>
        <w:tc>
          <w:tcPr>
            <w:tcW w:type="dxa" w:w="5112"/>
          </w:tcPr>
          <w:p>
            <w:r>
              <w:t>Controls approved customer actions.</w:t>
            </w:r>
          </w:p>
        </w:tc>
        <w:tc>
          <w:tcPr>
            <w:tcW w:type="dxa" w:w="5112"/>
          </w:tcPr>
          <w:p>
            <w:r>
              <w:t>Does not receive customer financial data, collaborators or internal risk information.</w:t>
            </w:r>
          </w:p>
        </w:tc>
      </w:tr>
    </w:tbl>
    <w:p>
      <w:pPr>
        <w:pStyle w:val="Heading1"/>
      </w:pPr>
      <w:r>
        <w:t>17. Front-end components</w:t>
      </w:r>
    </w:p>
    <w:p>
      <w:pPr>
        <w:pStyle w:val="ListBullet"/>
      </w:pPr>
      <w:r>
        <w:t>ServiceHero</w:t>
      </w:r>
    </w:p>
    <w:p>
      <w:pPr>
        <w:pStyle w:val="ListBullet"/>
      </w:pPr>
      <w:r>
        <w:t>CareConciergePanel</w:t>
      </w:r>
    </w:p>
    <w:p>
      <w:pPr>
        <w:pStyle w:val="ListBullet"/>
      </w:pPr>
      <w:r>
        <w:t>ExamplePromptList</w:t>
      </w:r>
    </w:p>
    <w:p>
      <w:pPr>
        <w:pStyle w:val="ListBullet"/>
      </w:pPr>
      <w:r>
        <w:t>CareSituationCards</w:t>
      </w:r>
    </w:p>
    <w:p>
      <w:pPr>
        <w:pStyle w:val="ListBullet"/>
      </w:pPr>
      <w:r>
        <w:t>RepresentationSection</w:t>
      </w:r>
    </w:p>
    <w:p>
      <w:pPr>
        <w:pStyle w:val="ListBullet"/>
      </w:pPr>
      <w:r>
        <w:t>PrivacyAndTrustSection</w:t>
      </w:r>
    </w:p>
    <w:p>
      <w:pPr>
        <w:pStyle w:val="ListBullet"/>
      </w:pPr>
      <w:r>
        <w:t>HowItWorks</w:t>
      </w:r>
    </w:p>
    <w:p>
      <w:pPr>
        <w:pStyle w:val="ListBullet"/>
      </w:pPr>
      <w:r>
        <w:t>CustomerOutcomeSection</w:t>
      </w:r>
    </w:p>
    <w:p>
      <w:pPr>
        <w:pStyle w:val="ListBullet"/>
      </w:pPr>
      <w:r>
        <w:t>FAQAccordion</w:t>
      </w:r>
    </w:p>
    <w:p>
      <w:pPr>
        <w:pStyle w:val="ListBullet"/>
      </w:pPr>
      <w:r>
        <w:t>ServiceCTA</w:t>
      </w:r>
    </w:p>
    <w:p>
      <w:pPr>
        <w:pStyle w:val="ListBullet"/>
      </w:pPr>
      <w:r>
        <w:t>GlobalHeader</w:t>
      </w:r>
    </w:p>
    <w:p>
      <w:pPr>
        <w:pStyle w:val="ListBullet"/>
      </w:pPr>
      <w:r>
        <w:t>GlobalFooter</w:t>
      </w:r>
    </w:p>
    <w:p>
      <w:pPr>
        <w:pStyle w:val="Heading1"/>
      </w:pPr>
      <w:r>
        <w:t>18. Responsive behavior</w:t>
      </w:r>
    </w:p>
    <w:tbl>
      <w:tblPr>
        <w:tblStyle w:val="TableGrid"/>
        <w:tblW w:type="auto" w:w="0"/>
        <w:tblLook w:firstColumn="1" w:firstRow="1" w:lastColumn="0" w:lastRow="0" w:noHBand="0" w:noVBand="1" w:val="04A0"/>
      </w:tblPr>
      <w:tblGrid>
        <w:gridCol w:w="5112"/>
        <w:gridCol w:w="5112"/>
      </w:tblGrid>
      <w:tr>
        <w:tc>
          <w:tcPr>
            <w:tcW w:type="dxa" w:w="5112"/>
          </w:tcPr>
          <w:p>
            <w:r>
              <w:t>Viewport</w:t>
            </w:r>
          </w:p>
        </w:tc>
        <w:tc>
          <w:tcPr>
            <w:tcW w:type="dxa" w:w="5112"/>
          </w:tcPr>
          <w:p>
            <w:r>
              <w:t>Requirement</w:t>
            </w:r>
          </w:p>
        </w:tc>
      </w:tr>
      <w:tr>
        <w:tc>
          <w:tcPr>
            <w:tcW w:type="dxa" w:w="5112"/>
          </w:tcPr>
          <w:p>
            <w:r>
              <w:t>Desktop</w:t>
            </w:r>
          </w:p>
        </w:tc>
        <w:tc>
          <w:tcPr>
            <w:tcW w:type="dxa" w:w="5112"/>
          </w:tcPr>
          <w:p>
            <w:r>
              <w:t>Warm but professional presentation; Concierge remains the dominant interaction.</w:t>
            </w:r>
          </w:p>
        </w:tc>
      </w:tr>
      <w:tr>
        <w:tc>
          <w:tcPr>
            <w:tcW w:type="dxa" w:w="5112"/>
          </w:tcPr>
          <w:p>
            <w:r>
              <w:t>Tablet</w:t>
            </w:r>
          </w:p>
        </w:tc>
        <w:tc>
          <w:tcPr>
            <w:tcW w:type="dxa" w:w="5112"/>
          </w:tcPr>
          <w:p>
            <w:r>
              <w:t>Two-column situation cards; preserve clear hierarchy.</w:t>
            </w:r>
          </w:p>
        </w:tc>
      </w:tr>
      <w:tr>
        <w:tc>
          <w:tcPr>
            <w:tcW w:type="dxa" w:w="5112"/>
          </w:tcPr>
          <w:p>
            <w:r>
              <w:t>Mobile</w:t>
            </w:r>
          </w:p>
        </w:tc>
        <w:tc>
          <w:tcPr>
            <w:tcW w:type="dxa" w:w="5112"/>
          </w:tcPr>
          <w:p>
            <w:r>
              <w:t>Concierge first; situation cards stack; privacy/trust content remains readable; CTA remains prominent.</w:t>
            </w:r>
          </w:p>
        </w:tc>
      </w:tr>
    </w:tbl>
    <w:p>
      <w:pPr>
        <w:pStyle w:val="Heading1"/>
      </w:pPr>
      <w:r>
        <w:t>19. Accessibility</w:t>
      </w:r>
    </w:p>
    <w:p>
      <w:pPr>
        <w:pStyle w:val="ListBullet"/>
      </w:pPr>
      <w:r>
        <w:t>Concierge input has a visible/programmatic label.</w:t>
      </w:r>
    </w:p>
    <w:p>
      <w:pPr>
        <w:pStyle w:val="ListBullet"/>
      </w:pPr>
      <w:r>
        <w:t>Example prompts are keyboard accessible.</w:t>
      </w:r>
    </w:p>
    <w:p>
      <w:pPr>
        <w:pStyle w:val="ListBullet"/>
      </w:pPr>
      <w:r>
        <w:t>Conversation updates are announced appropriately.</w:t>
      </w:r>
    </w:p>
    <w:p>
      <w:pPr>
        <w:pStyle w:val="ListBullet"/>
      </w:pPr>
      <w:r>
        <w:t>FAQ accordion supports keyboard and screen-reader state.</w:t>
      </w:r>
    </w:p>
    <w:p>
      <w:pPr>
        <w:pStyle w:val="ListBullet"/>
      </w:pPr>
      <w:r>
        <w:t>Privacy/status messaging is available in text, not color alone.</w:t>
      </w:r>
    </w:p>
    <w:p>
      <w:pPr>
        <w:pStyle w:val="ListBullet"/>
      </w:pPr>
      <w:r>
        <w:t>All touch targets remain practical on mobile.</w:t>
      </w:r>
    </w:p>
    <w:p>
      <w:pPr>
        <w:pStyle w:val="Heading1"/>
      </w:pPr>
      <w:r>
        <w:t>20. Analytics</w:t>
      </w:r>
    </w:p>
    <w:p>
      <w:pPr>
        <w:pStyle w:val="ListBullet"/>
      </w:pPr>
      <w:r>
        <w:t>care_page_view</w:t>
      </w:r>
    </w:p>
    <w:p>
      <w:pPr>
        <w:pStyle w:val="ListBullet"/>
      </w:pPr>
      <w:r>
        <w:t>care_concierge_open</w:t>
      </w:r>
    </w:p>
    <w:p>
      <w:pPr>
        <w:pStyle w:val="ListBullet"/>
      </w:pPr>
      <w:r>
        <w:t>care_prompt_click</w:t>
      </w:r>
    </w:p>
    <w:p>
      <w:pPr>
        <w:pStyle w:val="ListBullet"/>
      </w:pPr>
      <w:r>
        <w:t>care_conversation_started</w:t>
      </w:r>
    </w:p>
    <w:p>
      <w:pPr>
        <w:pStyle w:val="ListBullet"/>
      </w:pPr>
      <w:r>
        <w:t>care_structured_request</w:t>
      </w:r>
    </w:p>
    <w:p>
      <w:pPr>
        <w:pStyle w:val="ListBullet"/>
      </w:pPr>
      <w:r>
        <w:t>care_auth_gate</w:t>
      </w:r>
    </w:p>
    <w:p>
      <w:pPr>
        <w:pStyle w:val="ListBullet"/>
      </w:pPr>
      <w:r>
        <w:t>care_case_created</w:t>
      </w:r>
    </w:p>
    <w:p>
      <w:pPr>
        <w:pStyle w:val="ListBullet"/>
      </w:pPr>
      <w:r>
        <w:t>care_cta_click</w:t>
      </w:r>
    </w:p>
    <w:p>
      <w:r>
        <w:t>Do not send family member names, sensitive request content or other unnecessary personal information to analytics.</w:t>
      </w:r>
    </w:p>
    <w:p>
      <w:pPr>
        <w:pStyle w:val="Heading1"/>
      </w:pPr>
      <w:r>
        <w:t>21. Engineering rules</w:t>
      </w:r>
    </w:p>
    <w:p>
      <w:pPr>
        <w:pStyle w:val="ListBullet"/>
      </w:pPr>
      <w:r>
        <w:t>Map ASOJU Care to the existing Family Support service configuration and case engine.</w:t>
      </w:r>
    </w:p>
    <w:p>
      <w:pPr>
        <w:pStyle w:val="ListBullet"/>
      </w:pPr>
      <w:r>
        <w:t>Do not create a large hard-coded family-support taxonomy if the backend does not support it.</w:t>
      </w:r>
    </w:p>
    <w:p>
      <w:pPr>
        <w:pStyle w:val="ListBullet"/>
      </w:pPr>
      <w:r>
        <w:t>Use the AI Concierge to clarify flexible family-support requests.</w:t>
      </w:r>
    </w:p>
    <w:p>
      <w:pPr>
        <w:pStyle w:val="ListBullet"/>
      </w:pPr>
      <w:r>
        <w:t>Use server-authoritative permissions for customer/beneficiary/staff views.</w:t>
      </w:r>
    </w:p>
    <w:p>
      <w:pPr>
        <w:pStyle w:val="ListBullet"/>
      </w:pPr>
      <w:r>
        <w:t>Protect sensitive data in browser storage and notification previews.</w:t>
      </w:r>
    </w:p>
    <w:p>
      <w:pPr>
        <w:pStyle w:val="ListBullet"/>
      </w:pPr>
      <w:r>
        <w:t>Authentication is required for formal case creation, not initial Concierge exploration.</w:t>
      </w:r>
    </w:p>
    <w:p>
      <w:pPr>
        <w:pStyle w:val="ListBullet"/>
      </w:pPr>
      <w:r>
        <w:t>Use duplicate-safe case creation and explicit failure/retry states.</w:t>
      </w:r>
    </w:p>
    <w:p>
      <w:pPr>
        <w:pStyle w:val="ListBullet"/>
      </w:pPr>
      <w:r>
        <w:t>Do not expose staff-only notes, risk flags or incident details in customer-facing UI.</w:t>
      </w:r>
    </w:p>
    <w:p>
      <w:pPr>
        <w:pStyle w:val="ListBullet"/>
      </w:pPr>
      <w:r>
        <w:t>Do not make emergency or regulated-service promises.</w:t>
      </w:r>
    </w:p>
    <w:p>
      <w:pPr>
        <w:pStyle w:val="Heading1"/>
      </w:pPr>
      <w:r>
        <w:t>22. Acceptance criteria</w:t>
      </w:r>
    </w:p>
    <w:p>
      <w:pPr>
        <w:pStyle w:val="ListBullet"/>
      </w:pPr>
      <w:r>
        <w:t>Visitor understands ASOJU Care immediately.</w:t>
      </w:r>
    </w:p>
    <w:p>
      <w:pPr>
        <w:pStyle w:val="ListBullet"/>
      </w:pPr>
      <w:r>
        <w:t>Exact locked service name and promise are used.</w:t>
      </w:r>
    </w:p>
    <w:p>
      <w:pPr>
        <w:pStyle w:val="ListBullet"/>
      </w:pPr>
      <w:r>
        <w:t>Visitor can start the Concierge without signing in.</w:t>
      </w:r>
    </w:p>
    <w:p>
      <w:pPr>
        <w:pStyle w:val="ListBullet"/>
      </w:pPr>
      <w:r>
        <w:t>Concierge can clarify a flexible family-support request without collecting unnecessary sensitive data.</w:t>
      </w:r>
    </w:p>
    <w:p>
      <w:pPr>
        <w:pStyle w:val="ListBullet"/>
      </w:pPr>
      <w:r>
        <w:t>Formal case creation requires authentication.</w:t>
      </w:r>
    </w:p>
    <w:p>
      <w:pPr>
        <w:pStyle w:val="ListBullet"/>
      </w:pPr>
      <w:r>
        <w:t>Customer/beneficiary access boundaries are respected.</w:t>
      </w:r>
    </w:p>
    <w:p>
      <w:pPr>
        <w:pStyle w:val="ListBullet"/>
      </w:pPr>
      <w:r>
        <w:t>Scope, quote and case status are backend-authoritative.</w:t>
      </w:r>
    </w:p>
    <w:p>
      <w:pPr>
        <w:pStyle w:val="ListBullet"/>
      </w:pPr>
      <w:r>
        <w:t>Unsupported emergency/professional claims are absent.</w:t>
      </w:r>
    </w:p>
    <w:p>
      <w:pPr>
        <w:pStyle w:val="ListBullet"/>
      </w:pPr>
      <w:r>
        <w:t>Responsive, accessibility, privacy and E2E QA pass.</w:t>
      </w:r>
    </w:p>
    <w:p>
      <w:pPr>
        <w:pStyle w:val="Heading1"/>
      </w:pPr>
      <w:r>
        <w:t>23. Developer build sequence</w:t>
      </w:r>
    </w:p>
    <w:p>
      <w:r>
        <w:t>1. Audit current Family Support configuration and permissions.</w:t>
      </w:r>
    </w:p>
    <w:p>
      <w:r>
        <w:t>2. Map supported capabilities to the ASOJU Care customer-facing family.</w:t>
      </w:r>
    </w:p>
    <w:p>
      <w:r>
        <w:t>3. Build the service page using the shared service-page system.</w:t>
      </w:r>
    </w:p>
    <w:p>
      <w:r>
        <w:t>4. Connect Care Concierge prompts to the existing AI Concierge.</w:t>
      </w:r>
    </w:p>
    <w:p>
      <w:r>
        <w:t>5. Implement anonymous → authentication → formal case creation.</w:t>
      </w:r>
    </w:p>
    <w:p>
      <w:r>
        <w:t>6. Connect to scope, quote, assignment, evidence and completion states.</w:t>
      </w:r>
    </w:p>
    <w:p>
      <w:r>
        <w:t>7. Implement customer/beneficiary visibility boundaries.</w:t>
      </w:r>
    </w:p>
    <w:p>
      <w:r>
        <w:t>8. Add responsive, accessibility, privacy and failure-state QA.</w:t>
      </w:r>
    </w:p>
    <w:p>
      <w:r>
        <w:t>9. Review public copy against actual configured Care capabilities before production.</w:t>
      </w:r>
    </w:p>
    <w:p>
      <w:pPr>
        <w:pStyle w:val="Heading1"/>
      </w:pPr>
      <w:r>
        <w:t>24. Product boundary</w:t>
      </w:r>
    </w:p>
    <w:p>
      <w:r>
        <w:t>ASOJU Care is the customer-facing family for supported family-related and important personal matters that can be safely and appropriately handled through ASOJU. The current source confirms Family Support as a service but does not define a complete granular catalogue; therefore the Concierge and backend configuration remain authoritative.</w:t>
      </w:r>
    </w:p>
    <w:p>
      <w:r>
        <w:t>This blueprint intentionally avoids inventing medical, emergency, legal, financial or other regulated-care capabilities.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