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ASOJU BOARD GOVERNANCE</w:t>
        <w:br/>
        <w:t>&amp; MANAGEMENT REPORTING PLAYBOOK</w:t>
      </w:r>
    </w:p>
    <w:p>
      <w:pPr>
        <w:jc w:val="center"/>
      </w:pPr>
      <w:r>
        <w:rPr>
          <w:b/>
        </w:rPr>
        <w:t>Version 1.0 | Governance, KPI Reporting, Decisions &amp; Accountability</w:t>
      </w:r>
    </w:p>
    <w:p>
      <w:r>
        <w:rPr>
          <w:b w:val="0"/>
        </w:rPr>
        <w:t>Brand: ASOJU</w:t>
      </w:r>
    </w:p>
    <w:p>
      <w:r>
        <w:rPr>
          <w:b w:val="0"/>
        </w:rPr>
        <w:t>Primary tagline: Your Trusted Rep Back Home.</w:t>
      </w:r>
    </w:p>
    <w:p>
      <w:r>
        <w:rPr>
          <w:b w:val="0"/>
        </w:rPr>
        <w:t>Purpose: establish a practical governance and management system that keeps strategy, customer experience, operations, finance, risk and capital allocation aligned.</w:t>
      </w:r>
    </w:p>
    <w:p>
      <w:pPr>
        <w:pStyle w:val="Heading1"/>
      </w:pPr>
      <w:r>
        <w:t>1. Governance Principle</w:t>
      </w:r>
    </w:p>
    <w:p>
      <w:r>
        <w:rPr>
          <w:b/>
        </w:rPr>
        <w:t>Governance should make ASOJU easier to control, not slower to operate. The system should create clear decision rights, reliable information, documented decisions, disciplined risk escalation and accountability for execution.</w:t>
      </w:r>
    </w:p>
    <w:p>
      <w:pPr>
        <w:pStyle w:val="Heading1"/>
      </w:pPr>
      <w:r>
        <w:t>2. Governance Operating System</w:t>
      </w:r>
    </w:p>
    <w:p>
      <w:r>
        <w:rPr>
          <w:b/>
        </w:rPr>
        <w:t>MEASURE → REVIEW → DIAGNOSE → DECIDE → ASSIGN → EXECUTE → VERIFY → REPORT</w:t>
      </w:r>
    </w:p>
    <w:p>
      <w:pPr>
        <w:pStyle w:val="Heading1"/>
      </w:pPr>
      <w:r>
        <w:t>3. Governance Layers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4E78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2556"/>
            <w:shd w:fill="1F4E78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2556"/>
            <w:shd w:fill="1F4E78"/>
          </w:tcPr>
          <w:p>
            <w:r>
              <w:rPr>
                <w:b/>
                <w:color w:val="FFFFFF"/>
              </w:rPr>
              <w:t>Cadence</w:t>
            </w:r>
          </w:p>
        </w:tc>
        <w:tc>
          <w:tcPr>
            <w:tcW w:type="dxa" w:w="2556"/>
            <w:shd w:fill="1F4E78"/>
          </w:tcPr>
          <w:p>
            <w:r>
              <w:rPr>
                <w:b/>
                <w:color w:val="FFFFFF"/>
              </w:rPr>
              <w:t>Primary Participants</w:t>
            </w:r>
          </w:p>
        </w:tc>
      </w:tr>
      <w:tr>
        <w:tc>
          <w:tcPr>
            <w:tcW w:type="dxa" w:w="2556"/>
          </w:tcPr>
          <w:p>
            <w:r>
              <w:t>Board / Owners</w:t>
            </w:r>
          </w:p>
        </w:tc>
        <w:tc>
          <w:tcPr>
            <w:tcW w:type="dxa" w:w="2556"/>
          </w:tcPr>
          <w:p>
            <w:r>
              <w:t>Strategy, oversight, major decisions, risk and capital.</w:t>
            </w:r>
          </w:p>
        </w:tc>
        <w:tc>
          <w:tcPr>
            <w:tcW w:type="dxa" w:w="2556"/>
          </w:tcPr>
          <w:p>
            <w:r>
              <w:t>Quarterly / as required</w:t>
            </w:r>
          </w:p>
        </w:tc>
        <w:tc>
          <w:tcPr>
            <w:tcW w:type="dxa" w:w="2556"/>
          </w:tcPr>
          <w:p>
            <w:r>
              <w:t>Board + Leadership</w:t>
            </w:r>
          </w:p>
        </w:tc>
      </w:tr>
      <w:tr>
        <w:tc>
          <w:tcPr>
            <w:tcW w:type="dxa" w:w="2556"/>
          </w:tcPr>
          <w:p>
            <w:r>
              <w:t>Executive Management</w:t>
            </w:r>
          </w:p>
        </w:tc>
        <w:tc>
          <w:tcPr>
            <w:tcW w:type="dxa" w:w="2556"/>
          </w:tcPr>
          <w:p>
            <w:r>
              <w:t>Business performance, priorities, resources and risks.</w:t>
            </w:r>
          </w:p>
        </w:tc>
        <w:tc>
          <w:tcPr>
            <w:tcW w:type="dxa" w:w="2556"/>
          </w:tcPr>
          <w:p>
            <w:r>
              <w:t>Monthly</w:t>
            </w:r>
          </w:p>
        </w:tc>
        <w:tc>
          <w:tcPr>
            <w:tcW w:type="dxa" w:w="2556"/>
          </w:tcPr>
          <w:p>
            <w:r>
              <w:t>Leadership + Functional Leads</w:t>
            </w:r>
          </w:p>
        </w:tc>
      </w:tr>
      <w:tr>
        <w:tc>
          <w:tcPr>
            <w:tcW w:type="dxa" w:w="2556"/>
          </w:tcPr>
          <w:p>
            <w:r>
              <w:t>Weekly Operating Review</w:t>
            </w:r>
          </w:p>
        </w:tc>
        <w:tc>
          <w:tcPr>
            <w:tcW w:type="dxa" w:w="2556"/>
          </w:tcPr>
          <w:p>
            <w:r>
              <w:t>Execution, blockers, customer/operations signals.</w:t>
            </w:r>
          </w:p>
        </w:tc>
        <w:tc>
          <w:tcPr>
            <w:tcW w:type="dxa" w:w="2556"/>
          </w:tcPr>
          <w:p>
            <w:r>
              <w:t>Weekly</w:t>
            </w:r>
          </w:p>
        </w:tc>
        <w:tc>
          <w:tcPr>
            <w:tcW w:type="dxa" w:w="2556"/>
          </w:tcPr>
          <w:p>
            <w:r>
              <w:t>Leadership + Owners</w:t>
            </w:r>
          </w:p>
        </w:tc>
      </w:tr>
      <w:tr>
        <w:tc>
          <w:tcPr>
            <w:tcW w:type="dxa" w:w="2556"/>
          </w:tcPr>
          <w:p>
            <w:r>
              <w:t>Functional Reviews</w:t>
            </w:r>
          </w:p>
        </w:tc>
        <w:tc>
          <w:tcPr>
            <w:tcW w:type="dxa" w:w="2556"/>
          </w:tcPr>
          <w:p>
            <w:r>
              <w:t>Deep dives by function.</w:t>
            </w:r>
          </w:p>
        </w:tc>
        <w:tc>
          <w:tcPr>
            <w:tcW w:type="dxa" w:w="2556"/>
          </w:tcPr>
          <w:p>
            <w:r>
              <w:t>Weekly/monthly</w:t>
            </w:r>
          </w:p>
        </w:tc>
        <w:tc>
          <w:tcPr>
            <w:tcW w:type="dxa" w:w="2556"/>
          </w:tcPr>
          <w:p>
            <w:r>
              <w:t>Relevant functional team</w:t>
            </w:r>
          </w:p>
        </w:tc>
      </w:tr>
      <w:tr>
        <w:tc>
          <w:tcPr>
            <w:tcW w:type="dxa" w:w="2556"/>
          </w:tcPr>
          <w:p>
            <w:r>
              <w:t>Project / Initiative Review</w:t>
            </w:r>
          </w:p>
        </w:tc>
        <w:tc>
          <w:tcPr>
            <w:tcW w:type="dxa" w:w="2556"/>
          </w:tcPr>
          <w:p>
            <w:r>
              <w:t>Milestones, dependencies and decisions.</w:t>
            </w:r>
          </w:p>
        </w:tc>
        <w:tc>
          <w:tcPr>
            <w:tcW w:type="dxa" w:w="2556"/>
          </w:tcPr>
          <w:p>
            <w:r>
              <w:t>As needed</w:t>
            </w:r>
          </w:p>
        </w:tc>
        <w:tc>
          <w:tcPr>
            <w:tcW w:type="dxa" w:w="2556"/>
          </w:tcPr>
          <w:p>
            <w:r>
              <w:t>Initiative owners</w:t>
            </w:r>
          </w:p>
        </w:tc>
      </w:tr>
    </w:tbl>
    <w:p>
      <w:pPr>
        <w:pStyle w:val="Heading1"/>
      </w:pPr>
      <w:r>
        <w:t>4. Board Responsibilities</w:t>
      </w:r>
    </w:p>
    <w:p>
      <w:pPr>
        <w:pStyle w:val="ListBullet"/>
      </w:pPr>
      <w:r>
        <w:t>Set and review strategic direction.</w:t>
      </w:r>
    </w:p>
    <w:p>
      <w:pPr>
        <w:pStyle w:val="ListBullet"/>
      </w:pPr>
      <w:r>
        <w:t>Approve major capital allocation and financing decisions where required.</w:t>
      </w:r>
    </w:p>
    <w:p>
      <w:pPr>
        <w:pStyle w:val="ListBullet"/>
      </w:pPr>
      <w:r>
        <w:t>Review financial performance and liquidity.</w:t>
      </w:r>
    </w:p>
    <w:p>
      <w:pPr>
        <w:pStyle w:val="ListBullet"/>
      </w:pPr>
      <w:r>
        <w:t>Review material customer, operational and legal risks.</w:t>
      </w:r>
    </w:p>
    <w:p>
      <w:pPr>
        <w:pStyle w:val="ListBullet"/>
      </w:pPr>
      <w:r>
        <w:t>Challenge management assumptions constructively.</w:t>
      </w:r>
    </w:p>
    <w:p>
      <w:pPr>
        <w:pStyle w:val="ListBullet"/>
      </w:pPr>
      <w:r>
        <w:t>Monitor leadership performance and key-person risk.</w:t>
      </w:r>
    </w:p>
    <w:p>
      <w:pPr>
        <w:pStyle w:val="ListBullet"/>
      </w:pPr>
      <w:r>
        <w:t>Review major partnerships, expansion or material commitments.</w:t>
      </w:r>
    </w:p>
    <w:p>
      <w:pPr>
        <w:pStyle w:val="ListBullet"/>
      </w:pPr>
      <w:r>
        <w:t>Maintain appropriate governance records.</w:t>
      </w:r>
    </w:p>
    <w:p>
      <w:pPr>
        <w:pStyle w:val="Heading1"/>
      </w:pPr>
      <w:r>
        <w:t>5. Management Responsibilities</w:t>
      </w:r>
    </w:p>
    <w:p>
      <w:pPr>
        <w:pStyle w:val="ListBullet"/>
      </w:pPr>
      <w:r>
        <w:t>Translate strategy into measurable operating priorities.</w:t>
      </w:r>
    </w:p>
    <w:p>
      <w:pPr>
        <w:pStyle w:val="ListBullet"/>
      </w:pPr>
      <w:r>
        <w:t>Maintain reliable KPI reporting.</w:t>
      </w:r>
    </w:p>
    <w:p>
      <w:pPr>
        <w:pStyle w:val="ListBullet"/>
      </w:pPr>
      <w:r>
        <w:t>Escalate material risks early.</w:t>
      </w:r>
    </w:p>
    <w:p>
      <w:pPr>
        <w:pStyle w:val="ListBullet"/>
      </w:pPr>
      <w:r>
        <w:t>Own the operating plan.</w:t>
      </w:r>
    </w:p>
    <w:p>
      <w:pPr>
        <w:pStyle w:val="ListBullet"/>
      </w:pPr>
      <w:r>
        <w:t>Manage cash and resources against priorities.</w:t>
      </w:r>
    </w:p>
    <w:p>
      <w:pPr>
        <w:pStyle w:val="ListBullet"/>
      </w:pPr>
      <w:r>
        <w:t>Maintain customer and operational quality.</w:t>
      </w:r>
    </w:p>
    <w:p>
      <w:pPr>
        <w:pStyle w:val="ListBullet"/>
      </w:pPr>
      <w:r>
        <w:t>Document decisions and actions.</w:t>
      </w:r>
    </w:p>
    <w:p>
      <w:pPr>
        <w:pStyle w:val="ListBullet"/>
      </w:pPr>
      <w:r>
        <w:t>Report deviations rather than hiding them.</w:t>
      </w:r>
    </w:p>
    <w:p>
      <w:pPr>
        <w:pStyle w:val="Heading1"/>
      </w:pPr>
      <w:r>
        <w:t>6. Decision Rights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  <w:t>Management</w:t>
            </w:r>
          </w:p>
        </w:tc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  <w:t>Board</w:t>
            </w:r>
          </w:p>
        </w:tc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  <w:t>Escalation Trigger</w:t>
            </w:r>
          </w:p>
        </w:tc>
      </w:tr>
      <w:tr>
        <w:tc>
          <w:tcPr>
            <w:tcW w:type="dxa" w:w="2045"/>
          </w:tcPr>
          <w:p>
            <w:r>
              <w:t>Routine operating decision</w:t>
            </w:r>
          </w:p>
        </w:tc>
        <w:tc>
          <w:tcPr>
            <w:tcW w:type="dxa" w:w="2045"/>
          </w:tcPr>
          <w:p>
            <w:r>
              <w:t>Decide</w:t>
            </w:r>
          </w:p>
        </w:tc>
        <w:tc>
          <w:tcPr>
            <w:tcW w:type="dxa" w:w="2045"/>
          </w:tcPr>
          <w:p>
            <w:r>
              <w:t>Inform if material</w:t>
            </w:r>
          </w:p>
        </w:tc>
        <w:tc>
          <w:tcPr>
            <w:tcW w:type="dxa" w:w="2045"/>
          </w:tcPr>
          <w:p>
            <w:r>
              <w:t>Functional lead</w:t>
            </w:r>
          </w:p>
        </w:tc>
        <w:tc>
          <w:tcPr>
            <w:tcW w:type="dxa" w:w="2045"/>
          </w:tcPr>
          <w:p>
            <w:r>
              <w:t>Material risk/cost</w:t>
            </w:r>
          </w:p>
        </w:tc>
      </w:tr>
      <w:tr>
        <w:tc>
          <w:tcPr>
            <w:tcW w:type="dxa" w:w="2045"/>
          </w:tcPr>
          <w:p>
            <w:r>
              <w:t>Budget allocation within approved plan</w:t>
            </w:r>
          </w:p>
        </w:tc>
        <w:tc>
          <w:tcPr>
            <w:tcW w:type="dxa" w:w="2045"/>
          </w:tcPr>
          <w:p>
            <w:r>
              <w:t>Decide</w:t>
            </w:r>
          </w:p>
        </w:tc>
        <w:tc>
          <w:tcPr>
            <w:tcW w:type="dxa" w:w="2045"/>
          </w:tcPr>
          <w:p>
            <w:r>
              <w:t>Inform</w:t>
            </w:r>
          </w:p>
        </w:tc>
        <w:tc>
          <w:tcPr>
            <w:tcW w:type="dxa" w:w="2045"/>
          </w:tcPr>
          <w:p>
            <w:r>
              <w:t>Finance/Leadership</w:t>
            </w:r>
          </w:p>
        </w:tc>
        <w:tc>
          <w:tcPr>
            <w:tcW w:type="dxa" w:w="2045"/>
          </w:tcPr>
          <w:p>
            <w:r>
              <w:t>Outside threshold</w:t>
            </w:r>
          </w:p>
        </w:tc>
      </w:tr>
      <w:tr>
        <w:tc>
          <w:tcPr>
            <w:tcW w:type="dxa" w:w="2045"/>
          </w:tcPr>
          <w:p>
            <w:r>
              <w:t>Major new commitment</w:t>
            </w:r>
          </w:p>
        </w:tc>
        <w:tc>
          <w:tcPr>
            <w:tcW w:type="dxa" w:w="2045"/>
          </w:tcPr>
          <w:p>
            <w:r>
              <w:t>Recommend</w:t>
            </w:r>
          </w:p>
        </w:tc>
        <w:tc>
          <w:tcPr>
            <w:tcW w:type="dxa" w:w="2045"/>
          </w:tcPr>
          <w:p>
            <w:r>
              <w:t>Approve where required</w:t>
            </w:r>
          </w:p>
        </w:tc>
        <w:tc>
          <w:tcPr>
            <w:tcW w:type="dxa" w:w="2045"/>
          </w:tcPr>
          <w:p>
            <w:r>
              <w:t>Leadership</w:t>
            </w:r>
          </w:p>
        </w:tc>
        <w:tc>
          <w:tcPr>
            <w:tcW w:type="dxa" w:w="2045"/>
          </w:tcPr>
          <w:p>
            <w:r>
              <w:t>Material financial/strategic impact</w:t>
            </w:r>
          </w:p>
        </w:tc>
      </w:tr>
      <w:tr>
        <w:tc>
          <w:tcPr>
            <w:tcW w:type="dxa" w:w="2045"/>
          </w:tcPr>
          <w:p>
            <w:r>
              <w:t>Fundraising</w:t>
            </w:r>
          </w:p>
        </w:tc>
        <w:tc>
          <w:tcPr>
            <w:tcW w:type="dxa" w:w="2045"/>
          </w:tcPr>
          <w:p>
            <w:r>
              <w:t>Recommend/execute</w:t>
            </w:r>
          </w:p>
        </w:tc>
        <w:tc>
          <w:tcPr>
            <w:tcW w:type="dxa" w:w="2045"/>
          </w:tcPr>
          <w:p>
            <w:r>
              <w:t>Approve where required</w:t>
            </w:r>
          </w:p>
        </w:tc>
        <w:tc>
          <w:tcPr>
            <w:tcW w:type="dxa" w:w="2045"/>
          </w:tcPr>
          <w:p>
            <w:r>
              <w:t>Leadership/Finance</w:t>
            </w:r>
          </w:p>
        </w:tc>
        <w:tc>
          <w:tcPr>
            <w:tcW w:type="dxa" w:w="2045"/>
          </w:tcPr>
          <w:p>
            <w:r>
              <w:t>Material financing impact</w:t>
            </w:r>
          </w:p>
        </w:tc>
      </w:tr>
      <w:tr>
        <w:tc>
          <w:tcPr>
            <w:tcW w:type="dxa" w:w="2045"/>
          </w:tcPr>
          <w:p>
            <w:r>
              <w:t>Major strategic change</w:t>
            </w:r>
          </w:p>
        </w:tc>
        <w:tc>
          <w:tcPr>
            <w:tcW w:type="dxa" w:w="2045"/>
          </w:tcPr>
          <w:p>
            <w:r>
              <w:t>Recommend</w:t>
            </w:r>
          </w:p>
        </w:tc>
        <w:tc>
          <w:tcPr>
            <w:tcW w:type="dxa" w:w="2045"/>
          </w:tcPr>
          <w:p>
            <w:r>
              <w:t>Approve</w:t>
            </w:r>
          </w:p>
        </w:tc>
        <w:tc>
          <w:tcPr>
            <w:tcW w:type="dxa" w:w="2045"/>
          </w:tcPr>
          <w:p>
            <w:r>
              <w:t>Leadership</w:t>
            </w:r>
          </w:p>
        </w:tc>
        <w:tc>
          <w:tcPr>
            <w:tcW w:type="dxa" w:w="2045"/>
          </w:tcPr>
          <w:p>
            <w:r>
              <w:t>Changes core strategy</w:t>
            </w:r>
          </w:p>
        </w:tc>
      </w:tr>
      <w:tr>
        <w:tc>
          <w:tcPr>
            <w:tcW w:type="dxa" w:w="2045"/>
          </w:tcPr>
          <w:p>
            <w:r>
              <w:t>Material legal/risk issue</w:t>
            </w:r>
          </w:p>
        </w:tc>
        <w:tc>
          <w:tcPr>
            <w:tcW w:type="dxa" w:w="2045"/>
          </w:tcPr>
          <w:p>
            <w:r>
              <w:t>Manage/escalate</w:t>
            </w:r>
          </w:p>
        </w:tc>
        <w:tc>
          <w:tcPr>
            <w:tcW w:type="dxa" w:w="2045"/>
          </w:tcPr>
          <w:p>
            <w:r>
              <w:t>Oversight/approve where required</w:t>
            </w:r>
          </w:p>
        </w:tc>
        <w:tc>
          <w:tcPr>
            <w:tcW w:type="dxa" w:w="2045"/>
          </w:tcPr>
          <w:p>
            <w:r>
              <w:t>Leadership/Legal</w:t>
            </w:r>
          </w:p>
        </w:tc>
        <w:tc>
          <w:tcPr>
            <w:tcW w:type="dxa" w:w="2045"/>
          </w:tcPr>
          <w:p>
            <w:r>
              <w:t>Material exposure</w:t>
            </w:r>
          </w:p>
        </w:tc>
      </w:tr>
      <w:tr>
        <w:tc>
          <w:tcPr>
            <w:tcW w:type="dxa" w:w="2045"/>
          </w:tcPr>
          <w:p>
            <w:r>
              <w:t>Senior leadership change</w:t>
            </w:r>
          </w:p>
        </w:tc>
        <w:tc>
          <w:tcPr>
            <w:tcW w:type="dxa" w:w="2045"/>
          </w:tcPr>
          <w:p>
            <w:r>
              <w:t>Recommend</w:t>
            </w:r>
          </w:p>
        </w:tc>
        <w:tc>
          <w:tcPr>
            <w:tcW w:type="dxa" w:w="2045"/>
          </w:tcPr>
          <w:p>
            <w:r>
              <w:t>Approve/oversight where applicable</w:t>
            </w:r>
          </w:p>
        </w:tc>
        <w:tc>
          <w:tcPr>
            <w:tcW w:type="dxa" w:w="2045"/>
          </w:tcPr>
          <w:p>
            <w:r>
              <w:t>Leadership/Board</w:t>
            </w:r>
          </w:p>
        </w:tc>
        <w:tc>
          <w:tcPr>
            <w:tcW w:type="dxa" w:w="2045"/>
          </w:tcPr>
          <w:p>
            <w:r>
              <w:t>Key-person impact</w:t>
            </w:r>
          </w:p>
        </w:tc>
      </w:tr>
    </w:tbl>
    <w:p>
      <w:pPr>
        <w:pStyle w:val="Heading1"/>
      </w:pPr>
      <w:r>
        <w:t>7. Board Meeting Calendar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Quarter</w:t>
            </w:r>
          </w:p>
        </w:tc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Primary Focus</w:t>
            </w:r>
          </w:p>
        </w:tc>
      </w:tr>
      <w:tr>
        <w:tc>
          <w:tcPr>
            <w:tcW w:type="dxa" w:w="5112"/>
          </w:tcPr>
          <w:p>
            <w:r>
              <w:t>Q1</w:t>
            </w:r>
          </w:p>
        </w:tc>
        <w:tc>
          <w:tcPr>
            <w:tcW w:type="dxa" w:w="5112"/>
          </w:tcPr>
          <w:p>
            <w:r>
              <w:t>Prior-year review, current strategy, budget and operating priorities.</w:t>
            </w:r>
          </w:p>
        </w:tc>
      </w:tr>
      <w:tr>
        <w:tc>
          <w:tcPr>
            <w:tcW w:type="dxa" w:w="5112"/>
          </w:tcPr>
          <w:p>
            <w:r>
              <w:t>Q2</w:t>
            </w:r>
          </w:p>
        </w:tc>
        <w:tc>
          <w:tcPr>
            <w:tcW w:type="dxa" w:w="5112"/>
          </w:tcPr>
          <w:p>
            <w:r>
              <w:t>Growth, customer experience, operations capacity and economics.</w:t>
            </w:r>
          </w:p>
        </w:tc>
      </w:tr>
      <w:tr>
        <w:tc>
          <w:tcPr>
            <w:tcW w:type="dxa" w:w="5112"/>
          </w:tcPr>
          <w:p>
            <w:r>
              <w:t>Q3</w:t>
            </w:r>
          </w:p>
        </w:tc>
        <w:tc>
          <w:tcPr>
            <w:tcW w:type="dxa" w:w="5112"/>
          </w:tcPr>
          <w:p>
            <w:r>
              <w:t>Strategic progress, risk, capital and next-year planning.</w:t>
            </w:r>
          </w:p>
        </w:tc>
      </w:tr>
      <w:tr>
        <w:tc>
          <w:tcPr>
            <w:tcW w:type="dxa" w:w="5112"/>
          </w:tcPr>
          <w:p>
            <w:r>
              <w:t>Q4</w:t>
            </w:r>
          </w:p>
        </w:tc>
        <w:tc>
          <w:tcPr>
            <w:tcW w:type="dxa" w:w="5112"/>
          </w:tcPr>
          <w:p>
            <w:r>
              <w:t>Annual performance, budget, strategy refresh and governance review.</w:t>
            </w:r>
          </w:p>
        </w:tc>
      </w:tr>
    </w:tbl>
    <w:p>
      <w:pPr>
        <w:pStyle w:val="Heading1"/>
      </w:pPr>
      <w:r>
        <w:t>8. Standard Board Agenda</w:t>
      </w:r>
    </w:p>
    <w:p>
      <w:pPr>
        <w:pStyle w:val="ListNumber"/>
      </w:pPr>
      <w:r>
        <w:t>Call to order / attendance.</w:t>
      </w:r>
    </w:p>
    <w:p>
      <w:pPr>
        <w:pStyle w:val="ListNumber"/>
      </w:pPr>
      <w:r>
        <w:t>Conflicts and declarations where applicable.</w:t>
      </w:r>
    </w:p>
    <w:p>
      <w:pPr>
        <w:pStyle w:val="ListNumber"/>
      </w:pPr>
      <w:r>
        <w:t>Approval of prior minutes/actions.</w:t>
      </w:r>
    </w:p>
    <w:p>
      <w:pPr>
        <w:pStyle w:val="ListNumber"/>
      </w:pPr>
      <w:r>
        <w:t>CEO / leadership summary.</w:t>
      </w:r>
    </w:p>
    <w:p>
      <w:pPr>
        <w:pStyle w:val="ListNumber"/>
      </w:pPr>
      <w:r>
        <w:t>Financial performance and cash.</w:t>
      </w:r>
    </w:p>
    <w:p>
      <w:pPr>
        <w:pStyle w:val="ListNumber"/>
      </w:pPr>
      <w:r>
        <w:t>Customer and GTM performance.</w:t>
      </w:r>
    </w:p>
    <w:p>
      <w:pPr>
        <w:pStyle w:val="ListNumber"/>
      </w:pPr>
      <w:r>
        <w:t>Operations and quality.</w:t>
      </w:r>
    </w:p>
    <w:p>
      <w:pPr>
        <w:pStyle w:val="ListNumber"/>
      </w:pPr>
      <w:r>
        <w:t>People and organizational capacity.</w:t>
      </w:r>
    </w:p>
    <w:p>
      <w:pPr>
        <w:pStyle w:val="ListNumber"/>
      </w:pPr>
      <w:r>
        <w:t>Risk and compliance.</w:t>
      </w:r>
    </w:p>
    <w:p>
      <w:pPr>
        <w:pStyle w:val="ListNumber"/>
      </w:pPr>
      <w:r>
        <w:t>Strategic priorities.</w:t>
      </w:r>
    </w:p>
    <w:p>
      <w:pPr>
        <w:pStyle w:val="ListNumber"/>
      </w:pPr>
      <w:r>
        <w:t>Decisions required.</w:t>
      </w:r>
    </w:p>
    <w:p>
      <w:pPr>
        <w:pStyle w:val="ListNumber"/>
      </w:pPr>
      <w:r>
        <w:t>Action register.</w:t>
      </w:r>
    </w:p>
    <w:p>
      <w:pPr>
        <w:pStyle w:val="ListNumber"/>
      </w:pPr>
      <w:r>
        <w:t>Next meeting / close.</w:t>
      </w:r>
    </w:p>
    <w:p>
      <w:pPr>
        <w:pStyle w:val="Heading1"/>
      </w:pPr>
      <w:r>
        <w:t>9. Board Pack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Content</w:t>
            </w:r>
          </w:p>
        </w:tc>
      </w:tr>
      <w:tr>
        <w:tc>
          <w:tcPr>
            <w:tcW w:type="dxa" w:w="5112"/>
          </w:tcPr>
          <w:p>
            <w:r>
              <w:t>Executive summary</w:t>
            </w:r>
          </w:p>
        </w:tc>
        <w:tc>
          <w:tcPr>
            <w:tcW w:type="dxa" w:w="5112"/>
          </w:tcPr>
          <w:p>
            <w:r>
              <w:t>What changed, why it matters, management view.</w:t>
            </w:r>
          </w:p>
        </w:tc>
      </w:tr>
      <w:tr>
        <w:tc>
          <w:tcPr>
            <w:tcW w:type="dxa" w:w="5112"/>
          </w:tcPr>
          <w:p>
            <w:r>
              <w:t>KPI dashboard</w:t>
            </w:r>
          </w:p>
        </w:tc>
        <w:tc>
          <w:tcPr>
            <w:tcW w:type="dxa" w:w="5112"/>
          </w:tcPr>
          <w:p>
            <w:r>
              <w:t>Core operating and financial metrics.</w:t>
            </w:r>
          </w:p>
        </w:tc>
      </w:tr>
      <w:tr>
        <w:tc>
          <w:tcPr>
            <w:tcW w:type="dxa" w:w="5112"/>
          </w:tcPr>
          <w:p>
            <w:r>
              <w:t>Customer</w:t>
            </w:r>
          </w:p>
        </w:tc>
        <w:tc>
          <w:tcPr>
            <w:tcW w:type="dxa" w:w="5112"/>
          </w:tcPr>
          <w:p>
            <w:r>
              <w:t>Demand, satisfaction, repeat/referral, major issues.</w:t>
            </w:r>
          </w:p>
        </w:tc>
      </w:tr>
      <w:tr>
        <w:tc>
          <w:tcPr>
            <w:tcW w:type="dxa" w:w="5112"/>
          </w:tcPr>
          <w:p>
            <w:r>
              <w:t>GTM</w:t>
            </w:r>
          </w:p>
        </w:tc>
        <w:tc>
          <w:tcPr>
            <w:tcW w:type="dxa" w:w="5112"/>
          </w:tcPr>
          <w:p>
            <w:r>
              <w:t>Pipeline, acquisition, conversion, channel economics.</w:t>
            </w:r>
          </w:p>
        </w:tc>
      </w:tr>
      <w:tr>
        <w:tc>
          <w:tcPr>
            <w:tcW w:type="dxa" w:w="5112"/>
          </w:tcPr>
          <w:p>
            <w:r>
              <w:t>Operations</w:t>
            </w:r>
          </w:p>
        </w:tc>
        <w:tc>
          <w:tcPr>
            <w:tcW w:type="dxa" w:w="5112"/>
          </w:tcPr>
          <w:p>
            <w:r>
              <w:t>Throughput, SLA, QC, capacity and exceptions.</w:t>
            </w:r>
          </w:p>
        </w:tc>
      </w:tr>
      <w:tr>
        <w:tc>
          <w:tcPr>
            <w:tcW w:type="dxa" w:w="5112"/>
          </w:tcPr>
          <w:p>
            <w:r>
              <w:t>Finance</w:t>
            </w:r>
          </w:p>
        </w:tc>
        <w:tc>
          <w:tcPr>
            <w:tcW w:type="dxa" w:w="5112"/>
          </w:tcPr>
          <w:p>
            <w:r>
              <w:t>P&amp;L, cash, forecast, variance, runway.</w:t>
            </w:r>
          </w:p>
        </w:tc>
      </w:tr>
      <w:tr>
        <w:tc>
          <w:tcPr>
            <w:tcW w:type="dxa" w:w="5112"/>
          </w:tcPr>
          <w:p>
            <w:r>
              <w:t>People</w:t>
            </w:r>
          </w:p>
        </w:tc>
        <w:tc>
          <w:tcPr>
            <w:tcW w:type="dxa" w:w="5112"/>
          </w:tcPr>
          <w:p>
            <w:r>
              <w:t>Key roles, hiring, performance and capacity.</w:t>
            </w:r>
          </w:p>
        </w:tc>
      </w:tr>
      <w:tr>
        <w:tc>
          <w:tcPr>
            <w:tcW w:type="dxa" w:w="5112"/>
          </w:tcPr>
          <w:p>
            <w:r>
              <w:t>Risk</w:t>
            </w:r>
          </w:p>
        </w:tc>
        <w:tc>
          <w:tcPr>
            <w:tcW w:type="dxa" w:w="5112"/>
          </w:tcPr>
          <w:p>
            <w:r>
              <w:t>Top risks, changes and mitigations.</w:t>
            </w:r>
          </w:p>
        </w:tc>
      </w:tr>
      <w:tr>
        <w:tc>
          <w:tcPr>
            <w:tcW w:type="dxa" w:w="5112"/>
          </w:tcPr>
          <w:p>
            <w:r>
              <w:t>Strategy</w:t>
            </w:r>
          </w:p>
        </w:tc>
        <w:tc>
          <w:tcPr>
            <w:tcW w:type="dxa" w:w="5112"/>
          </w:tcPr>
          <w:p>
            <w:r>
              <w:t>Milestones, choices and decisions.</w:t>
            </w:r>
          </w:p>
        </w:tc>
      </w:tr>
      <w:tr>
        <w:tc>
          <w:tcPr>
            <w:tcW w:type="dxa" w:w="5112"/>
          </w:tcPr>
          <w:p>
            <w:r>
              <w:t>Action register</w:t>
            </w:r>
          </w:p>
        </w:tc>
        <w:tc>
          <w:tcPr>
            <w:tcW w:type="dxa" w:w="5112"/>
          </w:tcPr>
          <w:p>
            <w:r>
              <w:t>Owner, due date, status and outcome.</w:t>
            </w:r>
          </w:p>
        </w:tc>
      </w:tr>
    </w:tbl>
    <w:p>
      <w:pPr>
        <w:pStyle w:val="Heading1"/>
      </w:pPr>
      <w:r>
        <w:t>10. Executive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  <w:shd w:fill="1F4E78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1278"/>
            <w:shd w:fill="1F4E78"/>
          </w:tcPr>
          <w:p>
            <w:r>
              <w:rPr>
                <w:b/>
                <w:color w:val="FFFFFF"/>
              </w:rPr>
              <w:t>KPI</w:t>
            </w:r>
          </w:p>
        </w:tc>
        <w:tc>
          <w:tcPr>
            <w:tcW w:type="dxa" w:w="1278"/>
            <w:shd w:fill="1F4E78"/>
          </w:tcPr>
          <w:p>
            <w:r>
              <w:rPr>
                <w:b/>
                <w:color w:val="FFFFFF"/>
              </w:rPr>
              <w:t>Actual</w:t>
            </w:r>
          </w:p>
        </w:tc>
        <w:tc>
          <w:tcPr>
            <w:tcW w:type="dxa" w:w="1278"/>
            <w:shd w:fill="1F4E78"/>
          </w:tcPr>
          <w:p>
            <w:r>
              <w:rPr>
                <w:b/>
                <w:color w:val="FFFFFF"/>
              </w:rPr>
              <w:t>Target</w:t>
            </w:r>
          </w:p>
        </w:tc>
        <w:tc>
          <w:tcPr>
            <w:tcW w:type="dxa" w:w="1278"/>
            <w:shd w:fill="1F4E78"/>
          </w:tcPr>
          <w:p>
            <w:r>
              <w:rPr>
                <w:b/>
                <w:color w:val="FFFFFF"/>
              </w:rPr>
              <w:t>Variance</w:t>
            </w:r>
          </w:p>
        </w:tc>
        <w:tc>
          <w:tcPr>
            <w:tcW w:type="dxa" w:w="1278"/>
            <w:shd w:fill="1F4E78"/>
          </w:tcPr>
          <w:p>
            <w:r>
              <w:rPr>
                <w:b/>
                <w:color w:val="FFFFFF"/>
              </w:rPr>
              <w:t>RAG</w:t>
            </w:r>
          </w:p>
        </w:tc>
        <w:tc>
          <w:tcPr>
            <w:tcW w:type="dxa" w:w="1278"/>
            <w:shd w:fill="1F4E78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1278"/>
            <w:shd w:fill="1F4E78"/>
          </w:tcPr>
          <w:p>
            <w:r>
              <w:rPr>
                <w:b/>
                <w:color w:val="FFFFFF"/>
              </w:rPr>
              <w:t>Action</w:t>
            </w:r>
          </w:p>
        </w:tc>
      </w:tr>
      <w:tr>
        <w:tc>
          <w:tcPr>
            <w:tcW w:type="dxa" w:w="1278"/>
          </w:tcPr>
          <w:p>
            <w:r>
              <w:t>Growth</w:t>
            </w:r>
          </w:p>
        </w:tc>
        <w:tc>
          <w:tcPr>
            <w:tcW w:type="dxa" w:w="1278"/>
          </w:tcPr>
          <w:p>
            <w:r>
              <w:t>New customers</w:t>
            </w:r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</w:tr>
      <w:tr>
        <w:tc>
          <w:tcPr>
            <w:tcW w:type="dxa" w:w="1278"/>
          </w:tcPr>
          <w:p>
            <w:r>
              <w:t>Revenue</w:t>
            </w:r>
          </w:p>
        </w:tc>
        <w:tc>
          <w:tcPr>
            <w:tcW w:type="dxa" w:w="1278"/>
          </w:tcPr>
          <w:p>
            <w:r>
              <w:t>Net revenue</w:t>
            </w:r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</w:tr>
      <w:tr>
        <w:tc>
          <w:tcPr>
            <w:tcW w:type="dxa" w:w="1278"/>
          </w:tcPr>
          <w:p>
            <w:r>
              <w:t>GTM</w:t>
            </w:r>
          </w:p>
        </w:tc>
        <w:tc>
          <w:tcPr>
            <w:tcW w:type="dxa" w:w="1278"/>
          </w:tcPr>
          <w:p>
            <w:r>
              <w:t>CAC</w:t>
            </w:r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</w:tr>
      <w:tr>
        <w:tc>
          <w:tcPr>
            <w:tcW w:type="dxa" w:w="1278"/>
          </w:tcPr>
          <w:p>
            <w:r>
              <w:t>Customer</w:t>
            </w:r>
          </w:p>
        </w:tc>
        <w:tc>
          <w:tcPr>
            <w:tcW w:type="dxa" w:w="1278"/>
          </w:tcPr>
          <w:p>
            <w:r>
              <w:t>Satisfaction/trust</w:t>
            </w:r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</w:tr>
      <w:tr>
        <w:tc>
          <w:tcPr>
            <w:tcW w:type="dxa" w:w="1278"/>
          </w:tcPr>
          <w:p>
            <w:r>
              <w:t>Retention</w:t>
            </w:r>
          </w:p>
        </w:tc>
        <w:tc>
          <w:tcPr>
            <w:tcW w:type="dxa" w:w="1278"/>
          </w:tcPr>
          <w:p>
            <w:r>
              <w:t>Repeat rate</w:t>
            </w:r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</w:tr>
      <w:tr>
        <w:tc>
          <w:tcPr>
            <w:tcW w:type="dxa" w:w="1278"/>
          </w:tcPr>
          <w:p>
            <w:r>
              <w:t>Advocacy</w:t>
            </w:r>
          </w:p>
        </w:tc>
        <w:tc>
          <w:tcPr>
            <w:tcW w:type="dxa" w:w="1278"/>
          </w:tcPr>
          <w:p>
            <w:r>
              <w:t>Referral rate</w:t>
            </w:r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</w:tr>
      <w:tr>
        <w:tc>
          <w:tcPr>
            <w:tcW w:type="dxa" w:w="1278"/>
          </w:tcPr>
          <w:p>
            <w:r>
              <w:t>Operations</w:t>
            </w:r>
          </w:p>
        </w:tc>
        <w:tc>
          <w:tcPr>
            <w:tcW w:type="dxa" w:w="1278"/>
          </w:tcPr>
          <w:p>
            <w:r>
              <w:t>On-time completion</w:t>
            </w:r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</w:tr>
      <w:tr>
        <w:tc>
          <w:tcPr>
            <w:tcW w:type="dxa" w:w="1278"/>
          </w:tcPr>
          <w:p>
            <w:r>
              <w:t>Quality</w:t>
            </w:r>
          </w:p>
        </w:tc>
        <w:tc>
          <w:tcPr>
            <w:tcW w:type="dxa" w:w="1278"/>
          </w:tcPr>
          <w:p>
            <w:r>
              <w:t>First-pass QC</w:t>
            </w:r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</w:tr>
      <w:tr>
        <w:tc>
          <w:tcPr>
            <w:tcW w:type="dxa" w:w="1278"/>
          </w:tcPr>
          <w:p>
            <w:r>
              <w:t>Finance</w:t>
            </w:r>
          </w:p>
        </w:tc>
        <w:tc>
          <w:tcPr>
            <w:tcW w:type="dxa" w:w="1278"/>
          </w:tcPr>
          <w:p>
            <w:r>
              <w:t>Gross margin</w:t>
            </w:r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</w:tr>
      <w:tr>
        <w:tc>
          <w:tcPr>
            <w:tcW w:type="dxa" w:w="1278"/>
          </w:tcPr>
          <w:p>
            <w:r>
              <w:t>Cash</w:t>
            </w:r>
          </w:p>
        </w:tc>
        <w:tc>
          <w:tcPr>
            <w:tcW w:type="dxa" w:w="1278"/>
          </w:tcPr>
          <w:p>
            <w:r>
              <w:t>Runway</w:t>
            </w:r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</w:tr>
    </w:tbl>
    <w:p>
      <w:pPr>
        <w:pStyle w:val="Heading1"/>
      </w:pPr>
      <w:r>
        <w:t>11. KPI Definition Standard</w:t>
      </w:r>
    </w:p>
    <w:p>
      <w:r>
        <w:rPr>
          <w:b/>
        </w:rPr>
        <w:t>Every board KPI should have one definition, one owner, one source, one reporting cadence and one agreed calculation.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  <w:t>KPI</w:t>
            </w:r>
          </w:p>
        </w:tc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  <w:t>Definition</w:t>
            </w:r>
          </w:p>
        </w:tc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  <w:t>Cadence</w:t>
            </w:r>
          </w:p>
        </w:tc>
      </w:tr>
      <w:tr>
        <w:tc>
          <w:tcPr>
            <w:tcW w:type="dxa" w:w="2045"/>
          </w:tcPr>
          <w:p>
            <w:r>
              <w:t>Paid customers</w:t>
            </w:r>
          </w:p>
        </w:tc>
        <w:tc>
          <w:tcPr>
            <w:tcW w:type="dxa" w:w="2045"/>
          </w:tcPr>
          <w:p>
            <w:r>
              <w:t>Customers with completed paid transaction.</w:t>
            </w:r>
          </w:p>
        </w:tc>
        <w:tc>
          <w:tcPr>
            <w:tcW w:type="dxa" w:w="2045"/>
          </w:tcPr>
          <w:p>
            <w:r>
              <w:t>Finance/customer records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Net revenue</w:t>
            </w:r>
          </w:p>
        </w:tc>
        <w:tc>
          <w:tcPr>
            <w:tcW w:type="dxa" w:w="2045"/>
          </w:tcPr>
          <w:p>
            <w:r>
              <w:t>Revenue after approved adjustments.</w:t>
            </w:r>
          </w:p>
        </w:tc>
        <w:tc>
          <w:tcPr>
            <w:tcW w:type="dxa" w:w="2045"/>
          </w:tcPr>
          <w:p>
            <w:r>
              <w:t>Finance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Gross margin</w:t>
            </w:r>
          </w:p>
        </w:tc>
        <w:tc>
          <w:tcPr>
            <w:tcW w:type="dxa" w:w="2045"/>
          </w:tcPr>
          <w:p>
            <w:r>
              <w:t>Gross profit divided by revenue.</w:t>
            </w:r>
          </w:p>
        </w:tc>
        <w:tc>
          <w:tcPr>
            <w:tcW w:type="dxa" w:w="2045"/>
          </w:tcPr>
          <w:p>
            <w:r>
              <w:t>Finance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CAC</w:t>
            </w:r>
          </w:p>
        </w:tc>
        <w:tc>
          <w:tcPr>
            <w:tcW w:type="dxa" w:w="2045"/>
          </w:tcPr>
          <w:p>
            <w:r>
              <w:t>Acquisition spend divided by new customers.</w:t>
            </w:r>
          </w:p>
        </w:tc>
        <w:tc>
          <w:tcPr>
            <w:tcW w:type="dxa" w:w="2045"/>
          </w:tcPr>
          <w:p>
            <w:r>
              <w:t>GTM/Finance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Contribution/customer</w:t>
            </w:r>
          </w:p>
        </w:tc>
        <w:tc>
          <w:tcPr>
            <w:tcW w:type="dxa" w:w="2045"/>
          </w:tcPr>
          <w:p>
            <w:r>
              <w:t>Defined revenue less applicable variable/direct costs.</w:t>
            </w:r>
          </w:p>
        </w:tc>
        <w:tc>
          <w:tcPr>
            <w:tcW w:type="dxa" w:w="2045"/>
          </w:tcPr>
          <w:p>
            <w:r>
              <w:t>Finance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Repeat rate</w:t>
            </w:r>
          </w:p>
        </w:tc>
        <w:tc>
          <w:tcPr>
            <w:tcW w:type="dxa" w:w="2045"/>
          </w:tcPr>
          <w:p>
            <w:r>
              <w:t>Returning customers divided by eligible customers.</w:t>
            </w:r>
          </w:p>
        </w:tc>
        <w:tc>
          <w:tcPr>
            <w:tcW w:type="dxa" w:w="2045"/>
          </w:tcPr>
          <w:p>
            <w:r>
              <w:t>CX/GTM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Referral rate</w:t>
            </w:r>
          </w:p>
        </w:tc>
        <w:tc>
          <w:tcPr>
            <w:tcW w:type="dxa" w:w="2045"/>
          </w:tcPr>
          <w:p>
            <w:r>
              <w:t>Referring customers divided by eligible customers.</w:t>
            </w:r>
          </w:p>
        </w:tc>
        <w:tc>
          <w:tcPr>
            <w:tcW w:type="dxa" w:w="2045"/>
          </w:tcPr>
          <w:p>
            <w:r>
              <w:t>CX/GTM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On-time completion</w:t>
            </w:r>
          </w:p>
        </w:tc>
        <w:tc>
          <w:tcPr>
            <w:tcW w:type="dxa" w:w="2045"/>
          </w:tcPr>
          <w:p>
            <w:r>
              <w:t>Cases completed within agreed service window.</w:t>
            </w:r>
          </w:p>
        </w:tc>
        <w:tc>
          <w:tcPr>
            <w:tcW w:type="dxa" w:w="2045"/>
          </w:tcPr>
          <w:p>
            <w:r>
              <w:t>Operations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First-pass QC</w:t>
            </w:r>
          </w:p>
        </w:tc>
        <w:tc>
          <w:tcPr>
            <w:tcW w:type="dxa" w:w="2045"/>
          </w:tcPr>
          <w:p>
            <w:r>
              <w:t>Cases passing quality review without rework.</w:t>
            </w:r>
          </w:p>
        </w:tc>
        <w:tc>
          <w:tcPr>
            <w:tcW w:type="dxa" w:w="2045"/>
          </w:tcPr>
          <w:p>
            <w:r>
              <w:t>Operations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Runway</w:t>
            </w:r>
          </w:p>
        </w:tc>
        <w:tc>
          <w:tcPr>
            <w:tcW w:type="dxa" w:w="2045"/>
          </w:tcPr>
          <w:p>
            <w:r>
              <w:t>Cash available divided by modeled net monthly burn.</w:t>
            </w:r>
          </w:p>
        </w:tc>
        <w:tc>
          <w:tcPr>
            <w:tcW w:type="dxa" w:w="2045"/>
          </w:tcPr>
          <w:p>
            <w:r>
              <w:t>Finance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</w:tbl>
    <w:p>
      <w:pPr>
        <w:pStyle w:val="Heading1"/>
      </w:pPr>
      <w:r>
        <w:t>12. RAG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8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</w:rPr>
              <w:t>Meaning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</w:rPr>
              <w:t>Management Action</w:t>
            </w:r>
          </w:p>
        </w:tc>
      </w:tr>
      <w:tr>
        <w:tc>
          <w:tcPr>
            <w:tcW w:type="dxa" w:w="3408"/>
          </w:tcPr>
          <w:p>
            <w:r>
              <w:t>Green</w:t>
            </w:r>
          </w:p>
        </w:tc>
        <w:tc>
          <w:tcPr>
            <w:tcW w:type="dxa" w:w="3408"/>
          </w:tcPr>
          <w:p>
            <w:r>
              <w:t>On plan / within approved tolerance.</w:t>
            </w:r>
          </w:p>
        </w:tc>
        <w:tc>
          <w:tcPr>
            <w:tcW w:type="dxa" w:w="3408"/>
          </w:tcPr>
          <w:p>
            <w:r>
              <w:t>Continue and monitor.</w:t>
            </w:r>
          </w:p>
        </w:tc>
      </w:tr>
      <w:tr>
        <w:tc>
          <w:tcPr>
            <w:tcW w:type="dxa" w:w="3408"/>
          </w:tcPr>
          <w:p>
            <w:r>
              <w:t>Amber</w:t>
            </w:r>
          </w:p>
        </w:tc>
        <w:tc>
          <w:tcPr>
            <w:tcW w:type="dxa" w:w="3408"/>
          </w:tcPr>
          <w:p>
            <w:r>
              <w:t>Meaningful variance or emerging risk.</w:t>
            </w:r>
          </w:p>
        </w:tc>
        <w:tc>
          <w:tcPr>
            <w:tcW w:type="dxa" w:w="3408"/>
          </w:tcPr>
          <w:p>
            <w:r>
              <w:t>Explain cause and corrective action.</w:t>
            </w:r>
          </w:p>
        </w:tc>
      </w:tr>
      <w:tr>
        <w:tc>
          <w:tcPr>
            <w:tcW w:type="dxa" w:w="3408"/>
          </w:tcPr>
          <w:p>
            <w:r>
              <w:t>Red</w:t>
            </w:r>
          </w:p>
        </w:tc>
        <w:tc>
          <w:tcPr>
            <w:tcW w:type="dxa" w:w="3408"/>
          </w:tcPr>
          <w:p>
            <w:r>
              <w:t>Material deviation, risk or decision required.</w:t>
            </w:r>
          </w:p>
        </w:tc>
        <w:tc>
          <w:tcPr>
            <w:tcW w:type="dxa" w:w="3408"/>
          </w:tcPr>
          <w:p>
            <w:r>
              <w:t>Escalate immediately with recovery plan.</w:t>
            </w:r>
          </w:p>
        </w:tc>
      </w:tr>
    </w:tbl>
    <w:p>
      <w:r>
        <w:rPr>
          <w:b w:val="0"/>
        </w:rPr>
        <w:t>Set numeric thresholds for each KPI after ASOJU has sufficient baseline data.</w:t>
      </w:r>
    </w:p>
    <w:p>
      <w:pPr>
        <w:pStyle w:val="Heading1"/>
      </w:pPr>
      <w:r>
        <w:t>13. Weekly Operating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Agenda</w:t>
            </w:r>
          </w:p>
        </w:tc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Output</w:t>
            </w:r>
          </w:p>
        </w:tc>
      </w:tr>
      <w:tr>
        <w:tc>
          <w:tcPr>
            <w:tcW w:type="dxa" w:w="5112"/>
          </w:tcPr>
          <w:p>
            <w:r>
              <w:t>Scorecard</w:t>
            </w:r>
          </w:p>
        </w:tc>
        <w:tc>
          <w:tcPr>
            <w:tcW w:type="dxa" w:w="5112"/>
          </w:tcPr>
          <w:p>
            <w:r>
              <w:t>Updated KPI status.</w:t>
            </w:r>
          </w:p>
        </w:tc>
      </w:tr>
      <w:tr>
        <w:tc>
          <w:tcPr>
            <w:tcW w:type="dxa" w:w="5112"/>
          </w:tcPr>
          <w:p>
            <w:r>
              <w:t>Customer</w:t>
            </w:r>
          </w:p>
        </w:tc>
        <w:tc>
          <w:tcPr>
            <w:tcW w:type="dxa" w:w="5112"/>
          </w:tcPr>
          <w:p>
            <w:r>
              <w:t>Top customer/CX issues.</w:t>
            </w:r>
          </w:p>
        </w:tc>
      </w:tr>
      <w:tr>
        <w:tc>
          <w:tcPr>
            <w:tcW w:type="dxa" w:w="5112"/>
          </w:tcPr>
          <w:p>
            <w:r>
              <w:t>Operations</w:t>
            </w:r>
          </w:p>
        </w:tc>
        <w:tc>
          <w:tcPr>
            <w:tcW w:type="dxa" w:w="5112"/>
          </w:tcPr>
          <w:p>
            <w:r>
              <w:t>Capacity, SLA, QC and exceptions.</w:t>
            </w:r>
          </w:p>
        </w:tc>
      </w:tr>
      <w:tr>
        <w:tc>
          <w:tcPr>
            <w:tcW w:type="dxa" w:w="5112"/>
          </w:tcPr>
          <w:p>
            <w:r>
              <w:t>GTM</w:t>
            </w:r>
          </w:p>
        </w:tc>
        <w:tc>
          <w:tcPr>
            <w:tcW w:type="dxa" w:w="5112"/>
          </w:tcPr>
          <w:p>
            <w:r>
              <w:t>Pipeline and acquisition performance.</w:t>
            </w:r>
          </w:p>
        </w:tc>
      </w:tr>
      <w:tr>
        <w:tc>
          <w:tcPr>
            <w:tcW w:type="dxa" w:w="5112"/>
          </w:tcPr>
          <w:p>
            <w:r>
              <w:t>Finance</w:t>
            </w:r>
          </w:p>
        </w:tc>
        <w:tc>
          <w:tcPr>
            <w:tcW w:type="dxa" w:w="5112"/>
          </w:tcPr>
          <w:p>
            <w:r>
              <w:t>Cash and near-term commitments.</w:t>
            </w:r>
          </w:p>
        </w:tc>
      </w:tr>
      <w:tr>
        <w:tc>
          <w:tcPr>
            <w:tcW w:type="dxa" w:w="5112"/>
          </w:tcPr>
          <w:p>
            <w:r>
              <w:t>People</w:t>
            </w:r>
          </w:p>
        </w:tc>
        <w:tc>
          <w:tcPr>
            <w:tcW w:type="dxa" w:w="5112"/>
          </w:tcPr>
          <w:p>
            <w:r>
              <w:t>Critical blockers/capacity.</w:t>
            </w:r>
          </w:p>
        </w:tc>
      </w:tr>
      <w:tr>
        <w:tc>
          <w:tcPr>
            <w:tcW w:type="dxa" w:w="5112"/>
          </w:tcPr>
          <w:p>
            <w:r>
              <w:t>Risks</w:t>
            </w:r>
          </w:p>
        </w:tc>
        <w:tc>
          <w:tcPr>
            <w:tcW w:type="dxa" w:w="5112"/>
          </w:tcPr>
          <w:p>
            <w:r>
              <w:t>New or worsening risks.</w:t>
            </w:r>
          </w:p>
        </w:tc>
      </w:tr>
      <w:tr>
        <w:tc>
          <w:tcPr>
            <w:tcW w:type="dxa" w:w="5112"/>
          </w:tcPr>
          <w:p>
            <w:r>
              <w:t>Decisions</w:t>
            </w:r>
          </w:p>
        </w:tc>
        <w:tc>
          <w:tcPr>
            <w:tcW w:type="dxa" w:w="5112"/>
          </w:tcPr>
          <w:p>
            <w:r>
              <w:t>Decision requests and owners.</w:t>
            </w:r>
          </w:p>
        </w:tc>
      </w:tr>
      <w:tr>
        <w:tc>
          <w:tcPr>
            <w:tcW w:type="dxa" w:w="5112"/>
          </w:tcPr>
          <w:p>
            <w:r>
              <w:t>Actions</w:t>
            </w:r>
          </w:p>
        </w:tc>
        <w:tc>
          <w:tcPr>
            <w:tcW w:type="dxa" w:w="5112"/>
          </w:tcPr>
          <w:p>
            <w:r>
              <w:t>Updated action register.</w:t>
            </w:r>
          </w:p>
        </w:tc>
      </w:tr>
    </w:tbl>
    <w:p>
      <w:pPr>
        <w:pStyle w:val="Heading1"/>
      </w:pPr>
      <w:r>
        <w:t>14. Monthly Business Review</w:t>
      </w:r>
    </w:p>
    <w:p>
      <w:pPr>
        <w:pStyle w:val="ListNumber"/>
      </w:pPr>
      <w:r>
        <w:t>Review monthly performance against plan.</w:t>
      </w:r>
    </w:p>
    <w:p>
      <w:pPr>
        <w:pStyle w:val="ListNumber"/>
      </w:pPr>
      <w:r>
        <w:t>Explain major variances.</w:t>
      </w:r>
    </w:p>
    <w:p>
      <w:pPr>
        <w:pStyle w:val="ListNumber"/>
      </w:pPr>
      <w:r>
        <w:t>Review customer and operational quality.</w:t>
      </w:r>
    </w:p>
    <w:p>
      <w:pPr>
        <w:pStyle w:val="ListNumber"/>
      </w:pPr>
      <w:r>
        <w:t>Review channel and unit economics.</w:t>
      </w:r>
    </w:p>
    <w:p>
      <w:pPr>
        <w:pStyle w:val="ListNumber"/>
      </w:pPr>
      <w:r>
        <w:t>Review cash and forecast.</w:t>
      </w:r>
    </w:p>
    <w:p>
      <w:pPr>
        <w:pStyle w:val="ListNumber"/>
      </w:pPr>
      <w:r>
        <w:t>Review risks and dependencies.</w:t>
      </w:r>
    </w:p>
    <w:p>
      <w:pPr>
        <w:pStyle w:val="ListNumber"/>
      </w:pPr>
      <w:r>
        <w:t>Confirm strategic priorities.</w:t>
      </w:r>
    </w:p>
    <w:p>
      <w:pPr>
        <w:pStyle w:val="ListNumber"/>
      </w:pPr>
      <w:r>
        <w:t>Reallocate resources where justified.</w:t>
      </w:r>
    </w:p>
    <w:p>
      <w:pPr>
        <w:pStyle w:val="ListNumber"/>
      </w:pPr>
      <w:r>
        <w:t>Update board-level issues.</w:t>
      </w:r>
    </w:p>
    <w:p>
      <w:pPr>
        <w:pStyle w:val="Heading1"/>
      </w:pPr>
      <w:r>
        <w:t>15. Management Action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  <w:shd w:fill="1F4E78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278"/>
            <w:shd w:fill="1F4E78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278"/>
            <w:shd w:fill="1F4E78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1278"/>
            <w:shd w:fill="1F4E78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1278"/>
            <w:shd w:fill="1F4E78"/>
          </w:tcPr>
          <w:p>
            <w:r>
              <w:rPr>
                <w:b/>
                <w:color w:val="FFFFFF"/>
              </w:rPr>
              <w:t>Due</w:t>
            </w:r>
          </w:p>
        </w:tc>
        <w:tc>
          <w:tcPr>
            <w:tcW w:type="dxa" w:w="1278"/>
            <w:shd w:fill="1F4E78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1278"/>
            <w:shd w:fill="1F4E78"/>
          </w:tcPr>
          <w:p>
            <w:r>
              <w:rPr>
                <w:b/>
                <w:color w:val="FFFFFF"/>
              </w:rPr>
              <w:t>Dependency</w:t>
            </w:r>
          </w:p>
        </w:tc>
        <w:tc>
          <w:tcPr>
            <w:tcW w:type="dxa" w:w="1278"/>
            <w:shd w:fill="1F4E78"/>
          </w:tcPr>
          <w:p>
            <w:r>
              <w:rPr>
                <w:b/>
                <w:color w:val="FFFFFF"/>
              </w:rPr>
              <w:t>Evidence/Outcome</w:t>
            </w:r>
          </w:p>
        </w:tc>
      </w:tr>
      <w:tr>
        <w:tc>
          <w:tcPr>
            <w:tcW w:type="dxa" w:w="1278"/>
          </w:tcPr>
          <w:p>
            <w:r>
              <w:t>A-001</w:t>
            </w:r>
          </w:p>
        </w:tc>
        <w:tc>
          <w:tcPr>
            <w:tcW w:type="dxa" w:w="1278"/>
          </w:tcPr>
          <w:p>
            <w:r>
              <w:t>P0</w:t>
            </w:r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</w:tr>
      <w:tr>
        <w:tc>
          <w:tcPr>
            <w:tcW w:type="dxa" w:w="1278"/>
          </w:tcPr>
          <w:p>
            <w:r>
              <w:t>A-002</w:t>
            </w:r>
          </w:p>
        </w:tc>
        <w:tc>
          <w:tcPr>
            <w:tcW w:type="dxa" w:w="1278"/>
          </w:tcPr>
          <w:p>
            <w:r>
              <w:t>P0</w:t>
            </w:r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</w:tr>
      <w:tr>
        <w:tc>
          <w:tcPr>
            <w:tcW w:type="dxa" w:w="1278"/>
          </w:tcPr>
          <w:p>
            <w:r>
              <w:t>A-003</w:t>
            </w:r>
          </w:p>
        </w:tc>
        <w:tc>
          <w:tcPr>
            <w:tcW w:type="dxa" w:w="1278"/>
          </w:tcPr>
          <w:p>
            <w:r>
              <w:t>P1</w:t>
            </w:r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</w:tr>
      <w:tr>
        <w:tc>
          <w:tcPr>
            <w:tcW w:type="dxa" w:w="1278"/>
          </w:tcPr>
          <w:p>
            <w:r>
              <w:t>A-004</w:t>
            </w:r>
          </w:p>
        </w:tc>
        <w:tc>
          <w:tcPr>
            <w:tcW w:type="dxa" w:w="1278"/>
          </w:tcPr>
          <w:p>
            <w:r>
              <w:t>P1</w:t>
            </w:r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</w:tr>
      <w:tr>
        <w:tc>
          <w:tcPr>
            <w:tcW w:type="dxa" w:w="1278"/>
          </w:tcPr>
          <w:p>
            <w:r>
              <w:t>A-005</w:t>
            </w:r>
          </w:p>
        </w:tc>
        <w:tc>
          <w:tcPr>
            <w:tcW w:type="dxa" w:w="1278"/>
          </w:tcPr>
          <w:p>
            <w:r>
              <w:t>P2</w:t>
            </w:r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</w:tr>
    </w:tbl>
    <w:p>
      <w:pPr>
        <w:pStyle w:val="Heading1"/>
      </w:pPr>
      <w:r>
        <w:t>16. Decision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  <w:shd w:fill="1F4E78"/>
          </w:tcPr>
          <w:p>
            <w:r>
              <w:rPr>
                <w:b/>
                <w:color w:val="FFFFFF"/>
              </w:rPr>
              <w:t>Decision ID</w:t>
            </w:r>
          </w:p>
        </w:tc>
        <w:tc>
          <w:tcPr>
            <w:tcW w:type="dxa" w:w="1278"/>
            <w:shd w:fill="1F4E78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1278"/>
            <w:shd w:fill="1F4E78"/>
          </w:tcPr>
          <w:p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1278"/>
            <w:shd w:fill="1F4E78"/>
          </w:tcPr>
          <w:p>
            <w:r>
              <w:rPr>
                <w:b/>
                <w:color w:val="FFFFFF"/>
              </w:rPr>
              <w:t>Options Considered</w:t>
            </w:r>
          </w:p>
        </w:tc>
        <w:tc>
          <w:tcPr>
            <w:tcW w:type="dxa" w:w="1278"/>
            <w:shd w:fill="1F4E78"/>
          </w:tcPr>
          <w:p>
            <w:r>
              <w:rPr>
                <w:b/>
                <w:color w:val="FFFFFF"/>
              </w:rPr>
              <w:t>Decision Owner</w:t>
            </w:r>
          </w:p>
        </w:tc>
        <w:tc>
          <w:tcPr>
            <w:tcW w:type="dxa" w:w="1278"/>
            <w:shd w:fill="1F4E78"/>
          </w:tcPr>
          <w:p>
            <w:r>
              <w:rPr>
                <w:b/>
                <w:color w:val="FFFFFF"/>
              </w:rPr>
              <w:t>Approver</w:t>
            </w:r>
          </w:p>
        </w:tc>
        <w:tc>
          <w:tcPr>
            <w:tcW w:type="dxa" w:w="1278"/>
            <w:shd w:fill="1F4E78"/>
          </w:tcPr>
          <w:p>
            <w:r>
              <w:rPr>
                <w:b/>
                <w:color w:val="FFFFFF"/>
              </w:rPr>
              <w:t>Rationale</w:t>
            </w:r>
          </w:p>
        </w:tc>
        <w:tc>
          <w:tcPr>
            <w:tcW w:type="dxa" w:w="1278"/>
            <w:shd w:fill="1F4E78"/>
          </w:tcPr>
          <w:p>
            <w:r>
              <w:rPr>
                <w:b/>
                <w:color w:val="FFFFFF"/>
              </w:rPr>
              <w:t>Review Date</w:t>
            </w:r>
          </w:p>
        </w:tc>
      </w:tr>
      <w:tr>
        <w:tc>
          <w:tcPr>
            <w:tcW w:type="dxa" w:w="1278"/>
          </w:tcPr>
          <w:p>
            <w:r>
              <w:t>D-001</w:t>
            </w:r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</w:tr>
      <w:tr>
        <w:tc>
          <w:tcPr>
            <w:tcW w:type="dxa" w:w="1278"/>
          </w:tcPr>
          <w:p>
            <w:r>
              <w:t>D-002</w:t>
            </w:r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</w:tr>
      <w:tr>
        <w:tc>
          <w:tcPr>
            <w:tcW w:type="dxa" w:w="1278"/>
          </w:tcPr>
          <w:p>
            <w:r>
              <w:t>D-003</w:t>
            </w:r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</w:tr>
    </w:tbl>
    <w:p>
      <w:pPr>
        <w:pStyle w:val="Heading1"/>
      </w:pPr>
      <w:r>
        <w:t>17. Risk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  <w:shd w:fill="1F4E78"/>
          </w:tcPr>
          <w:p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1136"/>
            <w:shd w:fill="1F4E78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1136"/>
            <w:shd w:fill="1F4E78"/>
          </w:tcPr>
          <w:p>
            <w:r>
              <w:rPr>
                <w:b/>
                <w:color w:val="FFFFFF"/>
              </w:rPr>
              <w:t>Likelihood</w:t>
            </w:r>
          </w:p>
        </w:tc>
        <w:tc>
          <w:tcPr>
            <w:tcW w:type="dxa" w:w="1136"/>
            <w:shd w:fill="1F4E78"/>
          </w:tcPr>
          <w:p>
            <w:r>
              <w:rPr>
                <w:b/>
                <w:color w:val="FFFFFF"/>
              </w:rPr>
              <w:t>Impact</w:t>
            </w:r>
          </w:p>
        </w:tc>
        <w:tc>
          <w:tcPr>
            <w:tcW w:type="dxa" w:w="1136"/>
            <w:shd w:fill="1F4E78"/>
          </w:tcPr>
          <w:p>
            <w:r>
              <w:rPr>
                <w:b/>
                <w:color w:val="FFFFFF"/>
              </w:rPr>
              <w:t>Rating</w:t>
            </w:r>
          </w:p>
        </w:tc>
        <w:tc>
          <w:tcPr>
            <w:tcW w:type="dxa" w:w="1136"/>
            <w:shd w:fill="1F4E78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1136"/>
            <w:shd w:fill="1F4E78"/>
          </w:tcPr>
          <w:p>
            <w:r>
              <w:rPr>
                <w:b/>
                <w:color w:val="FFFFFF"/>
              </w:rPr>
              <w:t>Mitigation</w:t>
            </w:r>
          </w:p>
        </w:tc>
        <w:tc>
          <w:tcPr>
            <w:tcW w:type="dxa" w:w="1136"/>
            <w:shd w:fill="1F4E78"/>
          </w:tcPr>
          <w:p>
            <w:r>
              <w:rPr>
                <w:b/>
                <w:color w:val="FFFFFF"/>
              </w:rPr>
              <w:t>Trigger</w:t>
            </w:r>
          </w:p>
        </w:tc>
        <w:tc>
          <w:tcPr>
            <w:tcW w:type="dxa" w:w="1136"/>
            <w:shd w:fill="1F4E78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</w:tr>
    </w:tbl>
    <w:p>
      <w:pPr>
        <w:pStyle w:val="Heading1"/>
      </w:pPr>
      <w:r>
        <w:t>18. Risk Escalation</w:t>
      </w:r>
    </w:p>
    <w:p>
      <w:pPr>
        <w:pStyle w:val="ListBullet"/>
      </w:pPr>
      <w:r>
        <w:t>Escalate when a risk crosses an agreed financial, customer, legal, safety, operational or strategic threshold.</w:t>
      </w:r>
    </w:p>
    <w:p>
      <w:pPr>
        <w:pStyle w:val="ListBullet"/>
      </w:pPr>
      <w:r>
        <w:t>Do not wait for certainty when delay could materially increase exposure.</w:t>
      </w:r>
    </w:p>
    <w:p>
      <w:pPr>
        <w:pStyle w:val="ListBullet"/>
      </w:pPr>
      <w:r>
        <w:t>Every material escalation should identify the issue, impact, owner, immediate control and decision required.</w:t>
      </w:r>
    </w:p>
    <w:p>
      <w:pPr>
        <w:pStyle w:val="ListBullet"/>
      </w:pPr>
      <w:r>
        <w:t>Board-level risks should be visible in the board pack until resolved or formally accepted.</w:t>
      </w:r>
    </w:p>
    <w:p>
      <w:pPr>
        <w:pStyle w:val="Heading1"/>
      </w:pPr>
      <w:r>
        <w:t>19. Financial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8"/>
          </w:tcPr>
          <w:p>
            <w:r>
              <w:rPr>
                <w:b/>
                <w:color w:val="FFFFFF"/>
              </w:rPr>
              <w:t>Control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</w:rPr>
              <w:t>Cadence</w:t>
            </w:r>
          </w:p>
        </w:tc>
      </w:tr>
      <w:tr>
        <w:tc>
          <w:tcPr>
            <w:tcW w:type="dxa" w:w="3408"/>
          </w:tcPr>
          <w:p>
            <w:r>
              <w:t>Budget vs actual</w:t>
            </w:r>
          </w:p>
        </w:tc>
        <w:tc>
          <w:tcPr>
            <w:tcW w:type="dxa" w:w="3408"/>
          </w:tcPr>
          <w:p>
            <w:r>
              <w:t>Detect spending/revenue variance.</w:t>
            </w:r>
          </w:p>
        </w:tc>
        <w:tc>
          <w:tcPr>
            <w:tcW w:type="dxa" w:w="3408"/>
          </w:tcPr>
          <w:p>
            <w:r>
              <w:t>Monthly</w:t>
            </w:r>
          </w:p>
        </w:tc>
      </w:tr>
      <w:tr>
        <w:tc>
          <w:tcPr>
            <w:tcW w:type="dxa" w:w="3408"/>
          </w:tcPr>
          <w:p>
            <w:r>
              <w:t>Cash forecast</w:t>
            </w:r>
          </w:p>
        </w:tc>
        <w:tc>
          <w:tcPr>
            <w:tcW w:type="dxa" w:w="3408"/>
          </w:tcPr>
          <w:p>
            <w:r>
              <w:t>Protect liquidity.</w:t>
            </w:r>
          </w:p>
        </w:tc>
        <w:tc>
          <w:tcPr>
            <w:tcW w:type="dxa" w:w="3408"/>
          </w:tcPr>
          <w:p>
            <w:r>
              <w:t>Weekly/monthly</w:t>
            </w:r>
          </w:p>
        </w:tc>
      </w:tr>
      <w:tr>
        <w:tc>
          <w:tcPr>
            <w:tcW w:type="dxa" w:w="3408"/>
          </w:tcPr>
          <w:p>
            <w:r>
              <w:t>Revenue reconciliation</w:t>
            </w:r>
          </w:p>
        </w:tc>
        <w:tc>
          <w:tcPr>
            <w:tcW w:type="dxa" w:w="3408"/>
          </w:tcPr>
          <w:p>
            <w:r>
              <w:t>Ensure reported revenue is supported.</w:t>
            </w:r>
          </w:p>
        </w:tc>
        <w:tc>
          <w:tcPr>
            <w:tcW w:type="dxa" w:w="3408"/>
          </w:tcPr>
          <w:p>
            <w:r>
              <w:t>Monthly</w:t>
            </w:r>
          </w:p>
        </w:tc>
      </w:tr>
      <w:tr>
        <w:tc>
          <w:tcPr>
            <w:tcW w:type="dxa" w:w="3408"/>
          </w:tcPr>
          <w:p>
            <w:r>
              <w:t>Cost-to-serve review</w:t>
            </w:r>
          </w:p>
        </w:tc>
        <w:tc>
          <w:tcPr>
            <w:tcW w:type="dxa" w:w="3408"/>
          </w:tcPr>
          <w:p>
            <w:r>
              <w:t>Protect gross margin.</w:t>
            </w:r>
          </w:p>
        </w:tc>
        <w:tc>
          <w:tcPr>
            <w:tcW w:type="dxa" w:w="3408"/>
          </w:tcPr>
          <w:p>
            <w:r>
              <w:t>Monthly</w:t>
            </w:r>
          </w:p>
        </w:tc>
      </w:tr>
      <w:tr>
        <w:tc>
          <w:tcPr>
            <w:tcW w:type="dxa" w:w="3408"/>
          </w:tcPr>
          <w:p>
            <w:r>
              <w:t>Use-of-funds review</w:t>
            </w:r>
          </w:p>
        </w:tc>
        <w:tc>
          <w:tcPr>
            <w:tcW w:type="dxa" w:w="3408"/>
          </w:tcPr>
          <w:p>
            <w:r>
              <w:t>Ensure capital follows milestones.</w:t>
            </w:r>
          </w:p>
        </w:tc>
        <w:tc>
          <w:tcPr>
            <w:tcW w:type="dxa" w:w="3408"/>
          </w:tcPr>
          <w:p>
            <w:r>
              <w:t>Monthly/quarterly</w:t>
            </w:r>
          </w:p>
        </w:tc>
      </w:tr>
      <w:tr>
        <w:tc>
          <w:tcPr>
            <w:tcW w:type="dxa" w:w="3408"/>
          </w:tcPr>
          <w:p>
            <w:r>
              <w:t>Approval limits</w:t>
            </w:r>
          </w:p>
        </w:tc>
        <w:tc>
          <w:tcPr>
            <w:tcW w:type="dxa" w:w="3408"/>
          </w:tcPr>
          <w:p>
            <w:r>
              <w:t>Control commitments.</w:t>
            </w:r>
          </w:p>
        </w:tc>
        <w:tc>
          <w:tcPr>
            <w:tcW w:type="dxa" w:w="3408"/>
          </w:tcPr>
          <w:p>
            <w:r>
              <w:t>Continuous</w:t>
            </w:r>
          </w:p>
        </w:tc>
      </w:tr>
    </w:tbl>
    <w:p>
      <w:pPr>
        <w:pStyle w:val="Heading1"/>
      </w:pPr>
      <w:r>
        <w:t>20. Customer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Metric / Review</w:t>
            </w:r>
          </w:p>
        </w:tc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Board Question</w:t>
            </w:r>
          </w:p>
        </w:tc>
      </w:tr>
      <w:tr>
        <w:tc>
          <w:tcPr>
            <w:tcW w:type="dxa" w:w="5112"/>
          </w:tcPr>
          <w:p>
            <w:r>
              <w:t>Customer satisfaction/trust</w:t>
            </w:r>
          </w:p>
        </w:tc>
        <w:tc>
          <w:tcPr>
            <w:tcW w:type="dxa" w:w="5112"/>
          </w:tcPr>
          <w:p>
            <w:r>
              <w:t>Are we earning the trust promised by the brand?</w:t>
            </w:r>
          </w:p>
        </w:tc>
      </w:tr>
      <w:tr>
        <w:tc>
          <w:tcPr>
            <w:tcW w:type="dxa" w:w="5112"/>
          </w:tcPr>
          <w:p>
            <w:r>
              <w:t>Complaints/recovery</w:t>
            </w:r>
          </w:p>
        </w:tc>
        <w:tc>
          <w:tcPr>
            <w:tcW w:type="dxa" w:w="5112"/>
          </w:tcPr>
          <w:p>
            <w:r>
              <w:t>Where is the experience breaking?</w:t>
            </w:r>
          </w:p>
        </w:tc>
      </w:tr>
      <w:tr>
        <w:tc>
          <w:tcPr>
            <w:tcW w:type="dxa" w:w="5112"/>
          </w:tcPr>
          <w:p>
            <w:r>
              <w:t>Repeat rate</w:t>
            </w:r>
          </w:p>
        </w:tc>
        <w:tc>
          <w:tcPr>
            <w:tcW w:type="dxa" w:w="5112"/>
          </w:tcPr>
          <w:p>
            <w:r>
              <w:t>Are successful outcomes creating ongoing value?</w:t>
            </w:r>
          </w:p>
        </w:tc>
      </w:tr>
      <w:tr>
        <w:tc>
          <w:tcPr>
            <w:tcW w:type="dxa" w:w="5112"/>
          </w:tcPr>
          <w:p>
            <w:r>
              <w:t>Referral rate</w:t>
            </w:r>
          </w:p>
        </w:tc>
        <w:tc>
          <w:tcPr>
            <w:tcW w:type="dxa" w:w="5112"/>
          </w:tcPr>
          <w:p>
            <w:r>
              <w:t>Are customers advocating for ASOJU?</w:t>
            </w:r>
          </w:p>
        </w:tc>
      </w:tr>
      <w:tr>
        <w:tc>
          <w:tcPr>
            <w:tcW w:type="dxa" w:w="5112"/>
          </w:tcPr>
          <w:p>
            <w:r>
              <w:t>On-time completion</w:t>
            </w:r>
          </w:p>
        </w:tc>
        <w:tc>
          <w:tcPr>
            <w:tcW w:type="dxa" w:w="5112"/>
          </w:tcPr>
          <w:p>
            <w:r>
              <w:t>Can operations reliably deliver?</w:t>
            </w:r>
          </w:p>
        </w:tc>
      </w:tr>
      <w:tr>
        <w:tc>
          <w:tcPr>
            <w:tcW w:type="dxa" w:w="5112"/>
          </w:tcPr>
          <w:p>
            <w:r>
              <w:t>QC/rework</w:t>
            </w:r>
          </w:p>
        </w:tc>
        <w:tc>
          <w:tcPr>
            <w:tcW w:type="dxa" w:w="5112"/>
          </w:tcPr>
          <w:p>
            <w:r>
              <w:t>Where are quality costs increasing?</w:t>
            </w:r>
          </w:p>
        </w:tc>
      </w:tr>
    </w:tbl>
    <w:p>
      <w:pPr>
        <w:pStyle w:val="Heading1"/>
      </w:pPr>
      <w:r>
        <w:t>21. Operations Governance</w:t>
      </w:r>
    </w:p>
    <w:p>
      <w:pPr>
        <w:pStyle w:val="ListBullet"/>
      </w:pPr>
      <w:r>
        <w:t>Monitor throughput and capacity.</w:t>
      </w:r>
    </w:p>
    <w:p>
      <w:pPr>
        <w:pStyle w:val="ListBullet"/>
      </w:pPr>
      <w:r>
        <w:t>Review SLA performance.</w:t>
      </w:r>
    </w:p>
    <w:p>
      <w:pPr>
        <w:pStyle w:val="ListBullet"/>
      </w:pPr>
      <w:r>
        <w:t>Track first-pass quality and rework.</w:t>
      </w:r>
    </w:p>
    <w:p>
      <w:pPr>
        <w:pStyle w:val="ListBullet"/>
      </w:pPr>
      <w:r>
        <w:t>Review representative performance.</w:t>
      </w:r>
    </w:p>
    <w:p>
      <w:pPr>
        <w:pStyle w:val="ListBullet"/>
      </w:pPr>
      <w:r>
        <w:t>Review exceptions and recoveries.</w:t>
      </w:r>
    </w:p>
    <w:p>
      <w:pPr>
        <w:pStyle w:val="ListBullet"/>
      </w:pPr>
      <w:r>
        <w:t>Identify bottlenecks before demand expansion.</w:t>
      </w:r>
    </w:p>
    <w:p>
      <w:pPr>
        <w:pStyle w:val="ListBullet"/>
      </w:pPr>
      <w:r>
        <w:t>Protect the customer promise during growth.</w:t>
      </w:r>
    </w:p>
    <w:p>
      <w:pPr>
        <w:pStyle w:val="Heading1"/>
      </w:pPr>
      <w:r>
        <w:t>22. Strategy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Question</w:t>
            </w:r>
          </w:p>
        </w:tc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Evidence</w:t>
            </w:r>
          </w:p>
        </w:tc>
      </w:tr>
      <w:tr>
        <w:tc>
          <w:tcPr>
            <w:tcW w:type="dxa" w:w="5112"/>
          </w:tcPr>
          <w:p>
            <w:r>
              <w:t>Are we serving the right customer?</w:t>
            </w:r>
          </w:p>
        </w:tc>
        <w:tc>
          <w:tcPr>
            <w:tcW w:type="dxa" w:w="5112"/>
          </w:tcPr>
          <w:p>
            <w:r>
              <w:t>ICP and cohort evidence.</w:t>
            </w:r>
          </w:p>
        </w:tc>
      </w:tr>
      <w:tr>
        <w:tc>
          <w:tcPr>
            <w:tcW w:type="dxa" w:w="5112"/>
          </w:tcPr>
          <w:p>
            <w:r>
              <w:t>Are we solving a valuable problem?</w:t>
            </w:r>
          </w:p>
        </w:tc>
        <w:tc>
          <w:tcPr>
            <w:tcW w:type="dxa" w:w="5112"/>
          </w:tcPr>
          <w:p>
            <w:r>
              <w:t>Customer behavior and payment.</w:t>
            </w:r>
          </w:p>
        </w:tc>
      </w:tr>
      <w:tr>
        <w:tc>
          <w:tcPr>
            <w:tcW w:type="dxa" w:w="5112"/>
          </w:tcPr>
          <w:p>
            <w:r>
              <w:t>Is acquisition repeatable?</w:t>
            </w:r>
          </w:p>
        </w:tc>
        <w:tc>
          <w:tcPr>
            <w:tcW w:type="dxa" w:w="5112"/>
          </w:tcPr>
          <w:p>
            <w:r>
              <w:t>Channel funnel and CAC.</w:t>
            </w:r>
          </w:p>
        </w:tc>
      </w:tr>
      <w:tr>
        <w:tc>
          <w:tcPr>
            <w:tcW w:type="dxa" w:w="5112"/>
          </w:tcPr>
          <w:p>
            <w:r>
              <w:t>Are customers returning/referring?</w:t>
            </w:r>
          </w:p>
        </w:tc>
        <w:tc>
          <w:tcPr>
            <w:tcW w:type="dxa" w:w="5112"/>
          </w:tcPr>
          <w:p>
            <w:r>
              <w:t>Cohort retention/referral.</w:t>
            </w:r>
          </w:p>
        </w:tc>
      </w:tr>
      <w:tr>
        <w:tc>
          <w:tcPr>
            <w:tcW w:type="dxa" w:w="5112"/>
          </w:tcPr>
          <w:p>
            <w:r>
              <w:t>Is delivery scalable?</w:t>
            </w:r>
          </w:p>
        </w:tc>
        <w:tc>
          <w:tcPr>
            <w:tcW w:type="dxa" w:w="5112"/>
          </w:tcPr>
          <w:p>
            <w:r>
              <w:t>Capacity, SOP and quality evidence.</w:t>
            </w:r>
          </w:p>
        </w:tc>
      </w:tr>
      <w:tr>
        <w:tc>
          <w:tcPr>
            <w:tcW w:type="dxa" w:w="5112"/>
          </w:tcPr>
          <w:p>
            <w:r>
              <w:t>Are economics improving?</w:t>
            </w:r>
          </w:p>
        </w:tc>
        <w:tc>
          <w:tcPr>
            <w:tcW w:type="dxa" w:w="5112"/>
          </w:tcPr>
          <w:p>
            <w:r>
              <w:t>Margin and contribution.</w:t>
            </w:r>
          </w:p>
        </w:tc>
      </w:tr>
      <w:tr>
        <w:tc>
          <w:tcPr>
            <w:tcW w:type="dxa" w:w="5112"/>
          </w:tcPr>
          <w:p>
            <w:r>
              <w:t>What should we stop?</w:t>
            </w:r>
          </w:p>
        </w:tc>
        <w:tc>
          <w:tcPr>
            <w:tcW w:type="dxa" w:w="5112"/>
          </w:tcPr>
          <w:p>
            <w:r>
              <w:t>Low-value/low-economics activities.</w:t>
            </w:r>
          </w:p>
        </w:tc>
      </w:tr>
      <w:tr>
        <w:tc>
          <w:tcPr>
            <w:tcW w:type="dxa" w:w="5112"/>
          </w:tcPr>
          <w:p>
            <w:r>
              <w:t>What should we fund?</w:t>
            </w:r>
          </w:p>
        </w:tc>
        <w:tc>
          <w:tcPr>
            <w:tcW w:type="dxa" w:w="5112"/>
          </w:tcPr>
          <w:p>
            <w:r>
              <w:t>Highest-value constraint.</w:t>
            </w:r>
          </w:p>
        </w:tc>
      </w:tr>
    </w:tbl>
    <w:p>
      <w:pPr>
        <w:pStyle w:val="Heading1"/>
      </w:pPr>
      <w:r>
        <w:t>23. Board Decision Memo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Content</w:t>
            </w:r>
          </w:p>
        </w:tc>
      </w:tr>
      <w:tr>
        <w:tc>
          <w:tcPr>
            <w:tcW w:type="dxa" w:w="5112"/>
          </w:tcPr>
          <w:p>
            <w:r>
              <w:t>Decision requested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Why now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Background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Options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Recommendation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Financial impact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Customer impact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Operational impact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Risks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Mitigations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Implementation owner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Decision deadline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24. Board Minutes Standard</w:t>
      </w:r>
    </w:p>
    <w:p>
      <w:pPr>
        <w:pStyle w:val="ListBullet"/>
      </w:pPr>
      <w:r>
        <w:t>Date, time and attendees.</w:t>
      </w:r>
    </w:p>
    <w:p>
      <w:pPr>
        <w:pStyle w:val="ListBullet"/>
      </w:pPr>
      <w:r>
        <w:t>Conflicts/declarations where applicable.</w:t>
      </w:r>
    </w:p>
    <w:p>
      <w:pPr>
        <w:pStyle w:val="ListBullet"/>
      </w:pPr>
      <w:r>
        <w:t>Key discussion points.</w:t>
      </w:r>
    </w:p>
    <w:p>
      <w:pPr>
        <w:pStyle w:val="ListBullet"/>
      </w:pPr>
      <w:r>
        <w:t>Decisions made.</w:t>
      </w:r>
    </w:p>
    <w:p>
      <w:pPr>
        <w:pStyle w:val="ListBullet"/>
      </w:pPr>
      <w:r>
        <w:t>Action owners and due dates.</w:t>
      </w:r>
    </w:p>
    <w:p>
      <w:pPr>
        <w:pStyle w:val="ListBullet"/>
      </w:pPr>
      <w:r>
        <w:t>Material dissent or unresolved issues where appropriate.</w:t>
      </w:r>
    </w:p>
    <w:p>
      <w:pPr>
        <w:pStyle w:val="ListBullet"/>
      </w:pPr>
      <w:r>
        <w:t>Next meeting date.</w:t>
      </w:r>
    </w:p>
    <w:p>
      <w:pPr>
        <w:pStyle w:val="ListBullet"/>
      </w:pPr>
      <w:r>
        <w:t>Approval/sign-off according to applicable governance requirements.</w:t>
      </w:r>
    </w:p>
    <w:p>
      <w:pPr>
        <w:pStyle w:val="Heading1"/>
      </w:pPr>
      <w:r>
        <w:t>25. Board Action Follow-Up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fill="1F4E78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1461"/>
            <w:shd w:fill="1F4E78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1461"/>
            <w:shd w:fill="1F4E78"/>
          </w:tcPr>
          <w:p>
            <w:r>
              <w:rPr>
                <w:b/>
                <w:color w:val="FFFFFF"/>
              </w:rPr>
              <w:t>Original Due</w:t>
            </w:r>
          </w:p>
        </w:tc>
        <w:tc>
          <w:tcPr>
            <w:tcW w:type="dxa" w:w="1461"/>
            <w:shd w:fill="1F4E78"/>
          </w:tcPr>
          <w:p>
            <w:r>
              <w:rPr>
                <w:b/>
                <w:color w:val="FFFFFF"/>
              </w:rPr>
              <w:t>Current Due</w:t>
            </w:r>
          </w:p>
        </w:tc>
        <w:tc>
          <w:tcPr>
            <w:tcW w:type="dxa" w:w="1461"/>
            <w:shd w:fill="1F4E78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1461"/>
            <w:shd w:fill="1F4E78"/>
          </w:tcPr>
          <w:p>
            <w:r>
              <w:rPr>
                <w:b/>
                <w:color w:val="FFFFFF"/>
              </w:rPr>
              <w:t>Escalation</w:t>
            </w:r>
          </w:p>
        </w:tc>
        <w:tc>
          <w:tcPr>
            <w:tcW w:type="dxa" w:w="1461"/>
            <w:shd w:fill="1F4E78"/>
          </w:tcPr>
          <w:p>
            <w:r>
              <w:rPr>
                <w:b/>
                <w:color w:val="FFFFFF"/>
              </w:rPr>
              <w:t>Evidence</w:t>
            </w:r>
          </w:p>
        </w:tc>
      </w:tr>
      <w:tr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</w:tbl>
    <w:p>
      <w:pPr>
        <w:pStyle w:val="Heading1"/>
      </w:pPr>
      <w:r>
        <w:t>26. Management Performance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KPI/Outcome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Target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Actual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Assessment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Next Action</w:t>
            </w:r>
          </w:p>
        </w:tc>
      </w:tr>
      <w:tr>
        <w:tc>
          <w:tcPr>
            <w:tcW w:type="dxa" w:w="1704"/>
          </w:tcPr>
          <w:p>
            <w:r>
              <w:t>Strategy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GTM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CX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Operations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Finance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People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Technology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/>
        </w:tc>
      </w:tr>
    </w:tbl>
    <w:p>
      <w:pPr>
        <w:pStyle w:val="Heading1"/>
      </w:pPr>
      <w:r>
        <w:t>27. Governance Calendar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4E78"/>
          </w:tcPr>
          <w:p>
            <w:r>
              <w:rPr>
                <w:b/>
                <w:color w:val="FFFFFF"/>
              </w:rPr>
              <w:t>Cadence</w:t>
            </w:r>
          </w:p>
        </w:tc>
        <w:tc>
          <w:tcPr>
            <w:tcW w:type="dxa" w:w="2556"/>
            <w:shd w:fill="1F4E78"/>
          </w:tcPr>
          <w:p>
            <w:r>
              <w:rPr>
                <w:b/>
                <w:color w:val="FFFFFF"/>
              </w:rPr>
              <w:t>Meeting</w:t>
            </w:r>
          </w:p>
        </w:tc>
        <w:tc>
          <w:tcPr>
            <w:tcW w:type="dxa" w:w="2556"/>
            <w:shd w:fill="1F4E78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556"/>
            <w:shd w:fill="1F4E78"/>
          </w:tcPr>
          <w:p>
            <w:r>
              <w:rPr>
                <w:b/>
                <w:color w:val="FFFFFF"/>
              </w:rPr>
              <w:t>Core Outputs</w:t>
            </w:r>
          </w:p>
        </w:tc>
      </w:tr>
      <w:tr>
        <w:tc>
          <w:tcPr>
            <w:tcW w:type="dxa" w:w="2556"/>
          </w:tcPr>
          <w:p>
            <w:r>
              <w:t>Weekly</w:t>
            </w:r>
          </w:p>
        </w:tc>
        <w:tc>
          <w:tcPr>
            <w:tcW w:type="dxa" w:w="2556"/>
          </w:tcPr>
          <w:p>
            <w:r>
              <w:t>Operating Review</w:t>
            </w:r>
          </w:p>
        </w:tc>
        <w:tc>
          <w:tcPr>
            <w:tcW w:type="dxa" w:w="2556"/>
          </w:tcPr>
          <w:p>
            <w:r>
              <w:t>Leadership</w:t>
            </w:r>
          </w:p>
        </w:tc>
        <w:tc>
          <w:tcPr>
            <w:tcW w:type="dxa" w:w="2556"/>
          </w:tcPr>
          <w:p>
            <w:r>
              <w:t>KPI scorecard, blockers, actions.</w:t>
            </w:r>
          </w:p>
        </w:tc>
      </w:tr>
      <w:tr>
        <w:tc>
          <w:tcPr>
            <w:tcW w:type="dxa" w:w="2556"/>
          </w:tcPr>
          <w:p>
            <w:r>
              <w:t>Monthly</w:t>
            </w:r>
          </w:p>
        </w:tc>
        <w:tc>
          <w:tcPr>
            <w:tcW w:type="dxa" w:w="2556"/>
          </w:tcPr>
          <w:p>
            <w:r>
              <w:t>Business Review</w:t>
            </w:r>
          </w:p>
        </w:tc>
        <w:tc>
          <w:tcPr>
            <w:tcW w:type="dxa" w:w="2556"/>
          </w:tcPr>
          <w:p>
            <w:r>
              <w:t>Leadership</w:t>
            </w:r>
          </w:p>
        </w:tc>
        <w:tc>
          <w:tcPr>
            <w:tcW w:type="dxa" w:w="2556"/>
          </w:tcPr>
          <w:p>
            <w:r>
              <w:t>Performance, finance, risks, resource decisions.</w:t>
            </w:r>
          </w:p>
        </w:tc>
      </w:tr>
      <w:tr>
        <w:tc>
          <w:tcPr>
            <w:tcW w:type="dxa" w:w="2556"/>
          </w:tcPr>
          <w:p>
            <w:r>
              <w:t>Quarterly</w:t>
            </w:r>
          </w:p>
        </w:tc>
        <w:tc>
          <w:tcPr>
            <w:tcW w:type="dxa" w:w="2556"/>
          </w:tcPr>
          <w:p>
            <w:r>
              <w:t>Board Meeting</w:t>
            </w:r>
          </w:p>
        </w:tc>
        <w:tc>
          <w:tcPr>
            <w:tcW w:type="dxa" w:w="2556"/>
          </w:tcPr>
          <w:p>
            <w:r>
              <w:t>Leadership/Board</w:t>
            </w:r>
          </w:p>
        </w:tc>
        <w:tc>
          <w:tcPr>
            <w:tcW w:type="dxa" w:w="2556"/>
          </w:tcPr>
          <w:p>
            <w:r>
              <w:t>Strategy, oversight, decisions, governance.</w:t>
            </w:r>
          </w:p>
        </w:tc>
      </w:tr>
      <w:tr>
        <w:tc>
          <w:tcPr>
            <w:tcW w:type="dxa" w:w="2556"/>
          </w:tcPr>
          <w:p>
            <w:r>
              <w:t>Quarterly</w:t>
            </w:r>
          </w:p>
        </w:tc>
        <w:tc>
          <w:tcPr>
            <w:tcW w:type="dxa" w:w="2556"/>
          </w:tcPr>
          <w:p>
            <w:r>
              <w:t>Risk Review</w:t>
            </w:r>
          </w:p>
        </w:tc>
        <w:tc>
          <w:tcPr>
            <w:tcW w:type="dxa" w:w="2556"/>
          </w:tcPr>
          <w:p>
            <w:r>
              <w:t>Leadership</w:t>
            </w:r>
          </w:p>
        </w:tc>
        <w:tc>
          <w:tcPr>
            <w:tcW w:type="dxa" w:w="2556"/>
          </w:tcPr>
          <w:p>
            <w:r>
              <w:t>Top risks and controls.</w:t>
            </w:r>
          </w:p>
        </w:tc>
      </w:tr>
      <w:tr>
        <w:tc>
          <w:tcPr>
            <w:tcW w:type="dxa" w:w="2556"/>
          </w:tcPr>
          <w:p>
            <w:r>
              <w:t>Quarterly</w:t>
            </w:r>
          </w:p>
        </w:tc>
        <w:tc>
          <w:tcPr>
            <w:tcW w:type="dxa" w:w="2556"/>
          </w:tcPr>
          <w:p>
            <w:r>
              <w:t>Data Room Review</w:t>
            </w:r>
          </w:p>
        </w:tc>
        <w:tc>
          <w:tcPr>
            <w:tcW w:type="dxa" w:w="2556"/>
          </w:tcPr>
          <w:p>
            <w:r>
              <w:t>Finance/Strategy</w:t>
            </w:r>
          </w:p>
        </w:tc>
        <w:tc>
          <w:tcPr>
            <w:tcW w:type="dxa" w:w="2556"/>
          </w:tcPr>
          <w:p>
            <w:r>
              <w:t>Evidence and document readiness.</w:t>
            </w:r>
          </w:p>
        </w:tc>
      </w:tr>
      <w:tr>
        <w:tc>
          <w:tcPr>
            <w:tcW w:type="dxa" w:w="2556"/>
          </w:tcPr>
          <w:p>
            <w:r>
              <w:t>Annual</w:t>
            </w:r>
          </w:p>
        </w:tc>
        <w:tc>
          <w:tcPr>
            <w:tcW w:type="dxa" w:w="2556"/>
          </w:tcPr>
          <w:p>
            <w:r>
              <w:t>Strategy &amp; Budget</w:t>
            </w:r>
          </w:p>
        </w:tc>
        <w:tc>
          <w:tcPr>
            <w:tcW w:type="dxa" w:w="2556"/>
          </w:tcPr>
          <w:p>
            <w:r>
              <w:t>Leadership/Board</w:t>
            </w:r>
          </w:p>
        </w:tc>
        <w:tc>
          <w:tcPr>
            <w:tcW w:type="dxa" w:w="2556"/>
          </w:tcPr>
          <w:p>
            <w:r>
              <w:t>Annual plan, budget and priorities.</w:t>
            </w:r>
          </w:p>
        </w:tc>
      </w:tr>
    </w:tbl>
    <w:p>
      <w:pPr>
        <w:pStyle w:val="Heading1"/>
      </w:pPr>
      <w:r>
        <w:t>28. Management Reporting Pack — Monthly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Content</w:t>
            </w:r>
          </w:p>
        </w:tc>
      </w:tr>
      <w:tr>
        <w:tc>
          <w:tcPr>
            <w:tcW w:type="dxa" w:w="5112"/>
          </w:tcPr>
          <w:p>
            <w:r>
              <w:t>1</w:t>
            </w:r>
          </w:p>
        </w:tc>
        <w:tc>
          <w:tcPr>
            <w:tcW w:type="dxa" w:w="5112"/>
          </w:tcPr>
          <w:p>
            <w:r>
              <w:t>Executive summary.</w:t>
            </w:r>
          </w:p>
        </w:tc>
      </w:tr>
      <w:tr>
        <w:tc>
          <w:tcPr>
            <w:tcW w:type="dxa" w:w="5112"/>
          </w:tcPr>
          <w:p>
            <w:r>
              <w:t>2</w:t>
            </w:r>
          </w:p>
        </w:tc>
        <w:tc>
          <w:tcPr>
            <w:tcW w:type="dxa" w:w="5112"/>
          </w:tcPr>
          <w:p>
            <w:r>
              <w:t>KPI dashboard.</w:t>
            </w:r>
          </w:p>
        </w:tc>
      </w:tr>
      <w:tr>
        <w:tc>
          <w:tcPr>
            <w:tcW w:type="dxa" w:w="5112"/>
          </w:tcPr>
          <w:p>
            <w:r>
              <w:t>3</w:t>
            </w:r>
          </w:p>
        </w:tc>
        <w:tc>
          <w:tcPr>
            <w:tcW w:type="dxa" w:w="5112"/>
          </w:tcPr>
          <w:p>
            <w:r>
              <w:t>Financial performance.</w:t>
            </w:r>
          </w:p>
        </w:tc>
      </w:tr>
      <w:tr>
        <w:tc>
          <w:tcPr>
            <w:tcW w:type="dxa" w:w="5112"/>
          </w:tcPr>
          <w:p>
            <w:r>
              <w:t>4</w:t>
            </w:r>
          </w:p>
        </w:tc>
        <w:tc>
          <w:tcPr>
            <w:tcW w:type="dxa" w:w="5112"/>
          </w:tcPr>
          <w:p>
            <w:r>
              <w:t>Cash/runway.</w:t>
            </w:r>
          </w:p>
        </w:tc>
      </w:tr>
      <w:tr>
        <w:tc>
          <w:tcPr>
            <w:tcW w:type="dxa" w:w="5112"/>
          </w:tcPr>
          <w:p>
            <w:r>
              <w:t>5</w:t>
            </w:r>
          </w:p>
        </w:tc>
        <w:tc>
          <w:tcPr>
            <w:tcW w:type="dxa" w:w="5112"/>
          </w:tcPr>
          <w:p>
            <w:r>
              <w:t>Customer/CX.</w:t>
            </w:r>
          </w:p>
        </w:tc>
      </w:tr>
      <w:tr>
        <w:tc>
          <w:tcPr>
            <w:tcW w:type="dxa" w:w="5112"/>
          </w:tcPr>
          <w:p>
            <w:r>
              <w:t>6</w:t>
            </w:r>
          </w:p>
        </w:tc>
        <w:tc>
          <w:tcPr>
            <w:tcW w:type="dxa" w:w="5112"/>
          </w:tcPr>
          <w:p>
            <w:r>
              <w:t>GTM/sales.</w:t>
            </w:r>
          </w:p>
        </w:tc>
      </w:tr>
      <w:tr>
        <w:tc>
          <w:tcPr>
            <w:tcW w:type="dxa" w:w="5112"/>
          </w:tcPr>
          <w:p>
            <w:r>
              <w:t>7</w:t>
            </w:r>
          </w:p>
        </w:tc>
        <w:tc>
          <w:tcPr>
            <w:tcW w:type="dxa" w:w="5112"/>
          </w:tcPr>
          <w:p>
            <w:r>
              <w:t>Operations/quality.</w:t>
            </w:r>
          </w:p>
        </w:tc>
      </w:tr>
      <w:tr>
        <w:tc>
          <w:tcPr>
            <w:tcW w:type="dxa" w:w="5112"/>
          </w:tcPr>
          <w:p>
            <w:r>
              <w:t>8</w:t>
            </w:r>
          </w:p>
        </w:tc>
        <w:tc>
          <w:tcPr>
            <w:tcW w:type="dxa" w:w="5112"/>
          </w:tcPr>
          <w:p>
            <w:r>
              <w:t>People.</w:t>
            </w:r>
          </w:p>
        </w:tc>
      </w:tr>
      <w:tr>
        <w:tc>
          <w:tcPr>
            <w:tcW w:type="dxa" w:w="5112"/>
          </w:tcPr>
          <w:p>
            <w:r>
              <w:t>9</w:t>
            </w:r>
          </w:p>
        </w:tc>
        <w:tc>
          <w:tcPr>
            <w:tcW w:type="dxa" w:w="5112"/>
          </w:tcPr>
          <w:p>
            <w:r>
              <w:t>Risk.</w:t>
            </w:r>
          </w:p>
        </w:tc>
      </w:tr>
      <w:tr>
        <w:tc>
          <w:tcPr>
            <w:tcW w:type="dxa" w:w="5112"/>
          </w:tcPr>
          <w:p>
            <w:r>
              <w:t>10</w:t>
            </w:r>
          </w:p>
        </w:tc>
        <w:tc>
          <w:tcPr>
            <w:tcW w:type="dxa" w:w="5112"/>
          </w:tcPr>
          <w:p>
            <w:r>
              <w:t>Strategic priorities and action register.</w:t>
            </w:r>
          </w:p>
        </w:tc>
      </w:tr>
    </w:tbl>
    <w:p>
      <w:pPr>
        <w:pStyle w:val="Heading1"/>
      </w:pPr>
      <w:r>
        <w:t>29. Governance Red Flags</w:t>
      </w:r>
    </w:p>
    <w:p>
      <w:pPr>
        <w:pStyle w:val="ListBullet"/>
      </w:pPr>
      <w:r>
        <w:t>Numbers change without explanation.</w:t>
      </w:r>
    </w:p>
    <w:p>
      <w:pPr>
        <w:pStyle w:val="ListBullet"/>
      </w:pPr>
      <w:r>
        <w:t>No single owner for key KPIs.</w:t>
      </w:r>
    </w:p>
    <w:p>
      <w:pPr>
        <w:pStyle w:val="ListBullet"/>
      </w:pPr>
      <w:r>
        <w:t>Recurring red issues remain unresolved.</w:t>
      </w:r>
    </w:p>
    <w:p>
      <w:pPr>
        <w:pStyle w:val="ListBullet"/>
      </w:pPr>
      <w:r>
        <w:t>Board receives information too late to act.</w:t>
      </w:r>
    </w:p>
    <w:p>
      <w:pPr>
        <w:pStyle w:val="ListBullet"/>
      </w:pPr>
      <w:r>
        <w:t>Decisions are made without recorded rationale.</w:t>
      </w:r>
    </w:p>
    <w:p>
      <w:pPr>
        <w:pStyle w:val="ListBullet"/>
      </w:pPr>
      <w:r>
        <w:t>Material risks are discussed informally but not logged.</w:t>
      </w:r>
    </w:p>
    <w:p>
      <w:pPr>
        <w:pStyle w:val="ListBullet"/>
      </w:pPr>
      <w:r>
        <w:t>Cash commitments are made without forecast visibility.</w:t>
      </w:r>
    </w:p>
    <w:p>
      <w:pPr>
        <w:pStyle w:val="ListBullet"/>
      </w:pPr>
      <w:r>
        <w:t>Customer quality declines while growth is prioritized.</w:t>
      </w:r>
    </w:p>
    <w:p>
      <w:pPr>
        <w:pStyle w:val="ListBullet"/>
      </w:pPr>
      <w:r>
        <w:t>Management reports activity instead of outcomes.</w:t>
      </w:r>
    </w:p>
    <w:p>
      <w:pPr>
        <w:pStyle w:val="Heading1"/>
      </w:pPr>
      <w:r>
        <w:t>30. Governance Maturity Stages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Stage</w:t>
            </w:r>
          </w:p>
        </w:tc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Standard</w:t>
            </w:r>
          </w:p>
        </w:tc>
      </w:tr>
      <w:tr>
        <w:tc>
          <w:tcPr>
            <w:tcW w:type="dxa" w:w="5112"/>
          </w:tcPr>
          <w:p>
            <w:r>
              <w:t>1 — Basic</w:t>
            </w:r>
          </w:p>
        </w:tc>
        <w:tc>
          <w:tcPr>
            <w:tcW w:type="dxa" w:w="5112"/>
          </w:tcPr>
          <w:p>
            <w:r>
              <w:t>Meetings and decisions documented.</w:t>
            </w:r>
          </w:p>
        </w:tc>
      </w:tr>
      <w:tr>
        <w:tc>
          <w:tcPr>
            <w:tcW w:type="dxa" w:w="5112"/>
          </w:tcPr>
          <w:p>
            <w:r>
              <w:t>2 — Controlled</w:t>
            </w:r>
          </w:p>
        </w:tc>
        <w:tc>
          <w:tcPr>
            <w:tcW w:type="dxa" w:w="5112"/>
          </w:tcPr>
          <w:p>
            <w:r>
              <w:t>KPIs, owners, actions and risk register established.</w:t>
            </w:r>
          </w:p>
        </w:tc>
      </w:tr>
      <w:tr>
        <w:tc>
          <w:tcPr>
            <w:tcW w:type="dxa" w:w="5112"/>
          </w:tcPr>
          <w:p>
            <w:r>
              <w:t>3 — Managed</w:t>
            </w:r>
          </w:p>
        </w:tc>
        <w:tc>
          <w:tcPr>
            <w:tcW w:type="dxa" w:w="5112"/>
          </w:tcPr>
          <w:p>
            <w:r>
              <w:t>Monthly/quarterly reporting drives resource and strategic decisions.</w:t>
            </w:r>
          </w:p>
        </w:tc>
      </w:tr>
      <w:tr>
        <w:tc>
          <w:tcPr>
            <w:tcW w:type="dxa" w:w="5112"/>
          </w:tcPr>
          <w:p>
            <w:r>
              <w:t>4 — Scalable</w:t>
            </w:r>
          </w:p>
        </w:tc>
        <w:tc>
          <w:tcPr>
            <w:tcW w:type="dxa" w:w="5112"/>
          </w:tcPr>
          <w:p>
            <w:r>
              <w:t>Reliable data, delegation, controls and board oversight support growth.</w:t>
            </w:r>
          </w:p>
        </w:tc>
      </w:tr>
    </w:tbl>
    <w:p>
      <w:pPr>
        <w:pStyle w:val="Heading1"/>
      </w:pPr>
      <w:r>
        <w:t>31. 30-Day Governance Setup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Week</w:t>
            </w:r>
          </w:p>
        </w:tc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Deliverables</w:t>
            </w:r>
          </w:p>
        </w:tc>
      </w:tr>
      <w:tr>
        <w:tc>
          <w:tcPr>
            <w:tcW w:type="dxa" w:w="5112"/>
          </w:tcPr>
          <w:p>
            <w:r>
              <w:t>1</w:t>
            </w:r>
          </w:p>
        </w:tc>
        <w:tc>
          <w:tcPr>
            <w:tcW w:type="dxa" w:w="5112"/>
          </w:tcPr>
          <w:p>
            <w:r>
              <w:t>Confirm governance roles, KPI owners and meeting calendar.</w:t>
            </w:r>
          </w:p>
        </w:tc>
      </w:tr>
      <w:tr>
        <w:tc>
          <w:tcPr>
            <w:tcW w:type="dxa" w:w="5112"/>
          </w:tcPr>
          <w:p>
            <w:r>
              <w:t>2</w:t>
            </w:r>
          </w:p>
        </w:tc>
        <w:tc>
          <w:tcPr>
            <w:tcW w:type="dxa" w:w="5112"/>
          </w:tcPr>
          <w:p>
            <w:r>
              <w:t>Launch executive dashboard, action register and decision log.</w:t>
            </w:r>
          </w:p>
        </w:tc>
      </w:tr>
      <w:tr>
        <w:tc>
          <w:tcPr>
            <w:tcW w:type="dxa" w:w="5112"/>
          </w:tcPr>
          <w:p>
            <w:r>
              <w:t>3</w:t>
            </w:r>
          </w:p>
        </w:tc>
        <w:tc>
          <w:tcPr>
            <w:tcW w:type="dxa" w:w="5112"/>
          </w:tcPr>
          <w:p>
            <w:r>
              <w:t>Run first weekly/monthly review using the standard pack.</w:t>
            </w:r>
          </w:p>
        </w:tc>
      </w:tr>
      <w:tr>
        <w:tc>
          <w:tcPr>
            <w:tcW w:type="dxa" w:w="5112"/>
          </w:tcPr>
          <w:p>
            <w:r>
              <w:t>4</w:t>
            </w:r>
          </w:p>
        </w:tc>
        <w:tc>
          <w:tcPr>
            <w:tcW w:type="dxa" w:w="5112"/>
          </w:tcPr>
          <w:p>
            <w:r>
              <w:t>Run governance dry run and close reporting/control gaps.</w:t>
            </w:r>
          </w:p>
        </w:tc>
      </w:tr>
    </w:tbl>
    <w:p>
      <w:pPr>
        <w:pStyle w:val="Heading1"/>
      </w:pPr>
      <w:r>
        <w:t>32. 90-Day Governance Maturity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Period</w:t>
            </w:r>
          </w:p>
        </w:tc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Outcome</w:t>
            </w:r>
          </w:p>
        </w:tc>
      </w:tr>
      <w:tr>
        <w:tc>
          <w:tcPr>
            <w:tcW w:type="dxa" w:w="5112"/>
          </w:tcPr>
          <w:p>
            <w:r>
              <w:t>Days 1–30</w:t>
            </w:r>
          </w:p>
        </w:tc>
        <w:tc>
          <w:tcPr>
            <w:tcW w:type="dxa" w:w="5112"/>
          </w:tcPr>
          <w:p>
            <w:r>
              <w:t>Baseline governance system operational.</w:t>
            </w:r>
          </w:p>
        </w:tc>
      </w:tr>
      <w:tr>
        <w:tc>
          <w:tcPr>
            <w:tcW w:type="dxa" w:w="5112"/>
          </w:tcPr>
          <w:p>
            <w:r>
              <w:t>Days 31–60</w:t>
            </w:r>
          </w:p>
        </w:tc>
        <w:tc>
          <w:tcPr>
            <w:tcW w:type="dxa" w:w="5112"/>
          </w:tcPr>
          <w:p>
            <w:r>
              <w:t>KPI definitions, reporting cadence and decision discipline stabilized.</w:t>
            </w:r>
          </w:p>
        </w:tc>
      </w:tr>
      <w:tr>
        <w:tc>
          <w:tcPr>
            <w:tcW w:type="dxa" w:w="5112"/>
          </w:tcPr>
          <w:p>
            <w:r>
              <w:t>Days 61–90</w:t>
            </w:r>
          </w:p>
        </w:tc>
        <w:tc>
          <w:tcPr>
            <w:tcW w:type="dxa" w:w="5112"/>
          </w:tcPr>
          <w:p>
            <w:r>
              <w:t>Board reporting, risk escalation and resource allocation fully integrated.</w:t>
            </w:r>
          </w:p>
        </w:tc>
      </w:tr>
    </w:tbl>
    <w:p>
      <w:pPr>
        <w:pStyle w:val="Heading1"/>
      </w:pPr>
      <w:r>
        <w:t>33. Governance Readiness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  <w:t>Evidence</w:t>
            </w:r>
          </w:p>
        </w:tc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  <w:t>Gap</w:t>
            </w:r>
          </w:p>
        </w:tc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  <w:t>Owner</w:t>
            </w:r>
          </w:p>
        </w:tc>
      </w:tr>
      <w:tr>
        <w:tc>
          <w:tcPr>
            <w:tcW w:type="dxa" w:w="2045"/>
          </w:tcPr>
          <w:p>
            <w:r>
              <w:t>Board calendar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KPI definitions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Executive dashboard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Action register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Decision log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Risk register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Financial controls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Customer governance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Operations governance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Data room governance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</w:tbl>
    <w:p>
      <w:pPr>
        <w:pStyle w:val="Heading1"/>
      </w:pPr>
      <w:r>
        <w:t>34. Final Governance Principle</w:t>
      </w:r>
    </w:p>
    <w:p>
      <w:r>
        <w:rPr>
          <w:b/>
        </w:rPr>
        <w:t>Good governance should create visibility without bureaucracy: the right information reaches the right decision-maker early enough to make the right decision.</w:t>
      </w:r>
    </w:p>
    <w:p>
      <w:pPr>
        <w:pStyle w:val="Heading1"/>
      </w:pPr>
      <w:r>
        <w:t>35. Governance</w:t>
      </w:r>
    </w:p>
    <w:p>
      <w:r>
        <w:rPr>
          <w:b w:val="0"/>
        </w:rPr>
        <w:t>Document owner: ASOJU Leadership / Strategy / Finance.</w:t>
      </w:r>
    </w:p>
    <w:p>
      <w:r>
        <w:rPr>
          <w:b w:val="0"/>
        </w:rPr>
        <w:t>Version: 1.0 | Governance, KPI Reporting, Decisions &amp; Accountability.</w:t>
      </w:r>
    </w:p>
    <w:p>
      <w:r>
        <w:rPr>
          <w:b w:val="0"/>
        </w:rPr>
        <w:t>Use with the ASOJU Master Operating Plan, Board/Investor Readiness Playbook, Investor Pitch Narrative, Financial Model, Data Room Checklist and functional operating playbooks.</w:t>
      </w:r>
    </w:p>
    <w:p>
      <w:r>
        <w:rPr>
          <w:b w:val="0"/>
        </w:rPr>
        <w:t>Formal legal/governance requirements should be reviewed against ASOJU's actual corporate structure and jurisdiction with appropriate professional advisers.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Internal Working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ASOJU | Board Governance &amp; Management Reporting Playbook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