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BRAND LAUNCH</w:t>
        <w:br/>
        <w:t>CAMPAIGN</w:t>
      </w:r>
    </w:p>
    <w:p>
      <w:pPr>
        <w:jc w:val="center"/>
      </w:pPr>
      <w:r>
        <w:rPr>
          <w:b/>
        </w:rPr>
        <w:t>Version 1.0 | Launch Creative &amp; Activation Plan</w:t>
      </w:r>
    </w:p>
    <w:p>
      <w:r>
        <w:rPr>
          <w:b w:val="0"/>
        </w:rPr>
        <w:t>Brand: ASOJU</w:t>
      </w:r>
    </w:p>
    <w:p>
      <w:r>
        <w:rPr>
          <w:b w:val="0"/>
        </w:rPr>
        <w:t>Master tagline: Your Trusted Rep Back Home.</w:t>
      </w:r>
    </w:p>
    <w:p>
      <w:r>
        <w:rPr>
          <w:b w:val="0"/>
        </w:rPr>
        <w:t>Campaign platform: Be There, Even When You Can't Be There.</w:t>
      </w:r>
    </w:p>
    <w:p>
      <w:r>
        <w:rPr>
          <w:b w:val="0"/>
        </w:rPr>
        <w:t>Campaign objective: introduce ASOJU as the trusted diaspora representation platform for people abroad who need important family, property, administrative or personal matters handled in Nigeria.</w:t>
      </w:r>
    </w:p>
    <w:p>
      <w:pPr>
        <w:pStyle w:val="Heading1"/>
      </w:pPr>
      <w:r>
        <w:t>1. Executive Campaign Idea</w:t>
      </w:r>
    </w:p>
    <w:p>
      <w:r>
        <w:rPr>
          <w:b/>
        </w:rPr>
        <w:t>ASOJU exists for the gap between caring from abroad and being physically present at home.</w:t>
      </w:r>
    </w:p>
    <w:p>
      <w:r>
        <w:rPr>
          <w:b w:val="0"/>
        </w:rPr>
        <w:t>The launch campaign makes that gap emotionally visible, then introduces ASOJU as the trusted representation layer that helps close it.</w:t>
      </w:r>
    </w:p>
    <w:p>
      <w:r>
        <w:rPr>
          <w:b w:val="0"/>
        </w:rPr>
        <w:t>The campaign should leave the audience with one simple memory:</w:t>
      </w:r>
    </w:p>
    <w:p>
      <w:r>
        <w:rPr>
          <w:b/>
        </w:rPr>
        <w:t>“When I cannot be there myself, ASOJU can be my trusted rep back home.”</w:t>
      </w:r>
    </w:p>
    <w:p>
      <w:pPr>
        <w:pStyle w:val="Heading1"/>
      </w:pPr>
      <w:r>
        <w:t>2. Campaign Platform</w:t>
      </w:r>
    </w:p>
    <w:p>
      <w:r>
        <w:rPr>
          <w:b/>
        </w:rPr>
        <w:t>BE THERE, EVEN WHEN YOU CAN'T BE THERE.</w:t>
      </w:r>
    </w:p>
    <w:p>
      <w:r>
        <w:rPr>
          <w:b w:val="0"/>
        </w:rPr>
        <w:t>This is the campaign platform. It does not replace the master brand tagline.</w:t>
      </w:r>
    </w:p>
    <w:p>
      <w:r>
        <w:rPr>
          <w:b w:val="0"/>
        </w:rPr>
        <w:t>Brand sign-off: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3. Campaign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Success Signal</w:t>
            </w:r>
          </w:p>
        </w:tc>
      </w:tr>
      <w:tr>
        <w:tc>
          <w:tcPr>
            <w:tcW w:type="dxa" w:w="5112"/>
          </w:tcPr>
          <w:p>
            <w:r>
              <w:t>Category creation</w:t>
            </w:r>
          </w:p>
        </w:tc>
        <w:tc>
          <w:tcPr>
            <w:tcW w:type="dxa" w:w="5112"/>
          </w:tcPr>
          <w:p>
            <w:r>
              <w:t>Audience understands ASOJU as trusted representation, not merely errands.</w:t>
            </w:r>
          </w:p>
        </w:tc>
      </w:tr>
      <w:tr>
        <w:tc>
          <w:tcPr>
            <w:tcW w:type="dxa" w:w="5112"/>
          </w:tcPr>
          <w:p>
            <w:r>
              <w:t>Awareness</w:t>
            </w:r>
          </w:p>
        </w:tc>
        <w:tc>
          <w:tcPr>
            <w:tcW w:type="dxa" w:w="5112"/>
          </w:tcPr>
          <w:p>
            <w:r>
              <w:t>Target diaspora audience recognizes ASOJU.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Prospects understand accountability, scope, updates and evidence.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Qualified customers start requests.</w:t>
            </w:r>
          </w:p>
        </w:tc>
      </w:tr>
      <w:tr>
        <w:tc>
          <w:tcPr>
            <w:tcW w:type="dxa" w:w="5112"/>
          </w:tcPr>
          <w:p>
            <w:r>
              <w:t>Community</w:t>
            </w:r>
          </w:p>
        </w:tc>
        <w:tc>
          <w:tcPr>
            <w:tcW w:type="dxa" w:w="5112"/>
          </w:tcPr>
          <w:p>
            <w:r>
              <w:t>Diaspora communities engage and share.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Early customers introduce others.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Campaign identifies strongest segment/message/use case.</w:t>
            </w:r>
          </w:p>
        </w:tc>
      </w:tr>
    </w:tbl>
    <w:p>
      <w:pPr>
        <w:pStyle w:val="Heading1"/>
      </w:pPr>
      <w:r>
        <w:t>4. Primary Audience</w:t>
      </w:r>
    </w:p>
    <w:p>
      <w:r>
        <w:rPr>
          <w:b w:val="0"/>
        </w:rPr>
        <w:t>People living outside Nigeria who maintain meaningful responsibilities in Nigeria and need dependable local representation.</w:t>
      </w:r>
    </w:p>
    <w:p>
      <w:r>
        <w:rPr>
          <w:b w:val="0"/>
        </w:rPr>
        <w:t>Priority launch audiences:</w:t>
      </w:r>
    </w:p>
    <w:p>
      <w:pPr>
        <w:pStyle w:val="ListBullet"/>
      </w:pPr>
      <w:r>
        <w:t>Family supporters.</w:t>
      </w:r>
    </w:p>
    <w:p>
      <w:pPr>
        <w:pStyle w:val="ListBullet"/>
      </w:pPr>
      <w:r>
        <w:t>Property/asset owners.</w:t>
      </w:r>
    </w:p>
    <w:p>
      <w:pPr>
        <w:pStyle w:val="ListBullet"/>
      </w:pPr>
      <w:r>
        <w:t>Busy diaspora professionals.</w:t>
      </w:r>
    </w:p>
    <w:p>
      <w:pPr>
        <w:pStyle w:val="ListBullet"/>
      </w:pPr>
      <w:r>
        <w:t>Cautious delegators who value proof.</w:t>
      </w:r>
    </w:p>
    <w:p>
      <w:pPr>
        <w:pStyle w:val="ListBullet"/>
      </w:pPr>
      <w:r>
        <w:t>Customers with important/high-stakes matters requiring trusted local support.</w:t>
      </w:r>
    </w:p>
    <w:p>
      <w:pPr>
        <w:pStyle w:val="Heading1"/>
      </w:pPr>
      <w:r>
        <w:t>5. Customer Insight</w:t>
      </w:r>
    </w:p>
    <w:p>
      <w:r>
        <w:rPr>
          <w:b/>
        </w:rPr>
        <w:t>“I may live abroad, but the people and responsibilities that matter to me are still back home. I want to show up—but I cannot always be physically there.”</w:t>
      </w:r>
    </w:p>
    <w:p>
      <w:pPr>
        <w:pStyle w:val="Heading1"/>
      </w:pPr>
      <w:r>
        <w:t>6. Human Tension</w:t>
      </w:r>
    </w:p>
    <w:p>
      <w:r>
        <w:rPr>
          <w:b/>
        </w:rPr>
        <w:t>CARE → DISTANCE → UNCERTAINTY → NEED FOR TRUST → REPRESENTATION → CONFIDENCE</w:t>
      </w:r>
    </w:p>
    <w:p>
      <w:r>
        <w:rPr>
          <w:b w:val="0"/>
        </w:rPr>
        <w:t>The creative should make the tension recognizable without using guilt, fear or negative stereotypes about Nigeria.</w:t>
      </w:r>
    </w:p>
    <w:p>
      <w:pPr>
        <w:pStyle w:val="Heading1"/>
      </w:pPr>
      <w:r>
        <w:t>7. Master Campaign Message</w:t>
      </w:r>
    </w:p>
    <w:p>
      <w:r>
        <w:rPr>
          <w:b/>
        </w:rPr>
        <w:t>You may be far away, but you can still show up for what matters. ASOJU gives you a trusted rep back home in Nigeria—with clear scope, accountable support, updates and evidence-backed outcomes.</w:t>
      </w:r>
    </w:p>
    <w:p>
      <w:pPr>
        <w:pStyle w:val="Heading1"/>
      </w:pPr>
      <w:r>
        <w:t>8. Supporting Messages</w:t>
      </w:r>
    </w:p>
    <w:p>
      <w:pPr>
        <w:pStyle w:val="ListBullet"/>
      </w:pPr>
      <w:r>
        <w:t>Be there for the people who matter.</w:t>
      </w:r>
    </w:p>
    <w:p>
      <w:pPr>
        <w:pStyle w:val="ListBullet"/>
      </w:pPr>
      <w:r>
        <w:t>Be there for the property.</w:t>
      </w:r>
    </w:p>
    <w:p>
      <w:pPr>
        <w:pStyle w:val="ListBullet"/>
      </w:pPr>
      <w:r>
        <w:t>Be there for the paperwork.</w:t>
      </w:r>
    </w:p>
    <w:p>
      <w:pPr>
        <w:pStyle w:val="ListBullet"/>
      </w:pPr>
      <w:r>
        <w:t>Be there for the important appointment.</w:t>
      </w:r>
    </w:p>
    <w:p>
      <w:pPr>
        <w:pStyle w:val="ListBullet"/>
      </w:pPr>
      <w:r>
        <w:t>Be there for what needs checking.</w:t>
      </w:r>
    </w:p>
    <w:p>
      <w:pPr>
        <w:pStyle w:val="ListBullet"/>
      </w:pPr>
      <w:r>
        <w:t>Be there for what cannot wait.</w:t>
      </w:r>
    </w:p>
    <w:p>
      <w:pPr>
        <w:pStyle w:val="ListBullet"/>
      </w:pPr>
      <w:r>
        <w:t>Be there—even from abroad.</w:t>
      </w:r>
    </w:p>
    <w:p>
      <w:pPr>
        <w:pStyle w:val="Heading1"/>
      </w:pPr>
      <w:r>
        <w:t>9. Creative Route A — BE THERE</w:t>
      </w:r>
    </w:p>
    <w:p>
      <w:r>
        <w:rPr>
          <w:b w:val="0"/>
        </w:rPr>
        <w:t>Core idea: show moments where physical presence matters, then reveal that representation can bridge the distance.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Scene</w:t>
            </w:r>
          </w:p>
        </w:tc>
        <w:tc>
          <w:tcPr>
            <w:tcW w:type="dxa" w:w="5112"/>
          </w:tcPr>
          <w:p>
            <w:r>
              <w:t>Creative Direction</w:t>
            </w:r>
          </w:p>
        </w:tc>
      </w:tr>
      <w:tr>
        <w:tc>
          <w:tcPr>
            <w:tcW w:type="dxa" w:w="5112"/>
          </w:tcPr>
          <w:p>
            <w:r>
              <w:t>Family</w:t>
            </w:r>
          </w:p>
        </w:tc>
        <w:tc>
          <w:tcPr>
            <w:tcW w:type="dxa" w:w="5112"/>
          </w:tcPr>
          <w:p>
            <w:r>
              <w:t>Diaspora customer receives a call about something important at home.</w:t>
            </w:r>
          </w:p>
        </w:tc>
      </w:tr>
      <w:tr>
        <w:tc>
          <w:tcPr>
            <w:tcW w:type="dxa" w:w="5112"/>
          </w:tcPr>
          <w:p>
            <w:r>
              <w:t>Property</w:t>
            </w:r>
          </w:p>
        </w:tc>
        <w:tc>
          <w:tcPr>
            <w:tcW w:type="dxa" w:w="5112"/>
          </w:tcPr>
          <w:p>
            <w:r>
              <w:t>Customer looks at a property remotely and needs someone accountable on the ground.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Important paperwork needs local handling.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Customer needs someone to check what is actually happening.</w:t>
            </w:r>
          </w:p>
        </w:tc>
      </w:tr>
      <w:tr>
        <w:tc>
          <w:tcPr>
            <w:tcW w:type="dxa" w:w="5112"/>
          </w:tcPr>
          <w:p>
            <w:r>
              <w:t>Reveal</w:t>
            </w:r>
          </w:p>
        </w:tc>
        <w:tc>
          <w:tcPr>
            <w:tcW w:type="dxa" w:w="5112"/>
          </w:tcPr>
          <w:p>
            <w:r>
              <w:t>ASOJU becomes the trusted rep back home.</w:t>
            </w:r>
          </w:p>
        </w:tc>
      </w:tr>
    </w:tbl>
    <w:p>
      <w:pPr>
        <w:pStyle w:val="Heading1"/>
      </w:pPr>
      <w:r>
        <w:t>10. Creative Route B — SOMEONE'S THERE</w:t>
      </w:r>
    </w:p>
    <w:p>
      <w:r>
        <w:rPr>
          <w:b w:val="0"/>
        </w:rPr>
        <w:t>Core idea: the customer cannot be everywhere, but someone accountable can be there.</w:t>
      </w:r>
    </w:p>
    <w:p>
      <w:r>
        <w:rPr>
          <w:b w:val="0"/>
        </w:rPr>
        <w:t>Visual treatment: diaspora customer on one side; local representative/support action on the other.</w:t>
      </w:r>
    </w:p>
    <w:p>
      <w:r>
        <w:rPr>
          <w:b w:val="0"/>
        </w:rPr>
        <w:t>Closing:</w:t>
      </w:r>
    </w:p>
    <w:p>
      <w:r>
        <w:rPr>
          <w:b w:val="0"/>
        </w:rPr>
        <w:t>“You can't be everywhere. That's why you need a trusted rep back home.”</w:t>
      </w:r>
    </w:p>
    <w:p>
      <w:pPr>
        <w:pStyle w:val="Heading1"/>
      </w:pPr>
      <w:r>
        <w:t>11. Creative Route C — KNOW WHAT HAPPENED</w:t>
      </w:r>
    </w:p>
    <w:p>
      <w:r>
        <w:rPr>
          <w:b w:val="0"/>
        </w:rPr>
        <w:t>Core idea: the pain isn't only getting something done. It is knowing whether it was actually done.</w:t>
      </w:r>
    </w:p>
    <w:p>
      <w:pPr>
        <w:pStyle w:val="ListBullet"/>
      </w:pPr>
      <w:r>
        <w:t>Show uncertainty.</w:t>
      </w:r>
    </w:p>
    <w:p>
      <w:pPr>
        <w:pStyle w:val="ListBullet"/>
      </w:pPr>
      <w:r>
        <w:t>Show the need for accountability.</w:t>
      </w:r>
    </w:p>
    <w:p>
      <w:pPr>
        <w:pStyle w:val="ListBullet"/>
      </w:pPr>
      <w:r>
        <w:t>Show evidence.</w:t>
      </w:r>
    </w:p>
    <w:p>
      <w:pPr>
        <w:pStyle w:val="ListBullet"/>
      </w:pPr>
      <w:r>
        <w:t>Show confirmed outcome.</w:t>
      </w:r>
    </w:p>
    <w:p>
      <w:pPr>
        <w:pStyle w:val="ListBullet"/>
      </w:pPr>
      <w:r>
        <w:t>End with ASOJU.</w:t>
      </w:r>
    </w:p>
    <w:p>
      <w:r>
        <w:rPr>
          <w:b w:val="0"/>
        </w:rPr>
        <w:t>Closing:</w:t>
      </w:r>
    </w:p>
    <w:p>
      <w:r>
        <w:rPr>
          <w:b w:val="0"/>
        </w:rPr>
        <w:t>“Don't just hear what happened. Know what happened.”</w:t>
      </w:r>
    </w:p>
    <w:p>
      <w:pPr>
        <w:pStyle w:val="Heading1"/>
      </w:pPr>
      <w:r>
        <w:t>12. Recommended Launch Route</w:t>
      </w:r>
    </w:p>
    <w:p>
      <w:r>
        <w:rPr>
          <w:b/>
        </w:rPr>
        <w:t>Lead with Route A — BE THERE — as the emotional campaign platform.</w:t>
      </w:r>
    </w:p>
    <w:p>
      <w:r>
        <w:rPr>
          <w:b w:val="0"/>
        </w:rPr>
        <w:t>Use Routes B and C as supporting creative territories for trust and proof.</w:t>
      </w:r>
    </w:p>
    <w:p>
      <w:r>
        <w:rPr>
          <w:b w:val="0"/>
        </w:rPr>
        <w:t>This creates a three-part campaign system:</w:t>
      </w:r>
    </w:p>
    <w:p>
      <w:r>
        <w:rPr>
          <w:b w:val="0"/>
        </w:rPr>
        <w:t>EMOTION → REPRESENTATION → PROOF</w:t>
      </w:r>
    </w:p>
    <w:p>
      <w:pPr>
        <w:pStyle w:val="Heading1"/>
      </w:pPr>
      <w:r>
        <w:t>13. Hero Film Concept</w:t>
      </w:r>
    </w:p>
    <w:p>
      <w:r>
        <w:rPr>
          <w:b/>
        </w:rPr>
        <w:t>Title: BE THERE</w:t>
      </w:r>
    </w:p>
    <w:p>
      <w:r>
        <w:rPr>
          <w:b w:val="0"/>
        </w:rPr>
        <w:t>Length: 45–60 seconds.</w:t>
      </w:r>
    </w:p>
    <w:p>
      <w:pPr>
        <w:pStyle w:val="ListNumber"/>
      </w:pPr>
      <w:r>
        <w:t>Open on a person abroad preparing for their day.</w:t>
      </w:r>
    </w:p>
    <w:p>
      <w:pPr>
        <w:pStyle w:val="ListNumber"/>
      </w:pPr>
      <w:r>
        <w:t>Phone notification/call introduces an important issue back home.</w:t>
      </w:r>
    </w:p>
    <w:p>
      <w:pPr>
        <w:pStyle w:val="ListNumber"/>
      </w:pPr>
      <w:r>
        <w:t>The customer pauses because they cannot physically be there.</w:t>
      </w:r>
    </w:p>
    <w:p>
      <w:pPr>
        <w:pStyle w:val="ListNumber"/>
      </w:pPr>
      <w:r>
        <w:t>Cut between the customer abroad and the situation in Nigeria.</w:t>
      </w:r>
    </w:p>
    <w:p>
      <w:pPr>
        <w:pStyle w:val="ListNumber"/>
      </w:pPr>
      <w:r>
        <w:t>Introduce the idea: “You may not be there. But someone can be.”</w:t>
      </w:r>
    </w:p>
    <w:p>
      <w:pPr>
        <w:pStyle w:val="ListNumber"/>
      </w:pPr>
      <w:r>
        <w:t>Show ASOJU coordinating trusted local support.</w:t>
      </w:r>
    </w:p>
    <w:p>
      <w:pPr>
        <w:pStyle w:val="ListNumber"/>
      </w:pPr>
      <w:r>
        <w:t>Show clear communication and evidence.</w:t>
      </w:r>
    </w:p>
    <w:p>
      <w:pPr>
        <w:pStyle w:val="ListNumber"/>
      </w:pPr>
      <w:r>
        <w:t>Return to the customer, now confident about the outcome.</w:t>
      </w:r>
    </w:p>
    <w:p>
      <w:pPr>
        <w:pStyle w:val="ListNumber"/>
      </w:pPr>
      <w:r>
        <w:t>Close on: “Be there, even when you can't be there.”</w:t>
      </w:r>
    </w:p>
    <w:p>
      <w:pPr>
        <w:pStyle w:val="ListNumber"/>
      </w:pPr>
      <w:r>
        <w:t>End card: ASOJU — Your Trusted Rep Back Home.</w:t>
      </w:r>
    </w:p>
    <w:p>
      <w:pPr>
        <w:pStyle w:val="Heading1"/>
      </w:pPr>
      <w:r>
        <w:t>14. Hero Film Tone</w:t>
      </w:r>
    </w:p>
    <w:p>
      <w:pPr>
        <w:pStyle w:val="ListBullet"/>
      </w:pPr>
      <w:r>
        <w:t>Human.</w:t>
      </w:r>
    </w:p>
    <w:p>
      <w:pPr>
        <w:pStyle w:val="ListBullet"/>
      </w:pPr>
      <w:r>
        <w:t>Warm.</w:t>
      </w:r>
    </w:p>
    <w:p>
      <w:pPr>
        <w:pStyle w:val="ListBullet"/>
      </w:pPr>
      <w:r>
        <w:t>Calm.</w:t>
      </w:r>
    </w:p>
    <w:p>
      <w:pPr>
        <w:pStyle w:val="ListBullet"/>
      </w:pPr>
      <w:r>
        <w:t>Contemporary.</w:t>
      </w:r>
    </w:p>
    <w:p>
      <w:pPr>
        <w:pStyle w:val="ListBullet"/>
      </w:pPr>
      <w:r>
        <w:t>Authentically Nigerian.</w:t>
      </w:r>
    </w:p>
    <w:p>
      <w:pPr>
        <w:pStyle w:val="ListBullet"/>
      </w:pPr>
      <w:r>
        <w:t>Premium through simplicity.</w:t>
      </w:r>
    </w:p>
    <w:p>
      <w:pPr>
        <w:pStyle w:val="ListBullet"/>
      </w:pPr>
      <w:r>
        <w:t>Never melodramatic.</w:t>
      </w:r>
    </w:p>
    <w:p>
      <w:pPr>
        <w:pStyle w:val="ListBullet"/>
      </w:pPr>
      <w:r>
        <w:t>Never fear-based.</w:t>
      </w:r>
    </w:p>
    <w:p>
      <w:pPr>
        <w:pStyle w:val="Heading1"/>
      </w:pPr>
      <w:r>
        <w:t>15. 15-Second Video</w:t>
      </w:r>
    </w:p>
    <w:p>
      <w:r>
        <w:rPr>
          <w:b w:val="0"/>
        </w:rPr>
        <w:t>Hook: “You live abroad. But who is there for the things that matter back home?”</w:t>
      </w:r>
    </w:p>
    <w:p>
      <w:r>
        <w:rPr>
          <w:b w:val="0"/>
        </w:rPr>
        <w:t>Visual: quick cuts of family/property/document/verification situations.</w:t>
      </w:r>
    </w:p>
    <w:p>
      <w:r>
        <w:rPr>
          <w:b w:val="0"/>
        </w:rPr>
        <w:t>Solution: “ASOJU gives you a trusted rep back home.”</w:t>
      </w:r>
    </w:p>
    <w:p>
      <w:r>
        <w:rPr>
          <w:b w:val="0"/>
        </w:rPr>
        <w:t>Close: “Be there, even when you can't be there.”</w:t>
      </w:r>
    </w:p>
    <w:p>
      <w:pPr>
        <w:pStyle w:val="Heading1"/>
      </w:pPr>
      <w:r>
        <w:t>16. 6-Second Brand Bumper</w:t>
      </w:r>
    </w:p>
    <w:p>
      <w:r>
        <w:rPr>
          <w:b w:val="0"/>
        </w:rPr>
        <w:t>“Can't be there? Have a trusted rep who can.”</w:t>
      </w:r>
    </w:p>
    <w:p>
      <w:r>
        <w:rPr>
          <w:b w:val="0"/>
        </w:rPr>
        <w:t>ASOJU — Your Trusted Rep Back Home.</w:t>
      </w:r>
    </w:p>
    <w:p>
      <w:pPr>
        <w:pStyle w:val="Heading1"/>
      </w:pPr>
      <w:r>
        <w:t>17. Static Hero Creative</w:t>
      </w:r>
    </w:p>
    <w:p>
      <w:r>
        <w:rPr>
          <w:b w:val="0"/>
        </w:rPr>
        <w:t>Headline:</w:t>
      </w:r>
    </w:p>
    <w:p>
      <w:r>
        <w:rPr>
          <w:b/>
        </w:rPr>
        <w:t>BE THERE, EVEN WHEN YOU CAN'T BE THERE.</w:t>
      </w:r>
    </w:p>
    <w:p>
      <w:r>
        <w:rPr>
          <w:b w:val="0"/>
        </w:rPr>
        <w:t>Support:</w:t>
      </w:r>
    </w:p>
    <w:p>
      <w:r>
        <w:rPr>
          <w:b w:val="0"/>
        </w:rPr>
        <w:t>Trusted representation for what matters back home in Nigeria.</w:t>
      </w:r>
    </w:p>
    <w:p>
      <w:r>
        <w:rPr>
          <w:b w:val="0"/>
        </w:rPr>
        <w:t>CTA:</w:t>
      </w:r>
    </w:p>
    <w:p>
      <w:r>
        <w:rPr>
          <w:b w:val="0"/>
        </w:rPr>
        <w:t>Get a Trusted Rep Back Home.</w:t>
      </w:r>
    </w:p>
    <w:p>
      <w:pPr>
        <w:pStyle w:val="Heading1"/>
      </w:pPr>
      <w:r>
        <w:t>18. Carousel Campaign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Slide</w:t>
            </w:r>
          </w:p>
        </w:tc>
        <w:tc>
          <w:tcPr>
            <w:tcW w:type="dxa" w:w="5112"/>
          </w:tcPr>
          <w:p>
            <w:r>
              <w:t>Message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You may be abroad. Your responsibilities aren't.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Family still needs support.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Property still needs attention.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Important matters still need someone on the ground.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The hard part is knowing who to trust.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ASOJU gives you a trusted rep back home.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Get a Trusted Rep Back Home.</w:t>
            </w:r>
          </w:p>
        </w:tc>
      </w:tr>
    </w:tbl>
    <w:p>
      <w:pPr>
        <w:pStyle w:val="Heading1"/>
      </w:pPr>
      <w:r>
        <w:t>19. Trust Carousel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Slide</w:t>
            </w:r>
          </w:p>
        </w:tc>
        <w:tc>
          <w:tcPr>
            <w:tcW w:type="dxa" w:w="5112"/>
          </w:tcPr>
          <w:p>
            <w:r>
              <w:t>Message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What does “trusted” actually mean?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A clear scope.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An accountable person/process.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Updates when things change.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Evidence of what was done.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A clear outcome.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That's representation—not just a task.</w:t>
            </w:r>
          </w:p>
        </w:tc>
      </w:tr>
    </w:tbl>
    <w:p>
      <w:pPr>
        <w:pStyle w:val="Heading1"/>
      </w:pPr>
      <w:r>
        <w:t>20. Customer Story Campaign</w:t>
      </w:r>
    </w:p>
    <w:p>
      <w:r>
        <w:rPr>
          <w:b w:val="0"/>
        </w:rPr>
        <w:t>Once permissioned stories are available, use a simple format:</w:t>
      </w:r>
    </w:p>
    <w:p>
      <w:r>
        <w:rPr>
          <w:b/>
        </w:rPr>
        <w:t>“I couldn't be there. ASOJU was.”</w:t>
      </w:r>
    </w:p>
    <w:p>
      <w:pPr>
        <w:pStyle w:val="ListBullet"/>
      </w:pPr>
      <w:r>
        <w:t>Customer context.</w:t>
      </w:r>
    </w:p>
    <w:p>
      <w:pPr>
        <w:pStyle w:val="ListBullet"/>
      </w:pPr>
      <w:r>
        <w:t>Need back home.</w:t>
      </w:r>
    </w:p>
    <w:p>
      <w:pPr>
        <w:pStyle w:val="ListBullet"/>
      </w:pPr>
      <w:r>
        <w:t>Why they could not be present.</w:t>
      </w:r>
    </w:p>
    <w:p>
      <w:pPr>
        <w:pStyle w:val="ListBullet"/>
      </w:pPr>
      <w:r>
        <w:t>What ASOJU handled.</w:t>
      </w:r>
    </w:p>
    <w:p>
      <w:pPr>
        <w:pStyle w:val="ListBullet"/>
      </w:pPr>
      <w:r>
        <w:t>Evidence/outcome.</w:t>
      </w:r>
    </w:p>
    <w:p>
      <w:pPr>
        <w:pStyle w:val="ListBullet"/>
      </w:pPr>
      <w:r>
        <w:t>Customer reflection.</w:t>
      </w:r>
    </w:p>
    <w:p>
      <w:pPr>
        <w:pStyle w:val="Heading1"/>
      </w:pPr>
      <w:r>
        <w:t>21. Launch Landing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Message</w:t>
            </w:r>
          </w:p>
        </w:tc>
      </w:tr>
      <w:tr>
        <w:tc>
          <w:tcPr>
            <w:tcW w:type="dxa" w:w="5112"/>
          </w:tcPr>
          <w:p>
            <w:r>
              <w:t>Hero</w:t>
            </w:r>
          </w:p>
        </w:tc>
        <w:tc>
          <w:tcPr>
            <w:tcW w:type="dxa" w:w="5112"/>
          </w:tcPr>
          <w:p>
            <w:r>
              <w:t>Your Trusted Rep Back Home.</w:t>
            </w:r>
          </w:p>
        </w:tc>
      </w:tr>
      <w:tr>
        <w:tc>
          <w:tcPr>
            <w:tcW w:type="dxa" w:w="5112"/>
          </w:tcPr>
          <w:p>
            <w:r>
              <w:t>Subhead</w:t>
            </w:r>
          </w:p>
        </w:tc>
        <w:tc>
          <w:tcPr>
            <w:tcW w:type="dxa" w:w="5112"/>
          </w:tcPr>
          <w:p>
            <w:r>
              <w:t>Be there for what matters, even when you can't be there in person.</w:t>
            </w:r>
          </w:p>
        </w:tc>
      </w:tr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Distance creates a presence, trust and visibility gap.</w:t>
            </w:r>
          </w:p>
        </w:tc>
      </w:tr>
      <w:tr>
        <w:tc>
          <w:tcPr>
            <w:tcW w:type="dxa" w:w="5112"/>
          </w:tcPr>
          <w:p>
            <w:r>
              <w:t>Solution</w:t>
            </w:r>
          </w:p>
        </w:tc>
        <w:tc>
          <w:tcPr>
            <w:tcW w:type="dxa" w:w="5112"/>
          </w:tcPr>
          <w:p>
            <w:r>
              <w:t>ASOJU provides trusted local representation in Nigeria.</w:t>
            </w:r>
          </w:p>
        </w:tc>
      </w:tr>
      <w:tr>
        <w:tc>
          <w:tcPr>
            <w:tcW w:type="dxa" w:w="5112"/>
          </w:tcPr>
          <w:p>
            <w:r>
              <w:t>How it works</w:t>
            </w:r>
          </w:p>
        </w:tc>
        <w:tc>
          <w:tcPr>
            <w:tcW w:type="dxa" w:w="5112"/>
          </w:tcPr>
          <w:p>
            <w:r>
              <w:t>Tell us → Scope → Support → Evidence → Outcome.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Clear scope. Accountable support. Evidence-backed outcomes.</w:t>
            </w:r>
          </w:p>
        </w:tc>
      </w:tr>
      <w:tr>
        <w:tc>
          <w:tcPr>
            <w:tcW w:type="dxa" w:w="5112"/>
          </w:tcPr>
          <w:p>
            <w:r>
              <w:t>Use cases</w:t>
            </w:r>
          </w:p>
        </w:tc>
        <w:tc>
          <w:tcPr>
            <w:tcW w:type="dxa" w:w="5112"/>
          </w:tcPr>
          <w:p>
            <w:r>
              <w:t>Family, property, verification, administration and other validated services.</w:t>
            </w:r>
          </w:p>
        </w:tc>
      </w:tr>
      <w:tr>
        <w:tc>
          <w:tcPr>
            <w:tcW w:type="dxa" w:w="5112"/>
          </w:tcPr>
          <w:p>
            <w:r>
              <w:t>CTA</w:t>
            </w:r>
          </w:p>
        </w:tc>
        <w:tc>
          <w:tcPr>
            <w:tcW w:type="dxa" w:w="5112"/>
          </w:tcPr>
          <w:p>
            <w:r>
              <w:t>Get a Trusted Rep Back Home.</w:t>
            </w:r>
          </w:p>
        </w:tc>
      </w:tr>
    </w:tbl>
    <w:p>
      <w:pPr>
        <w:pStyle w:val="Heading1"/>
      </w:pPr>
      <w:r>
        <w:t>22. Launch CTA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Audience Intent</w:t>
            </w:r>
          </w:p>
        </w:tc>
        <w:tc>
          <w:tcPr>
            <w:tcW w:type="dxa" w:w="5112"/>
          </w:tcPr>
          <w:p>
            <w:r>
              <w:t>CTA</w:t>
            </w:r>
          </w:p>
        </w:tc>
      </w:tr>
      <w:tr>
        <w:tc>
          <w:tcPr>
            <w:tcW w:type="dxa" w:w="5112"/>
          </w:tcPr>
          <w:p>
            <w:r>
              <w:t>Curious</w:t>
            </w:r>
          </w:p>
        </w:tc>
        <w:tc>
          <w:tcPr>
            <w:tcW w:type="dxa" w:w="5112"/>
          </w:tcPr>
          <w:p>
            <w:r>
              <w:t>See How It Works</w:t>
            </w:r>
          </w:p>
        </w:tc>
      </w:tr>
      <w:tr>
        <w:tc>
          <w:tcPr>
            <w:tcW w:type="dxa" w:w="5112"/>
          </w:tcPr>
          <w:p>
            <w:r>
              <w:t>Problem-aware</w:t>
            </w:r>
          </w:p>
        </w:tc>
        <w:tc>
          <w:tcPr>
            <w:tcW w:type="dxa" w:w="5112"/>
          </w:tcPr>
          <w:p>
            <w:r>
              <w:t>Tell Us What You Need</w:t>
            </w:r>
          </w:p>
        </w:tc>
      </w:tr>
      <w:tr>
        <w:tc>
          <w:tcPr>
            <w:tcW w:type="dxa" w:w="5112"/>
          </w:tcPr>
          <w:p>
            <w:r>
              <w:t>High-intent</w:t>
            </w:r>
          </w:p>
        </w:tc>
        <w:tc>
          <w:tcPr>
            <w:tcW w:type="dxa" w:w="5112"/>
          </w:tcPr>
          <w:p>
            <w:r>
              <w:t>Start a Request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Introduce Someone</w:t>
            </w:r>
          </w:p>
        </w:tc>
      </w:tr>
      <w:tr>
        <w:tc>
          <w:tcPr>
            <w:tcW w:type="dxa" w:w="5112"/>
          </w:tcPr>
          <w:p>
            <w:r>
              <w:t>Partner</w:t>
            </w:r>
          </w:p>
        </w:tc>
        <w:tc>
          <w:tcPr>
            <w:tcW w:type="dxa" w:w="5112"/>
          </w:tcPr>
          <w:p>
            <w:r>
              <w:t>Partner With ASOJU</w:t>
            </w:r>
          </w:p>
        </w:tc>
      </w:tr>
    </w:tbl>
    <w:p>
      <w:pPr>
        <w:pStyle w:val="Heading1"/>
      </w:pPr>
      <w:r>
        <w:t>23. Launch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Timing</w:t>
            </w:r>
          </w:p>
        </w:tc>
        <w:tc>
          <w:tcPr>
            <w:tcW w:type="dxa" w:w="3408"/>
          </w:tcPr>
          <w:p>
            <w:r>
              <w:t>Objective</w:t>
            </w:r>
          </w:p>
        </w:tc>
      </w:tr>
      <w:tr>
        <w:tc>
          <w:tcPr>
            <w:tcW w:type="dxa" w:w="3408"/>
          </w:tcPr>
          <w:p>
            <w:r>
              <w:t>Phase 1 — Seed</w:t>
            </w:r>
          </w:p>
        </w:tc>
        <w:tc>
          <w:tcPr>
            <w:tcW w:type="dxa" w:w="3408"/>
          </w:tcPr>
          <w:p>
            <w:r>
              <w:t>Days 1–7</w:t>
            </w:r>
          </w:p>
        </w:tc>
        <w:tc>
          <w:tcPr>
            <w:tcW w:type="dxa" w:w="3408"/>
          </w:tcPr>
          <w:p>
            <w:r>
              <w:t>Create recognition of the problem.</w:t>
            </w:r>
          </w:p>
        </w:tc>
      </w:tr>
      <w:tr>
        <w:tc>
          <w:tcPr>
            <w:tcW w:type="dxa" w:w="3408"/>
          </w:tcPr>
          <w:p>
            <w:r>
              <w:t>Phase 2 — Reveal</w:t>
            </w:r>
          </w:p>
        </w:tc>
        <w:tc>
          <w:tcPr>
            <w:tcW w:type="dxa" w:w="3408"/>
          </w:tcPr>
          <w:p>
            <w:r>
              <w:t>Days 8–14</w:t>
            </w:r>
          </w:p>
        </w:tc>
        <w:tc>
          <w:tcPr>
            <w:tcW w:type="dxa" w:w="3408"/>
          </w:tcPr>
          <w:p>
            <w:r>
              <w:t>Introduce ASOJU and the category.</w:t>
            </w:r>
          </w:p>
        </w:tc>
      </w:tr>
      <w:tr>
        <w:tc>
          <w:tcPr>
            <w:tcW w:type="dxa" w:w="3408"/>
          </w:tcPr>
          <w:p>
            <w:r>
              <w:t>Phase 3 — Trust</w:t>
            </w:r>
          </w:p>
        </w:tc>
        <w:tc>
          <w:tcPr>
            <w:tcW w:type="dxa" w:w="3408"/>
          </w:tcPr>
          <w:p>
            <w:r>
              <w:t>Days 15–21</w:t>
            </w:r>
          </w:p>
        </w:tc>
        <w:tc>
          <w:tcPr>
            <w:tcW w:type="dxa" w:w="3408"/>
          </w:tcPr>
          <w:p>
            <w:r>
              <w:t>Explain how representation works.</w:t>
            </w:r>
          </w:p>
        </w:tc>
      </w:tr>
      <w:tr>
        <w:tc>
          <w:tcPr>
            <w:tcW w:type="dxa" w:w="3408"/>
          </w:tcPr>
          <w:p>
            <w:r>
              <w:t>Phase 4 — Proof</w:t>
            </w:r>
          </w:p>
        </w:tc>
        <w:tc>
          <w:tcPr>
            <w:tcW w:type="dxa" w:w="3408"/>
          </w:tcPr>
          <w:p>
            <w:r>
              <w:t>Days 22–30</w:t>
            </w:r>
          </w:p>
        </w:tc>
        <w:tc>
          <w:tcPr>
            <w:tcW w:type="dxa" w:w="3408"/>
          </w:tcPr>
          <w:p>
            <w:r>
              <w:t>Show evidence, early outcomes and stories where available.</w:t>
            </w:r>
          </w:p>
        </w:tc>
      </w:tr>
      <w:tr>
        <w:tc>
          <w:tcPr>
            <w:tcW w:type="dxa" w:w="3408"/>
          </w:tcPr>
          <w:p>
            <w:r>
              <w:t>Phase 5 — Referral</w:t>
            </w:r>
          </w:p>
        </w:tc>
        <w:tc>
          <w:tcPr>
            <w:tcW w:type="dxa" w:w="3408"/>
          </w:tcPr>
          <w:p>
            <w:r>
              <w:t>Ongoing</w:t>
            </w:r>
          </w:p>
        </w:tc>
        <w:tc>
          <w:tcPr>
            <w:tcW w:type="dxa" w:w="3408"/>
          </w:tcPr>
          <w:p>
            <w:r>
              <w:t>Turn trust into introductions.</w:t>
            </w:r>
          </w:p>
        </w:tc>
      </w:tr>
    </w:tbl>
    <w:p>
      <w:pPr>
        <w:pStyle w:val="Heading1"/>
      </w:pPr>
      <w:r>
        <w:t>24. Phase 1 — Seed</w:t>
      </w:r>
    </w:p>
    <w:p>
      <w:pPr>
        <w:pStyle w:val="ListBullet"/>
      </w:pPr>
      <w:r>
        <w:t>Short diaspora-life observations.</w:t>
      </w:r>
    </w:p>
    <w:p>
      <w:pPr>
        <w:pStyle w:val="ListBullet"/>
      </w:pPr>
      <w:r>
        <w:t>Questions about being present from abroad.</w:t>
      </w:r>
    </w:p>
    <w:p>
      <w:pPr>
        <w:pStyle w:val="ListBullet"/>
      </w:pPr>
      <w:r>
        <w:t>Teaser creative using the campaign line.</w:t>
      </w:r>
    </w:p>
    <w:p>
      <w:pPr>
        <w:pStyle w:val="ListBullet"/>
      </w:pPr>
      <w:r>
        <w:t>Community conversations.</w:t>
      </w:r>
    </w:p>
    <w:p>
      <w:pPr>
        <w:pStyle w:val="ListBullet"/>
      </w:pPr>
      <w:r>
        <w:t>No hard selling.</w:t>
      </w:r>
    </w:p>
    <w:p>
      <w:r>
        <w:rPr>
          <w:b w:val="0"/>
        </w:rPr>
        <w:t>Goal: make the audience say, “That is exactly the problem.”</w:t>
      </w:r>
    </w:p>
    <w:p>
      <w:pPr>
        <w:pStyle w:val="Heading1"/>
      </w:pPr>
      <w:r>
        <w:t>25. Phase 2 — Reveal</w:t>
      </w:r>
    </w:p>
    <w:p>
      <w:pPr>
        <w:pStyle w:val="ListBullet"/>
      </w:pPr>
      <w:r>
        <w:t>Hero film.</w:t>
      </w:r>
    </w:p>
    <w:p>
      <w:pPr>
        <w:pStyle w:val="ListBullet"/>
      </w:pPr>
      <w:r>
        <w:t>Brand reveal.</w:t>
      </w:r>
    </w:p>
    <w:p>
      <w:pPr>
        <w:pStyle w:val="ListBullet"/>
      </w:pPr>
      <w:r>
        <w:t>Website/landing page.</w:t>
      </w:r>
    </w:p>
    <w:p>
      <w:pPr>
        <w:pStyle w:val="ListBullet"/>
      </w:pPr>
      <w:r>
        <w:t>Founder explanation.</w:t>
      </w:r>
    </w:p>
    <w:p>
      <w:pPr>
        <w:pStyle w:val="ListBullet"/>
      </w:pPr>
      <w:r>
        <w:t>How-it-works content.</w:t>
      </w:r>
    </w:p>
    <w:p>
      <w:pPr>
        <w:pStyle w:val="ListBullet"/>
      </w:pPr>
      <w:r>
        <w:t>Partner announcement.</w:t>
      </w:r>
    </w:p>
    <w:p>
      <w:r>
        <w:rPr>
          <w:b w:val="0"/>
        </w:rPr>
        <w:t>Goal: make the audience understand what ASOJU is.</w:t>
      </w:r>
    </w:p>
    <w:p>
      <w:pPr>
        <w:pStyle w:val="Heading1"/>
      </w:pPr>
      <w:r>
        <w:t>26. Phase 3 — Trust</w:t>
      </w:r>
    </w:p>
    <w:p>
      <w:pPr>
        <w:pStyle w:val="ListBullet"/>
      </w:pPr>
      <w:r>
        <w:t>How scope works.</w:t>
      </w:r>
    </w:p>
    <w:p>
      <w:pPr>
        <w:pStyle w:val="ListBullet"/>
      </w:pPr>
      <w:r>
        <w:t>Who is accountable.</w:t>
      </w:r>
    </w:p>
    <w:p>
      <w:pPr>
        <w:pStyle w:val="ListBullet"/>
      </w:pPr>
      <w:r>
        <w:t>How updates work.</w:t>
      </w:r>
    </w:p>
    <w:p>
      <w:pPr>
        <w:pStyle w:val="ListBullet"/>
      </w:pPr>
      <w:r>
        <w:t>How evidence works.</w:t>
      </w:r>
    </w:p>
    <w:p>
      <w:pPr>
        <w:pStyle w:val="ListBullet"/>
      </w:pPr>
      <w:r>
        <w:t>How complaints are handled.</w:t>
      </w:r>
    </w:p>
    <w:p>
      <w:pPr>
        <w:pStyle w:val="ListBullet"/>
      </w:pPr>
      <w:r>
        <w:t>Security/privacy explanation.</w:t>
      </w:r>
    </w:p>
    <w:p>
      <w:r>
        <w:rPr>
          <w:b w:val="0"/>
        </w:rPr>
        <w:t>Goal: answer “Can I trust this?”</w:t>
      </w:r>
    </w:p>
    <w:p>
      <w:pPr>
        <w:pStyle w:val="Heading1"/>
      </w:pPr>
      <w:r>
        <w:t>27. Phase 4 — Proof</w:t>
      </w:r>
    </w:p>
    <w:p>
      <w:pPr>
        <w:pStyle w:val="ListBullet"/>
      </w:pPr>
      <w:r>
        <w:t>First customer stories, where permissioned.</w:t>
      </w:r>
    </w:p>
    <w:p>
      <w:pPr>
        <w:pStyle w:val="ListBullet"/>
      </w:pPr>
      <w:r>
        <w:t>Anonymized case examples.</w:t>
      </w:r>
    </w:p>
    <w:p>
      <w:pPr>
        <w:pStyle w:val="ListBullet"/>
      </w:pPr>
      <w:r>
        <w:t>Evidence examples using approved data.</w:t>
      </w:r>
    </w:p>
    <w:p>
      <w:pPr>
        <w:pStyle w:val="ListBullet"/>
      </w:pPr>
      <w:r>
        <w:t>Behind-the-scenes execution.</w:t>
      </w:r>
    </w:p>
    <w:p>
      <w:pPr>
        <w:pStyle w:val="ListBullet"/>
      </w:pPr>
      <w:r>
        <w:t>Customer feedback.</w:t>
      </w:r>
    </w:p>
    <w:p>
      <w:r>
        <w:rPr>
          <w:b w:val="0"/>
        </w:rPr>
        <w:t>Goal: answer “Does it actually work?”</w:t>
      </w:r>
    </w:p>
    <w:p>
      <w:pPr>
        <w:pStyle w:val="Heading1"/>
      </w:pPr>
      <w:r>
        <w:t>28. Phase 5 — Referral</w:t>
      </w:r>
    </w:p>
    <w:p>
      <w:pPr>
        <w:pStyle w:val="ListBullet"/>
      </w:pPr>
      <w:r>
        <w:t>Referral invitation.</w:t>
      </w:r>
    </w:p>
    <w:p>
      <w:pPr>
        <w:pStyle w:val="ListBullet"/>
      </w:pPr>
      <w:r>
        <w:t>Community partner activation.</w:t>
      </w:r>
    </w:p>
    <w:p>
      <w:pPr>
        <w:pStyle w:val="ListBullet"/>
      </w:pPr>
      <w:r>
        <w:t>Customer thank-you.</w:t>
      </w:r>
    </w:p>
    <w:p>
      <w:pPr>
        <w:pStyle w:val="ListBullet"/>
      </w:pPr>
      <w:r>
        <w:t>Shareable campaign card.</w:t>
      </w:r>
    </w:p>
    <w:p>
      <w:pPr>
        <w:pStyle w:val="ListBullet"/>
      </w:pPr>
      <w:r>
        <w:t>Customer story distribution.</w:t>
      </w:r>
    </w:p>
    <w:p>
      <w:r>
        <w:rPr>
          <w:b w:val="0"/>
        </w:rPr>
        <w:t>Goal: turn trust into trust transfer.</w:t>
      </w:r>
    </w:p>
    <w:p>
      <w:pPr>
        <w:pStyle w:val="Heading1"/>
      </w:pPr>
      <w:r>
        <w:t>29. 30-Day Launch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Day/Range</w:t>
            </w:r>
          </w:p>
        </w:tc>
        <w:tc>
          <w:tcPr>
            <w:tcW w:type="dxa" w:w="3408"/>
          </w:tcPr>
          <w:p>
            <w:r>
              <w:t>Primary Content</w:t>
            </w:r>
          </w:p>
        </w:tc>
        <w:tc>
          <w:tcPr>
            <w:tcW w:type="dxa" w:w="3408"/>
          </w:tcPr>
          <w:p>
            <w:r>
              <w:t>CTA</w:t>
            </w:r>
          </w:p>
        </w:tc>
      </w:tr>
      <w:tr>
        <w:tc>
          <w:tcPr>
            <w:tcW w:type="dxa" w:w="3408"/>
          </w:tcPr>
          <w:p>
            <w:r>
              <w:t>1–3</w:t>
            </w:r>
          </w:p>
        </w:tc>
        <w:tc>
          <w:tcPr>
            <w:tcW w:type="dxa" w:w="3408"/>
          </w:tcPr>
          <w:p>
            <w:r>
              <w:t>Teaser: “You may be far away…”</w:t>
            </w:r>
          </w:p>
        </w:tc>
        <w:tc>
          <w:tcPr>
            <w:tcW w:type="dxa" w:w="3408"/>
          </w:tcPr>
          <w:p>
            <w:r>
              <w:t>Follow/learn</w:t>
            </w:r>
          </w:p>
        </w:tc>
      </w:tr>
      <w:tr>
        <w:tc>
          <w:tcPr>
            <w:tcW w:type="dxa" w:w="3408"/>
          </w:tcPr>
          <w:p>
            <w:r>
              <w:t>4–7</w:t>
            </w:r>
          </w:p>
        </w:tc>
        <w:tc>
          <w:tcPr>
            <w:tcW w:type="dxa" w:w="3408"/>
          </w:tcPr>
          <w:p>
            <w:r>
              <w:t>Diaspora responsibility stories</w:t>
            </w:r>
          </w:p>
        </w:tc>
        <w:tc>
          <w:tcPr>
            <w:tcW w:type="dxa" w:w="3408"/>
          </w:tcPr>
          <w:p>
            <w:r>
              <w:t>Engage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Brand reveal + hero film</w:t>
            </w:r>
          </w:p>
        </w:tc>
        <w:tc>
          <w:tcPr>
            <w:tcW w:type="dxa" w:w="3408"/>
          </w:tcPr>
          <w:p>
            <w:r>
              <w:t>See How It Works</w:t>
            </w:r>
          </w:p>
        </w:tc>
      </w:tr>
      <w:tr>
        <w:tc>
          <w:tcPr>
            <w:tcW w:type="dxa" w:w="3408"/>
          </w:tcPr>
          <w:p>
            <w:r>
              <w:t>9–11</w:t>
            </w:r>
          </w:p>
        </w:tc>
        <w:tc>
          <w:tcPr>
            <w:tcW w:type="dxa" w:w="3408"/>
          </w:tcPr>
          <w:p>
            <w:r>
              <w:t>What ASOJU is</w:t>
            </w:r>
          </w:p>
        </w:tc>
        <w:tc>
          <w:tcPr>
            <w:tcW w:type="dxa" w:w="3408"/>
          </w:tcPr>
          <w:p>
            <w:r>
              <w:t>Learn More</w:t>
            </w:r>
          </w:p>
        </w:tc>
      </w:tr>
      <w:tr>
        <w:tc>
          <w:tcPr>
            <w:tcW w:type="dxa" w:w="3408"/>
          </w:tcPr>
          <w:p>
            <w:r>
              <w:t>12–14</w:t>
            </w:r>
          </w:p>
        </w:tc>
        <w:tc>
          <w:tcPr>
            <w:tcW w:type="dxa" w:w="3408"/>
          </w:tcPr>
          <w:p>
            <w:r>
              <w:t>How representation works</w:t>
            </w:r>
          </w:p>
        </w:tc>
        <w:tc>
          <w:tcPr>
            <w:tcW w:type="dxa" w:w="3408"/>
          </w:tcPr>
          <w:p>
            <w:r>
              <w:t>Tell Us What You Need</w:t>
            </w:r>
          </w:p>
        </w:tc>
      </w:tr>
      <w:tr>
        <w:tc>
          <w:tcPr>
            <w:tcW w:type="dxa" w:w="3408"/>
          </w:tcPr>
          <w:p>
            <w:r>
              <w:t>15–17</w:t>
            </w:r>
          </w:p>
        </w:tc>
        <w:tc>
          <w:tcPr>
            <w:tcW w:type="dxa" w:w="3408"/>
          </w:tcPr>
          <w:p>
            <w:r>
              <w:t>Trust/scope/accountability</w:t>
            </w:r>
          </w:p>
        </w:tc>
        <w:tc>
          <w:tcPr>
            <w:tcW w:type="dxa" w:w="3408"/>
          </w:tcPr>
          <w:p>
            <w:r>
              <w:t>See How It Works</w:t>
            </w:r>
          </w:p>
        </w:tc>
      </w:tr>
      <w:tr>
        <w:tc>
          <w:tcPr>
            <w:tcW w:type="dxa" w:w="3408"/>
          </w:tcPr>
          <w:p>
            <w:r>
              <w:t>18–20</w:t>
            </w:r>
          </w:p>
        </w:tc>
        <w:tc>
          <w:tcPr>
            <w:tcW w:type="dxa" w:w="3408"/>
          </w:tcPr>
          <w:p>
            <w:r>
              <w:t>Evidence/proof education</w:t>
            </w:r>
          </w:p>
        </w:tc>
        <w:tc>
          <w:tcPr>
            <w:tcW w:type="dxa" w:w="3408"/>
          </w:tcPr>
          <w:p>
            <w:r>
              <w:t>Learn More</w:t>
            </w:r>
          </w:p>
        </w:tc>
      </w:tr>
      <w:tr>
        <w:tc>
          <w:tcPr>
            <w:tcW w:type="dxa" w:w="3408"/>
          </w:tcPr>
          <w:p>
            <w:r>
              <w:t>21</w:t>
            </w:r>
          </w:p>
        </w:tc>
        <w:tc>
          <w:tcPr>
            <w:tcW w:type="dxa" w:w="3408"/>
          </w:tcPr>
          <w:p>
            <w:r>
              <w:t>Founder/brand story</w:t>
            </w:r>
          </w:p>
        </w:tc>
        <w:tc>
          <w:tcPr>
            <w:tcW w:type="dxa" w:w="3408"/>
          </w:tcPr>
          <w:p>
            <w:r>
              <w:t>Start a Request</w:t>
            </w:r>
          </w:p>
        </w:tc>
      </w:tr>
      <w:tr>
        <w:tc>
          <w:tcPr>
            <w:tcW w:type="dxa" w:w="3408"/>
          </w:tcPr>
          <w:p>
            <w:r>
              <w:t>22–24</w:t>
            </w:r>
          </w:p>
        </w:tc>
        <w:tc>
          <w:tcPr>
            <w:tcW w:type="dxa" w:w="3408"/>
          </w:tcPr>
          <w:p>
            <w:r>
              <w:t>Use-case campaign</w:t>
            </w:r>
          </w:p>
        </w:tc>
        <w:tc>
          <w:tcPr>
            <w:tcW w:type="dxa" w:w="3408"/>
          </w:tcPr>
          <w:p>
            <w:r>
              <w:t>Tell Us What You Need</w:t>
            </w:r>
          </w:p>
        </w:tc>
      </w:tr>
      <w:tr>
        <w:tc>
          <w:tcPr>
            <w:tcW w:type="dxa" w:w="3408"/>
          </w:tcPr>
          <w:p>
            <w:r>
              <w:t>25–27</w:t>
            </w:r>
          </w:p>
        </w:tc>
        <w:tc>
          <w:tcPr>
            <w:tcW w:type="dxa" w:w="3408"/>
          </w:tcPr>
          <w:p>
            <w:r>
              <w:t>Customer/early proof where available</w:t>
            </w:r>
          </w:p>
        </w:tc>
        <w:tc>
          <w:tcPr>
            <w:tcW w:type="dxa" w:w="3408"/>
          </w:tcPr>
          <w:p>
            <w:r>
              <w:t>See How It Was Handled</w:t>
            </w:r>
          </w:p>
        </w:tc>
      </w:tr>
      <w:tr>
        <w:tc>
          <w:tcPr>
            <w:tcW w:type="dxa" w:w="3408"/>
          </w:tcPr>
          <w:p>
            <w:r>
              <w:t>28</w:t>
            </w:r>
          </w:p>
        </w:tc>
        <w:tc>
          <w:tcPr>
            <w:tcW w:type="dxa" w:w="3408"/>
          </w:tcPr>
          <w:p>
            <w:r>
              <w:t>Community/referral activation</w:t>
            </w:r>
          </w:p>
        </w:tc>
        <w:tc>
          <w:tcPr>
            <w:tcW w:type="dxa" w:w="3408"/>
          </w:tcPr>
          <w:p>
            <w:r>
              <w:t>Introduce Someone</w:t>
            </w:r>
          </w:p>
        </w:tc>
      </w:tr>
      <w:tr>
        <w:tc>
          <w:tcPr>
            <w:tcW w:type="dxa" w:w="3408"/>
          </w:tcPr>
          <w:p>
            <w:r>
              <w:t>29</w:t>
            </w:r>
          </w:p>
        </w:tc>
        <w:tc>
          <w:tcPr>
            <w:tcW w:type="dxa" w:w="3408"/>
          </w:tcPr>
          <w:p>
            <w:r>
              <w:t>Campaign recap</w:t>
            </w:r>
          </w:p>
        </w:tc>
        <w:tc>
          <w:tcPr>
            <w:tcW w:type="dxa" w:w="3408"/>
          </w:tcPr>
          <w:p>
            <w:r>
              <w:t>Start a Request</w:t>
            </w:r>
          </w:p>
        </w:tc>
      </w:tr>
      <w:tr>
        <w:tc>
          <w:tcPr>
            <w:tcW w:type="dxa" w:w="3408"/>
          </w:tcPr>
          <w:p>
            <w:r>
              <w:t>30</w:t>
            </w:r>
          </w:p>
        </w:tc>
        <w:tc>
          <w:tcPr>
            <w:tcW w:type="dxa" w:w="3408"/>
          </w:tcPr>
          <w:p>
            <w:r>
              <w:t>Hero brand close</w:t>
            </w:r>
          </w:p>
        </w:tc>
        <w:tc>
          <w:tcPr>
            <w:tcW w:type="dxa" w:w="3408"/>
          </w:tcPr>
          <w:p>
            <w:r>
              <w:t>Get a Trusted Rep Back Home</w:t>
            </w:r>
          </w:p>
        </w:tc>
      </w:tr>
    </w:tbl>
    <w:p>
      <w:pPr>
        <w:pStyle w:val="Heading1"/>
      </w:pPr>
      <w:r>
        <w:t>30. Social Launch Asset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Asset</w:t>
            </w:r>
          </w:p>
        </w:tc>
        <w:tc>
          <w:tcPr>
            <w:tcW w:type="dxa" w:w="5112"/>
          </w:tcPr>
          <w:p>
            <w:r>
              <w:t>Quantity/Approach</w:t>
            </w:r>
          </w:p>
        </w:tc>
      </w:tr>
      <w:tr>
        <w:tc>
          <w:tcPr>
            <w:tcW w:type="dxa" w:w="5112"/>
          </w:tcPr>
          <w:p>
            <w:r>
              <w:t>Hero film</w:t>
            </w:r>
          </w:p>
        </w:tc>
        <w:tc>
          <w:tcPr>
            <w:tcW w:type="dxa" w:w="5112"/>
          </w:tcPr>
          <w:p>
            <w:r>
              <w:t>1 master + short cuts.</w:t>
            </w:r>
          </w:p>
        </w:tc>
      </w:tr>
      <w:tr>
        <w:tc>
          <w:tcPr>
            <w:tcW w:type="dxa" w:w="5112"/>
          </w:tcPr>
          <w:p>
            <w:r>
              <w:t>Short videos</w:t>
            </w:r>
          </w:p>
        </w:tc>
        <w:tc>
          <w:tcPr>
            <w:tcW w:type="dxa" w:w="5112"/>
          </w:tcPr>
          <w:p>
            <w:r>
              <w:t>8–12.</w:t>
            </w:r>
          </w:p>
        </w:tc>
      </w:tr>
      <w:tr>
        <w:tc>
          <w:tcPr>
            <w:tcW w:type="dxa" w:w="5112"/>
          </w:tcPr>
          <w:p>
            <w:r>
              <w:t>Carousels</w:t>
            </w:r>
          </w:p>
        </w:tc>
        <w:tc>
          <w:tcPr>
            <w:tcW w:type="dxa" w:w="5112"/>
          </w:tcPr>
          <w:p>
            <w:r>
              <w:t>6–8.</w:t>
            </w:r>
          </w:p>
        </w:tc>
      </w:tr>
      <w:tr>
        <w:tc>
          <w:tcPr>
            <w:tcW w:type="dxa" w:w="5112"/>
          </w:tcPr>
          <w:p>
            <w:r>
              <w:t>Static brand creatives</w:t>
            </w:r>
          </w:p>
        </w:tc>
        <w:tc>
          <w:tcPr>
            <w:tcW w:type="dxa" w:w="5112"/>
          </w:tcPr>
          <w:p>
            <w:r>
              <w:t>8–10.</w:t>
            </w:r>
          </w:p>
        </w:tc>
      </w:tr>
      <w:tr>
        <w:tc>
          <w:tcPr>
            <w:tcW w:type="dxa" w:w="5112"/>
          </w:tcPr>
          <w:p>
            <w:r>
              <w:t>Trust/proof posts</w:t>
            </w:r>
          </w:p>
        </w:tc>
        <w:tc>
          <w:tcPr>
            <w:tcW w:type="dxa" w:w="5112"/>
          </w:tcPr>
          <w:p>
            <w:r>
              <w:t>6–8.</w:t>
            </w:r>
          </w:p>
        </w:tc>
      </w:tr>
      <w:tr>
        <w:tc>
          <w:tcPr>
            <w:tcW w:type="dxa" w:w="5112"/>
          </w:tcPr>
          <w:p>
            <w:r>
              <w:t>Founder posts</w:t>
            </w:r>
          </w:p>
        </w:tc>
        <w:tc>
          <w:tcPr>
            <w:tcW w:type="dxa" w:w="5112"/>
          </w:tcPr>
          <w:p>
            <w:r>
              <w:t>3–4.</w:t>
            </w:r>
          </w:p>
        </w:tc>
      </w:tr>
      <w:tr>
        <w:tc>
          <w:tcPr>
            <w:tcW w:type="dxa" w:w="5112"/>
          </w:tcPr>
          <w:p>
            <w:r>
              <w:t>Community cards</w:t>
            </w:r>
          </w:p>
        </w:tc>
        <w:tc>
          <w:tcPr>
            <w:tcW w:type="dxa" w:w="5112"/>
          </w:tcPr>
          <w:p>
            <w:r>
              <w:t>4–6.</w:t>
            </w:r>
          </w:p>
        </w:tc>
      </w:tr>
      <w:tr>
        <w:tc>
          <w:tcPr>
            <w:tcW w:type="dxa" w:w="5112"/>
          </w:tcPr>
          <w:p>
            <w:r>
              <w:t>Partner assets</w:t>
            </w:r>
          </w:p>
        </w:tc>
        <w:tc>
          <w:tcPr>
            <w:tcW w:type="dxa" w:w="5112"/>
          </w:tcPr>
          <w:p>
            <w:r>
              <w:t>Toolkit.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4–6 launch messages.</w:t>
            </w:r>
          </w:p>
        </w:tc>
      </w:tr>
      <w:tr>
        <w:tc>
          <w:tcPr>
            <w:tcW w:type="dxa" w:w="5112"/>
          </w:tcPr>
          <w:p>
            <w:r>
              <w:t>Landing page</w:t>
            </w:r>
          </w:p>
        </w:tc>
        <w:tc>
          <w:tcPr>
            <w:tcW w:type="dxa" w:w="5112"/>
          </w:tcPr>
          <w:p>
            <w:r>
              <w:t>1 campaign page.</w:t>
            </w:r>
          </w:p>
        </w:tc>
      </w:tr>
    </w:tbl>
    <w:p>
      <w:pPr>
        <w:pStyle w:val="Heading1"/>
      </w:pPr>
      <w:r>
        <w:t>31. Launch Email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Subject Direction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You may be far away. You can still show up.</w:t>
            </w:r>
          </w:p>
        </w:tc>
        <w:tc>
          <w:tcPr>
            <w:tcW w:type="dxa" w:w="3408"/>
          </w:tcPr>
          <w:p>
            <w:r>
              <w:t>Awareness.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Meet your trusted rep back home.</w:t>
            </w:r>
          </w:p>
        </w:tc>
        <w:tc>
          <w:tcPr>
            <w:tcW w:type="dxa" w:w="3408"/>
          </w:tcPr>
          <w:p>
            <w:r>
              <w:t>Reveal.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What does trusted representation actually mean?</w:t>
            </w:r>
          </w:p>
        </w:tc>
        <w:tc>
          <w:tcPr>
            <w:tcW w:type="dxa" w:w="3408"/>
          </w:tcPr>
          <w:p>
            <w:r>
              <w:t>Trust.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Here's how ASOJU works.</w:t>
            </w:r>
          </w:p>
        </w:tc>
        <w:tc>
          <w:tcPr>
            <w:tcW w:type="dxa" w:w="3408"/>
          </w:tcPr>
          <w:p>
            <w:r>
              <w:t>Education.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Be there for what matters.</w:t>
            </w:r>
          </w:p>
        </w:tc>
        <w:tc>
          <w:tcPr>
            <w:tcW w:type="dxa" w:w="3408"/>
          </w:tcPr>
          <w:p>
            <w:r>
              <w:t>Conversion.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Know someone who needs a trusted rep?</w:t>
            </w:r>
          </w:p>
        </w:tc>
        <w:tc>
          <w:tcPr>
            <w:tcW w:type="dxa" w:w="3408"/>
          </w:tcPr>
          <w:p>
            <w:r>
              <w:t>Referral.</w:t>
            </w:r>
          </w:p>
        </w:tc>
      </w:tr>
    </w:tbl>
    <w:p>
      <w:pPr>
        <w:pStyle w:val="Heading1"/>
      </w:pPr>
      <w:r>
        <w:t>32. Community Launch Activation</w:t>
      </w:r>
    </w:p>
    <w:p>
      <w:r>
        <w:rPr>
          <w:b w:val="0"/>
        </w:rPr>
        <w:t>Community activation should be educational and permission-based.</w:t>
      </w:r>
    </w:p>
    <w:p>
      <w:pPr>
        <w:pStyle w:val="ListBullet"/>
      </w:pPr>
      <w:r>
        <w:t>Host a diaspora Q&amp;A: “How to get important things handled back home when you live abroad.”</w:t>
      </w:r>
    </w:p>
    <w:p>
      <w:pPr>
        <w:pStyle w:val="ListBullet"/>
      </w:pPr>
      <w:r>
        <w:t>Provide a practical delegation/trust checklist.</w:t>
      </w:r>
    </w:p>
    <w:p>
      <w:pPr>
        <w:pStyle w:val="ListBullet"/>
      </w:pPr>
      <w:r>
        <w:t>Offer a short ASOJU demonstration.</w:t>
      </w:r>
    </w:p>
    <w:p>
      <w:pPr>
        <w:pStyle w:val="ListBullet"/>
      </w:pPr>
      <w:r>
        <w:t>Invite questions rather than pushing a sales pitch.</w:t>
      </w:r>
    </w:p>
    <w:p>
      <w:pPr>
        <w:pStyle w:val="ListBullet"/>
      </w:pPr>
      <w:r>
        <w:t>Give community members a clear, low-friction path to request support.</w:t>
      </w:r>
    </w:p>
    <w:p>
      <w:pPr>
        <w:pStyle w:val="Heading1"/>
      </w:pPr>
      <w:r>
        <w:t>33. Partner Launch Toolkit</w:t>
      </w:r>
    </w:p>
    <w:p>
      <w:pPr>
        <w:pStyle w:val="ListBullet"/>
      </w:pPr>
      <w:r>
        <w:t>Partner announcement copy.</w:t>
      </w:r>
    </w:p>
    <w:p>
      <w:pPr>
        <w:pStyle w:val="ListBullet"/>
      </w:pPr>
      <w:r>
        <w:t>One-page ASOJU overview.</w:t>
      </w:r>
    </w:p>
    <w:p>
      <w:pPr>
        <w:pStyle w:val="ListBullet"/>
      </w:pPr>
      <w:r>
        <w:t>Hero creative.</w:t>
      </w:r>
    </w:p>
    <w:p>
      <w:pPr>
        <w:pStyle w:val="ListBullet"/>
      </w:pPr>
      <w:r>
        <w:t>Short campaign video.</w:t>
      </w:r>
    </w:p>
    <w:p>
      <w:pPr>
        <w:pStyle w:val="ListBullet"/>
      </w:pPr>
      <w:r>
        <w:t>Referral CTA.</w:t>
      </w:r>
    </w:p>
    <w:p>
      <w:pPr>
        <w:pStyle w:val="ListBullet"/>
      </w:pPr>
      <w:r>
        <w:t>How-it-works graphic.</w:t>
      </w:r>
    </w:p>
    <w:p>
      <w:pPr>
        <w:pStyle w:val="ListBullet"/>
      </w:pPr>
      <w:r>
        <w:t>FAQ.</w:t>
      </w:r>
    </w:p>
    <w:p>
      <w:pPr>
        <w:pStyle w:val="ListBullet"/>
      </w:pPr>
      <w:r>
        <w:t>Contact/request link.</w:t>
      </w:r>
    </w:p>
    <w:p>
      <w:pPr>
        <w:pStyle w:val="Heading1"/>
      </w:pPr>
      <w:r>
        <w:t>34. Creator/Influencer Activation</w:t>
      </w:r>
    </w:p>
    <w:p>
      <w:r>
        <w:rPr>
          <w:b w:val="0"/>
        </w:rPr>
        <w:t>Use trusted diaspora voices selectively.</w:t>
      </w:r>
    </w:p>
    <w:p>
      <w:pPr>
        <w:pStyle w:val="ListBullet"/>
      </w:pPr>
      <w:r>
        <w:t>Creator tells a genuine diaspora responsibility story.</w:t>
      </w:r>
    </w:p>
    <w:p>
      <w:pPr>
        <w:pStyle w:val="ListBullet"/>
      </w:pPr>
      <w:r>
        <w:t>ASOJU is introduced as the representation solution.</w:t>
      </w:r>
    </w:p>
    <w:p>
      <w:pPr>
        <w:pStyle w:val="ListBullet"/>
      </w:pPr>
      <w:r>
        <w:t>Creator must not claim personal use unless true.</w:t>
      </w:r>
    </w:p>
    <w:p>
      <w:pPr>
        <w:pStyle w:val="ListBullet"/>
      </w:pPr>
      <w:r>
        <w:t>Use clear sponsorship disclosure where required.</w:t>
      </w:r>
    </w:p>
    <w:p>
      <w:pPr>
        <w:pStyle w:val="ListBullet"/>
      </w:pPr>
      <w:r>
        <w:t>Measure qualified traffic and customer quality.</w:t>
      </w:r>
    </w:p>
    <w:p>
      <w:pPr>
        <w:pStyle w:val="Heading1"/>
      </w:pPr>
      <w:r>
        <w:t>35. Paid Media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Campaign platform vs direct service message</w:t>
            </w:r>
          </w:p>
        </w:tc>
        <w:tc>
          <w:tcPr>
            <w:tcW w:type="dxa" w:w="5112"/>
          </w:tcPr>
          <w:p>
            <w:r>
              <w:t>Find stronger positioning.</w:t>
            </w:r>
          </w:p>
        </w:tc>
      </w:tr>
      <w:tr>
        <w:tc>
          <w:tcPr>
            <w:tcW w:type="dxa" w:w="5112"/>
          </w:tcPr>
          <w:p>
            <w:r>
              <w:t>Family audience vs property audience</w:t>
            </w:r>
          </w:p>
        </w:tc>
        <w:tc>
          <w:tcPr>
            <w:tcW w:type="dxa" w:w="5112"/>
          </w:tcPr>
          <w:p>
            <w:r>
              <w:t>Find stronger segment.</w:t>
            </w:r>
          </w:p>
        </w:tc>
      </w:tr>
      <w:tr>
        <w:tc>
          <w:tcPr>
            <w:tcW w:type="dxa" w:w="5112"/>
          </w:tcPr>
          <w:p>
            <w:r>
              <w:t>Video vs static</w:t>
            </w:r>
          </w:p>
        </w:tc>
        <w:tc>
          <w:tcPr>
            <w:tcW w:type="dxa" w:w="5112"/>
          </w:tcPr>
          <w:p>
            <w:r>
              <w:t>Find stronger format.</w:t>
            </w:r>
          </w:p>
        </w:tc>
      </w:tr>
      <w:tr>
        <w:tc>
          <w:tcPr>
            <w:tcW w:type="dxa" w:w="5112"/>
          </w:tcPr>
          <w:p>
            <w:r>
              <w:t>Emotional vs proof creative</w:t>
            </w:r>
          </w:p>
        </w:tc>
        <w:tc>
          <w:tcPr>
            <w:tcW w:type="dxa" w:w="5112"/>
          </w:tcPr>
          <w:p>
            <w:r>
              <w:t>Find stronger conversion driver.</w:t>
            </w:r>
          </w:p>
        </w:tc>
      </w:tr>
      <w:tr>
        <w:tc>
          <w:tcPr>
            <w:tcW w:type="dxa" w:w="5112"/>
          </w:tcPr>
          <w:p>
            <w:r>
              <w:t>CTA variants</w:t>
            </w:r>
          </w:p>
        </w:tc>
        <w:tc>
          <w:tcPr>
            <w:tcW w:type="dxa" w:w="5112"/>
          </w:tcPr>
          <w:p>
            <w:r>
              <w:t>Reduce conversion friction.</w:t>
            </w:r>
          </w:p>
        </w:tc>
      </w:tr>
    </w:tbl>
    <w:p>
      <w:r>
        <w:rPr>
          <w:b w:val="0"/>
        </w:rPr>
        <w:t>Paid media should begin with controlled tests after landing-page tracking and operational capacity are ready.</w:t>
      </w:r>
    </w:p>
    <w:p>
      <w:pPr>
        <w:pStyle w:val="Heading1"/>
      </w:pPr>
      <w:r>
        <w:t>36. Launch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Level</w:t>
            </w:r>
          </w:p>
        </w:tc>
        <w:tc>
          <w:tcPr>
            <w:tcW w:type="dxa" w:w="5112"/>
          </w:tcPr>
          <w:p>
            <w:r>
              <w:t>Metrics</w:t>
            </w:r>
          </w:p>
        </w:tc>
      </w:tr>
      <w:tr>
        <w:tc>
          <w:tcPr>
            <w:tcW w:type="dxa" w:w="5112"/>
          </w:tcPr>
          <w:p>
            <w:r>
              <w:t>Awareness</w:t>
            </w:r>
          </w:p>
        </w:tc>
        <w:tc>
          <w:tcPr>
            <w:tcW w:type="dxa" w:w="5112"/>
          </w:tcPr>
          <w:p>
            <w:r>
              <w:t>Reach, video completion, brand search/direct traffic.</w:t>
            </w:r>
          </w:p>
        </w:tc>
      </w:tr>
      <w:tr>
        <w:tc>
          <w:tcPr>
            <w:tcW w:type="dxa" w:w="5112"/>
          </w:tcPr>
          <w:p>
            <w:r>
              <w:t>Engagement</w:t>
            </w:r>
          </w:p>
        </w:tc>
        <w:tc>
          <w:tcPr>
            <w:tcW w:type="dxa" w:w="5112"/>
          </w:tcPr>
          <w:p>
            <w:r>
              <w:t>Shares, saves, comments, profile visits.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Qualified leads, requests.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Paid/active, completed cases.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Customer trust/feedback signals.</w:t>
            </w:r>
          </w:p>
        </w:tc>
      </w:tr>
      <w:tr>
        <w:tc>
          <w:tcPr>
            <w:tcW w:type="dxa" w:w="5112"/>
          </w:tcPr>
          <w:p>
            <w:r>
              <w:t>Advocacy</w:t>
            </w:r>
          </w:p>
        </w:tc>
        <w:tc>
          <w:tcPr>
            <w:tcW w:type="dxa" w:w="5112"/>
          </w:tcPr>
          <w:p>
            <w:r>
              <w:t>Referrals.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CAC and contribution where data supports it.</w:t>
            </w:r>
          </w:p>
        </w:tc>
      </w:tr>
    </w:tbl>
    <w:p>
      <w:pPr>
        <w:pStyle w:val="Heading1"/>
      </w:pPr>
      <w:r>
        <w:t>37. Campaign Success Criteria</w:t>
      </w:r>
    </w:p>
    <w:p>
      <w:r>
        <w:rPr>
          <w:b w:val="0"/>
        </w:rPr>
        <w:t>The campaign should be judged primarily on quality of mental association and qualified demand—not reach alone.</w:t>
      </w:r>
    </w:p>
    <w:p>
      <w:pPr>
        <w:pStyle w:val="ListBullet"/>
      </w:pPr>
      <w:r>
        <w:t>Target customers understand what ASOJU is.</w:t>
      </w:r>
    </w:p>
    <w:p>
      <w:pPr>
        <w:pStyle w:val="ListBullet"/>
      </w:pPr>
      <w:r>
        <w:t>Customers connect ASOJU with trusted representation.</w:t>
      </w:r>
    </w:p>
    <w:p>
      <w:pPr>
        <w:pStyle w:val="ListBullet"/>
      </w:pPr>
      <w:r>
        <w:t>Qualified requests increase.</w:t>
      </w:r>
    </w:p>
    <w:p>
      <w:pPr>
        <w:pStyle w:val="ListBullet"/>
      </w:pPr>
      <w:r>
        <w:t>Customers understand the trust mechanism.</w:t>
      </w:r>
    </w:p>
    <w:p>
      <w:pPr>
        <w:pStyle w:val="ListBullet"/>
      </w:pPr>
      <w:r>
        <w:t>Early customers generate referrals.</w:t>
      </w:r>
    </w:p>
    <w:p>
      <w:pPr>
        <w:pStyle w:val="ListBullet"/>
      </w:pPr>
      <w:r>
        <w:t>Marketing does not create demand beyond operational capacity.</w:t>
      </w:r>
    </w:p>
    <w:p>
      <w:pPr>
        <w:pStyle w:val="Heading1"/>
      </w:pPr>
      <w:r>
        <w:t>38. Campaign Testing Questions</w:t>
      </w:r>
    </w:p>
    <w:p>
      <w:pPr>
        <w:pStyle w:val="ListBullet"/>
      </w:pPr>
      <w:r>
        <w:t>What do people think ASOJU does after seeing the campaign?</w:t>
      </w:r>
    </w:p>
    <w:p>
      <w:pPr>
        <w:pStyle w:val="ListBullet"/>
      </w:pPr>
      <w:r>
        <w:t>Do they understand “rep”?</w:t>
      </w:r>
    </w:p>
    <w:p>
      <w:pPr>
        <w:pStyle w:val="ListBullet"/>
      </w:pPr>
      <w:r>
        <w:t>Which creative makes the problem feel most relevant?</w:t>
      </w:r>
    </w:p>
    <w:p>
      <w:pPr>
        <w:pStyle w:val="ListBullet"/>
      </w:pPr>
      <w:r>
        <w:t>Which creative creates the most trust?</w:t>
      </w:r>
    </w:p>
    <w:p>
      <w:pPr>
        <w:pStyle w:val="ListBullet"/>
      </w:pPr>
      <w:r>
        <w:t>Which CTA creates qualified requests?</w:t>
      </w:r>
    </w:p>
    <w:p>
      <w:pPr>
        <w:pStyle w:val="ListBullet"/>
      </w:pPr>
      <w:r>
        <w:t>Which audience segment converts best?</w:t>
      </w:r>
    </w:p>
    <w:p>
      <w:pPr>
        <w:pStyle w:val="ListBullet"/>
      </w:pPr>
      <w:r>
        <w:t>What objections remain?</w:t>
      </w:r>
    </w:p>
    <w:p>
      <w:pPr>
        <w:pStyle w:val="Heading1"/>
      </w:pPr>
      <w:r>
        <w:t>39. Launch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Campaign overpromises</w:t>
            </w:r>
          </w:p>
        </w:tc>
        <w:tc>
          <w:tcPr>
            <w:tcW w:type="dxa" w:w="5112"/>
          </w:tcPr>
          <w:p>
            <w:r>
              <w:t>Review claims against Operations.</w:t>
            </w:r>
          </w:p>
        </w:tc>
      </w:tr>
      <w:tr>
        <w:tc>
          <w:tcPr>
            <w:tcW w:type="dxa" w:w="5112"/>
          </w:tcPr>
          <w:p>
            <w:r>
              <w:t>Demand exceeds capacity</w:t>
            </w:r>
          </w:p>
        </w:tc>
        <w:tc>
          <w:tcPr>
            <w:tcW w:type="dxa" w:w="5112"/>
          </w:tcPr>
          <w:p>
            <w:r>
              <w:t>Control intake and pacing.</w:t>
            </w:r>
          </w:p>
        </w:tc>
      </w:tr>
      <w:tr>
        <w:tc>
          <w:tcPr>
            <w:tcW w:type="dxa" w:w="5112"/>
          </w:tcPr>
          <w:p>
            <w:r>
              <w:t>Brand interpreted as generic errands</w:t>
            </w:r>
          </w:p>
        </w:tc>
        <w:tc>
          <w:tcPr>
            <w:tcW w:type="dxa" w:w="5112"/>
          </w:tcPr>
          <w:p>
            <w:r>
              <w:t>Keep representation narrative dominant.</w:t>
            </w:r>
          </w:p>
        </w:tc>
      </w:tr>
      <w:tr>
        <w:tc>
          <w:tcPr>
            <w:tcW w:type="dxa" w:w="5112"/>
          </w:tcPr>
          <w:p>
            <w:r>
              <w:t>Emotional messaging becomes guilt-based</w:t>
            </w:r>
          </w:p>
        </w:tc>
        <w:tc>
          <w:tcPr>
            <w:tcW w:type="dxa" w:w="5112"/>
          </w:tcPr>
          <w:p>
            <w:r>
              <w:t>Use presence, not guilt.</w:t>
            </w:r>
          </w:p>
        </w:tc>
      </w:tr>
      <w:tr>
        <w:tc>
          <w:tcPr>
            <w:tcW w:type="dxa" w:w="5112"/>
          </w:tcPr>
          <w:p>
            <w:r>
              <w:t>Proof is insufficient at launch</w:t>
            </w:r>
          </w:p>
        </w:tc>
        <w:tc>
          <w:tcPr>
            <w:tcW w:type="dxa" w:w="5112"/>
          </w:tcPr>
          <w:p>
            <w:r>
              <w:t>Use process/evidence education and clearly labeled examples.</w:t>
            </w:r>
          </w:p>
        </w:tc>
      </w:tr>
      <w:tr>
        <w:tc>
          <w:tcPr>
            <w:tcW w:type="dxa" w:w="5112"/>
          </w:tcPr>
          <w:p>
            <w:r>
              <w:t>Customer privacy exposed</w:t>
            </w:r>
          </w:p>
        </w:tc>
        <w:tc>
          <w:tcPr>
            <w:tcW w:type="dxa" w:w="5112"/>
          </w:tcPr>
          <w:p>
            <w:r>
              <w:t>Consent + privacy review.</w:t>
            </w:r>
          </w:p>
        </w:tc>
      </w:tr>
      <w:tr>
        <w:tc>
          <w:tcPr>
            <w:tcW w:type="dxa" w:w="5112"/>
          </w:tcPr>
          <w:p>
            <w:r>
              <w:t>Paid media too early</w:t>
            </w:r>
          </w:p>
        </w:tc>
        <w:tc>
          <w:tcPr>
            <w:tcW w:type="dxa" w:w="5112"/>
          </w:tcPr>
          <w:p>
            <w:r>
              <w:t>Stage testing after fundamentals are ready.</w:t>
            </w:r>
          </w:p>
        </w:tc>
      </w:tr>
      <w:tr>
        <w:tc>
          <w:tcPr>
            <w:tcW w:type="dxa" w:w="5112"/>
          </w:tcPr>
          <w:p>
            <w:r>
              <w:t>Community fatigue</w:t>
            </w:r>
          </w:p>
        </w:tc>
        <w:tc>
          <w:tcPr>
            <w:tcW w:type="dxa" w:w="5112"/>
          </w:tcPr>
          <w:p>
            <w:r>
              <w:t>Value-first, permission-based engagement.</w:t>
            </w:r>
          </w:p>
        </w:tc>
      </w:tr>
    </w:tbl>
    <w:p>
      <w:pPr>
        <w:pStyle w:val="Heading1"/>
      </w:pPr>
      <w:r>
        <w:t>40. Launch Command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Brand Lead</w:t>
            </w:r>
          </w:p>
        </w:tc>
        <w:tc>
          <w:tcPr>
            <w:tcW w:type="dxa" w:w="5112"/>
          </w:tcPr>
          <w:p>
            <w:r>
              <w:t>Campaign integrity and identity.</w:t>
            </w:r>
          </w:p>
        </w:tc>
      </w:tr>
      <w:tr>
        <w:tc>
          <w:tcPr>
            <w:tcW w:type="dxa" w:w="5112"/>
          </w:tcPr>
          <w:p>
            <w:r>
              <w:t>Marketing/GTM Lead</w:t>
            </w:r>
          </w:p>
        </w:tc>
        <w:tc>
          <w:tcPr>
            <w:tcW w:type="dxa" w:w="5112"/>
          </w:tcPr>
          <w:p>
            <w:r>
              <w:t>Demand and channel performance.</w:t>
            </w:r>
          </w:p>
        </w:tc>
      </w:tr>
      <w:tr>
        <w:tc>
          <w:tcPr>
            <w:tcW w:type="dxa" w:w="5112"/>
          </w:tcPr>
          <w:p>
            <w:r>
              <w:t>Creative Lead</w:t>
            </w:r>
          </w:p>
        </w:tc>
        <w:tc>
          <w:tcPr>
            <w:tcW w:type="dxa" w:w="5112"/>
          </w:tcPr>
          <w:p>
            <w:r>
              <w:t>Campaign production.</w:t>
            </w:r>
          </w:p>
        </w:tc>
      </w:tr>
      <w:tr>
        <w:tc>
          <w:tcPr>
            <w:tcW w:type="dxa" w:w="5112"/>
          </w:tcPr>
          <w:p>
            <w:r>
              <w:t>Content Lead</w:t>
            </w:r>
          </w:p>
        </w:tc>
        <w:tc>
          <w:tcPr>
            <w:tcW w:type="dxa" w:w="5112"/>
          </w:tcPr>
          <w:p>
            <w:r>
              <w:t>Editorial execution.</w:t>
            </w:r>
          </w:p>
        </w:tc>
      </w:tr>
      <w:tr>
        <w:tc>
          <w:tcPr>
            <w:tcW w:type="dxa" w:w="5112"/>
          </w:tcPr>
          <w:p>
            <w:r>
              <w:t>CX/Ops</w:t>
            </w:r>
          </w:p>
        </w:tc>
        <w:tc>
          <w:tcPr>
            <w:tcW w:type="dxa" w:w="5112"/>
          </w:tcPr>
          <w:p>
            <w:r>
              <w:t>Customer truth, serviceability and proof.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Landing/product conversion.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Tracking and technical reliability.</w:t>
            </w:r>
          </w:p>
        </w:tc>
      </w:tr>
      <w:tr>
        <w:tc>
          <w:tcPr>
            <w:tcW w:type="dxa" w:w="5112"/>
          </w:tcPr>
          <w:p>
            <w:r>
              <w:t>Executive Sponsor</w:t>
            </w:r>
          </w:p>
        </w:tc>
        <w:tc>
          <w:tcPr>
            <w:tcW w:type="dxa" w:w="5112"/>
          </w:tcPr>
          <w:p>
            <w:r>
              <w:t>Launch decisions and major risks.</w:t>
            </w:r>
          </w:p>
        </w:tc>
      </w:tr>
    </w:tbl>
    <w:p>
      <w:pPr>
        <w:pStyle w:val="Heading1"/>
      </w:pPr>
      <w:r>
        <w:t>41. Daily Launch War Room</w:t>
      </w:r>
    </w:p>
    <w:p>
      <w:r>
        <w:rPr>
          <w:b w:val="0"/>
        </w:rPr>
        <w:t>During the first active launch period, review:</w:t>
      </w:r>
    </w:p>
    <w:p>
      <w:pPr>
        <w:pStyle w:val="ListBullet"/>
      </w:pPr>
      <w:r>
        <w:t>Qualified leads.</w:t>
      </w:r>
    </w:p>
    <w:p>
      <w:pPr>
        <w:pStyle w:val="ListBullet"/>
      </w:pPr>
      <w:r>
        <w:t>Customer questions/objections.</w:t>
      </w:r>
    </w:p>
    <w:p>
      <w:pPr>
        <w:pStyle w:val="ListBullet"/>
      </w:pPr>
      <w:r>
        <w:t>Conversion.</w:t>
      </w:r>
    </w:p>
    <w:p>
      <w:pPr>
        <w:pStyle w:val="ListBullet"/>
      </w:pPr>
      <w:r>
        <w:t>Top-performing creative.</w:t>
      </w:r>
    </w:p>
    <w:p>
      <w:pPr>
        <w:pStyle w:val="ListBullet"/>
      </w:pPr>
      <w:r>
        <w:t>Operational capacity.</w:t>
      </w:r>
    </w:p>
    <w:p>
      <w:pPr>
        <w:pStyle w:val="ListBullet"/>
      </w:pPr>
      <w:r>
        <w:t>Customer trust signals.</w:t>
      </w:r>
    </w:p>
    <w:p>
      <w:pPr>
        <w:pStyle w:val="ListBullet"/>
      </w:pPr>
      <w:r>
        <w:t>Incidents.</w:t>
      </w:r>
    </w:p>
    <w:p>
      <w:pPr>
        <w:pStyle w:val="ListBullet"/>
      </w:pPr>
      <w:r>
        <w:t>Community response.</w:t>
      </w:r>
    </w:p>
    <w:p>
      <w:pPr>
        <w:pStyle w:val="ListBullet"/>
      </w:pPr>
      <w:r>
        <w:t>Actions for next 24–48 hours.</w:t>
      </w:r>
    </w:p>
    <w:p>
      <w:pPr>
        <w:pStyle w:val="Heading1"/>
      </w:pPr>
      <w:r>
        <w:t>42. Launch Creative Approval Checklist</w:t>
      </w:r>
    </w:p>
    <w:p>
      <w:pPr>
        <w:pStyle w:val="ListBullet"/>
      </w:pPr>
      <w:r>
        <w:t>Brand identity correct.</w:t>
      </w:r>
    </w:p>
    <w:p>
      <w:pPr>
        <w:pStyle w:val="ListBullet"/>
      </w:pPr>
      <w:r>
        <w:t>Primary tagline correct.</w:t>
      </w:r>
    </w:p>
    <w:p>
      <w:pPr>
        <w:pStyle w:val="ListBullet"/>
      </w:pPr>
      <w:r>
        <w:t>Campaign platform correct.</w:t>
      </w:r>
    </w:p>
    <w:p>
      <w:pPr>
        <w:pStyle w:val="ListBullet"/>
      </w:pPr>
      <w:r>
        <w:t>Claim supported by operations.</w:t>
      </w:r>
    </w:p>
    <w:p>
      <w:pPr>
        <w:pStyle w:val="ListBullet"/>
      </w:pPr>
      <w:r>
        <w:t>Customer benefit clear.</w:t>
      </w:r>
    </w:p>
    <w:p>
      <w:pPr>
        <w:pStyle w:val="ListBullet"/>
      </w:pPr>
      <w:r>
        <w:t>CTA clear.</w:t>
      </w:r>
    </w:p>
    <w:p>
      <w:pPr>
        <w:pStyle w:val="ListBullet"/>
      </w:pPr>
      <w:r>
        <w:t>Privacy checked.</w:t>
      </w:r>
    </w:p>
    <w:p>
      <w:pPr>
        <w:pStyle w:val="ListBullet"/>
      </w:pPr>
      <w:r>
        <w:t>Accessibility checked.</w:t>
      </w:r>
    </w:p>
    <w:p>
      <w:pPr>
        <w:pStyle w:val="ListBullet"/>
      </w:pPr>
      <w:r>
        <w:t>Partner/creator disclosures handled.</w:t>
      </w:r>
    </w:p>
    <w:p>
      <w:pPr>
        <w:pStyle w:val="ListBullet"/>
      </w:pPr>
      <w:r>
        <w:t>Tracking configured.</w:t>
      </w:r>
    </w:p>
    <w:p>
      <w:pPr>
        <w:pStyle w:val="ListBullet"/>
      </w:pPr>
      <w:r>
        <w:t>Final asset version archived.</w:t>
      </w:r>
    </w:p>
    <w:p>
      <w:pPr>
        <w:pStyle w:val="Heading1"/>
      </w:pPr>
      <w:r>
        <w:t>43. Brand Consistency Rules</w:t>
      </w:r>
    </w:p>
    <w:p>
      <w:r>
        <w:rPr>
          <w:b w:val="0"/>
        </w:rPr>
        <w:t>Every launch asset should answer three questions:</w:t>
      </w:r>
    </w:p>
    <w:p>
      <w:pPr>
        <w:pStyle w:val="ListNumber"/>
      </w:pPr>
      <w:r>
        <w:t>Does this feel unmistakably ASOJU?</w:t>
      </w:r>
    </w:p>
    <w:p>
      <w:pPr>
        <w:pStyle w:val="ListNumber"/>
      </w:pPr>
      <w:r>
        <w:t>Does this reinforce trusted representation?</w:t>
      </w:r>
    </w:p>
    <w:p>
      <w:pPr>
        <w:pStyle w:val="ListNumber"/>
      </w:pPr>
      <w:r>
        <w:t>Does this make the customer feel more confident about being represented back home?</w:t>
      </w:r>
    </w:p>
    <w:p>
      <w:pPr>
        <w:pStyle w:val="Heading1"/>
      </w:pPr>
      <w:r>
        <w:t>44. Launch Asset Naming</w:t>
      </w:r>
    </w:p>
    <w:p>
      <w:r>
        <w:rPr>
          <w:b w:val="0"/>
        </w:rPr>
        <w:t>Recommended:</w:t>
      </w:r>
    </w:p>
    <w:p>
      <w:r>
        <w:rPr>
          <w:b w:val="0"/>
        </w:rPr>
        <w:t>ASOJU_LAUNCH_[ASSET]_[VERSION]_[DATE]</w:t>
      </w:r>
    </w:p>
    <w:p>
      <w:pPr>
        <w:pStyle w:val="ListBullet"/>
      </w:pPr>
      <w:r>
        <w:t>ASOJU_LAUNCH_HEROFILM_V1.0</w:t>
      </w:r>
    </w:p>
    <w:p>
      <w:pPr>
        <w:pStyle w:val="ListBullet"/>
      </w:pPr>
      <w:r>
        <w:t>ASOJU_LAUNCH_CAROUSEL01_V1.0</w:t>
      </w:r>
    </w:p>
    <w:p>
      <w:pPr>
        <w:pStyle w:val="ListBullet"/>
      </w:pPr>
      <w:r>
        <w:t>ASOJU_LAUNCH_SOCIAL01_V1.0</w:t>
      </w:r>
    </w:p>
    <w:p>
      <w:pPr>
        <w:pStyle w:val="ListBullet"/>
      </w:pPr>
      <w:r>
        <w:t>ASOJU_LAUNCH_EMAIL01_V1.0</w:t>
      </w:r>
    </w:p>
    <w:p>
      <w:pPr>
        <w:pStyle w:val="ListBullet"/>
      </w:pPr>
      <w:r>
        <w:t>ASOJU_LAUNCH_LANDING_V1.0</w:t>
      </w:r>
    </w:p>
    <w:p>
      <w:pPr>
        <w:pStyle w:val="Heading1"/>
      </w:pPr>
      <w:r>
        <w:t>45. Post-Launch Review</w:t>
      </w:r>
    </w:p>
    <w:p>
      <w:pPr>
        <w:pStyle w:val="ListNumber"/>
      </w:pPr>
      <w:r>
        <w:t>Review awareness/association.</w:t>
      </w:r>
    </w:p>
    <w:p>
      <w:pPr>
        <w:pStyle w:val="ListNumber"/>
      </w:pPr>
      <w:r>
        <w:t>Review qualified demand.</w:t>
      </w:r>
    </w:p>
    <w:p>
      <w:pPr>
        <w:pStyle w:val="ListNumber"/>
      </w:pPr>
      <w:r>
        <w:t>Review conversion.</w:t>
      </w:r>
    </w:p>
    <w:p>
      <w:pPr>
        <w:pStyle w:val="ListNumber"/>
      </w:pPr>
      <w:r>
        <w:t>Review customer quality.</w:t>
      </w:r>
    </w:p>
    <w:p>
      <w:pPr>
        <w:pStyle w:val="ListNumber"/>
      </w:pPr>
      <w:r>
        <w:t>Review operational impact.</w:t>
      </w:r>
    </w:p>
    <w:p>
      <w:pPr>
        <w:pStyle w:val="ListNumber"/>
      </w:pPr>
      <w:r>
        <w:t>Review best creative.</w:t>
      </w:r>
    </w:p>
    <w:p>
      <w:pPr>
        <w:pStyle w:val="ListNumber"/>
      </w:pPr>
      <w:r>
        <w:t>Review best audience.</w:t>
      </w:r>
    </w:p>
    <w:p>
      <w:pPr>
        <w:pStyle w:val="ListNumber"/>
      </w:pPr>
      <w:r>
        <w:t>Review strongest message.</w:t>
      </w:r>
    </w:p>
    <w:p>
      <w:pPr>
        <w:pStyle w:val="ListNumber"/>
      </w:pPr>
      <w:r>
        <w:t>Review objections.</w:t>
      </w:r>
    </w:p>
    <w:p>
      <w:pPr>
        <w:pStyle w:val="ListNumber"/>
      </w:pPr>
      <w:r>
        <w:t>Decide scale, modify or stop.</w:t>
      </w:r>
    </w:p>
    <w:p>
      <w:pPr>
        <w:pStyle w:val="Heading1"/>
      </w:pPr>
      <w:r>
        <w:t>46. Campaign Learning Loop</w:t>
      </w:r>
    </w:p>
    <w:p>
      <w:r>
        <w:rPr>
          <w:b/>
        </w:rPr>
        <w:t>LAUNCH → LISTEN → MEASURE → LEARN → REFINE → REDEPLOY</w:t>
      </w:r>
    </w:p>
    <w:p>
      <w:r>
        <w:rPr>
          <w:b w:val="0"/>
        </w:rPr>
        <w:t>The launch is not a one-time creative event. It is the first controlled experiment in how ASOJU earns category ownership.</w:t>
      </w:r>
    </w:p>
    <w:p>
      <w:pPr>
        <w:pStyle w:val="Heading1"/>
      </w:pPr>
      <w:r>
        <w:t>47. What Success Looks Like</w:t>
      </w:r>
    </w:p>
    <w:p>
      <w:r>
        <w:rPr>
          <w:b/>
        </w:rPr>
        <w:t>A successful launch does not simply make people say, “I've heard of ASOJU.”</w:t>
      </w:r>
    </w:p>
    <w:p>
      <w:r>
        <w:rPr>
          <w:b w:val="0"/>
        </w:rPr>
        <w:t>It makes the right customer say:</w:t>
      </w:r>
    </w:p>
    <w:p>
      <w:r>
        <w:rPr>
          <w:b/>
        </w:rPr>
        <w:t>“I live abroad. I need something important handled in Nigeria. I need someone I can trust. ASOJU is the trusted rep back home.”</w:t>
      </w:r>
    </w:p>
    <w:p>
      <w:pPr>
        <w:pStyle w:val="Heading1"/>
      </w:pPr>
      <w:r>
        <w:t>48. Final Campaign Statement</w:t>
      </w:r>
    </w:p>
    <w:p>
      <w:r>
        <w:rPr>
          <w:b/>
        </w:rPr>
        <w:t>BE THERE, EVEN WHEN YOU CAN'T BE THERE.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49. Governance</w:t>
      </w:r>
    </w:p>
    <w:p>
      <w:r>
        <w:rPr>
          <w:b w:val="0"/>
        </w:rPr>
        <w:t>Document owner: ASOJU Brand / Marketing / GTM.</w:t>
      </w:r>
    </w:p>
    <w:p>
      <w:r>
        <w:rPr>
          <w:b w:val="0"/>
        </w:rPr>
        <w:t>Version: 1.0 | Launch Creative &amp; Activation Plan.</w:t>
      </w:r>
    </w:p>
    <w:p>
      <w:r>
        <w:rPr>
          <w:b w:val="0"/>
        </w:rPr>
        <w:t>Use alongside the ASOJU Brand Strategy &amp; Positioning, Brand Identity Guidelines, Messaging &amp; Verbal Identity Guide, Diaspora Marketing Strategy and Content &amp; Campaign Playbook.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