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BRAND STRATEGY</w:t>
        <w:br/>
        <w:t>&amp; POSITIONING</w:t>
      </w:r>
    </w:p>
    <w:p>
      <w:pPr>
        <w:jc w:val="center"/>
      </w:pPr>
      <w:r>
        <w:rPr>
          <w:b/>
        </w:rPr>
        <w:t>Version 1.0 | Brand Foundation</w:t>
      </w:r>
    </w:p>
    <w:p>
      <w:r>
        <w:rPr>
          <w:b w:val="0"/>
        </w:rPr>
        <w:t>Brand: ASOJU</w:t>
      </w:r>
    </w:p>
    <w:p>
      <w:r>
        <w:rPr>
          <w:b w:val="0"/>
        </w:rPr>
        <w:t>Primary tagline: Your Trusted Rep Back Home.</w:t>
      </w:r>
    </w:p>
    <w:p>
      <w:r>
        <w:rPr>
          <w:b w:val="0"/>
        </w:rPr>
        <w:t>Strategic brand idea: Representation from a distance.</w:t>
      </w:r>
    </w:p>
    <w:p>
      <w:r>
        <w:rPr>
          <w:b w:val="0"/>
        </w:rPr>
        <w:t>Purpose: establish the strategic foundation for ASOJU's brand, positioning and marketing so every customer touchpoint reinforces the same distinctive mental association.</w:t>
      </w:r>
    </w:p>
    <w:p>
      <w:pPr>
        <w:pStyle w:val="Heading1"/>
      </w:pPr>
      <w:r>
        <w:t>1. Executive Brand North Star</w:t>
      </w:r>
    </w:p>
    <w:p>
      <w:r>
        <w:rPr>
          <w:b/>
        </w:rPr>
        <w:t>When someone hears ASOJU, we want them to immediately remember:</w:t>
      </w:r>
    </w:p>
    <w:p>
      <w:r>
        <w:rPr>
          <w:b w:val="0"/>
        </w:rPr>
        <w:t>“The platform that helps and supports their families abroad to be well represented in Nigeria.”</w:t>
      </w:r>
    </w:p>
    <w:p>
      <w:r>
        <w:rPr>
          <w:b w:val="0"/>
        </w:rPr>
        <w:t>This is the core strategic direction for the brand.</w:t>
      </w:r>
    </w:p>
    <w:p>
      <w:r>
        <w:rPr>
          <w:b w:val="0"/>
        </w:rPr>
        <w:t>ASOJU should not be remembered merely as an errand service, marketplace, logistics provider or task platform. The stronger category is trusted representation: helping people who live abroad have someone credible acting, coordinating, checking and supporting matters for them back home.</w:t>
      </w:r>
    </w:p>
    <w:p>
      <w:pPr>
        <w:pStyle w:val="Heading1"/>
      </w:pPr>
      <w:r>
        <w:t>2. Brand Essence</w:t>
      </w:r>
    </w:p>
    <w:p>
      <w:r>
        <w:rPr>
          <w:b/>
        </w:rPr>
        <w:t>ASOJU = trusted representation when you cannot be physically present.</w:t>
      </w:r>
    </w:p>
    <w:p>
      <w:r>
        <w:rPr>
          <w:b w:val="0"/>
        </w:rPr>
        <w:t>The emotional truth is simple: distance does not remove responsibility.</w:t>
      </w:r>
    </w:p>
    <w:p>
      <w:r>
        <w:rPr>
          <w:b w:val="0"/>
        </w:rPr>
        <w:t>People abroad may be far from home, but their families, property, responsibilities, decisions and interests remain in Nigeria. ASOJU exists to help close that distance through trusted representation.</w:t>
      </w:r>
    </w:p>
    <w:p>
      <w:pPr>
        <w:pStyle w:val="Heading1"/>
      </w:pPr>
      <w:r>
        <w:t>3. Brand Territory</w:t>
      </w:r>
    </w:p>
    <w:tbl>
      <w:tblPr>
        <w:tblStyle w:val="TableGrid"/>
        <w:tblW w:type="auto" w:w="0"/>
        <w:jc w:val="center"/>
        <w:tblLook w:firstColumn="1" w:firstRow="1" w:lastColumn="0" w:lastRow="0" w:noHBand="0" w:noVBand="1" w:val="04A0"/>
      </w:tblPr>
      <w:tblGrid>
        <w:gridCol w:w="5112"/>
        <w:gridCol w:w="5112"/>
      </w:tblGrid>
      <w:tr>
        <w:tc>
          <w:tcPr>
            <w:tcW w:type="dxa" w:w="5112"/>
          </w:tcPr>
          <w:p>
            <w:r>
              <w:t>Dimension</w:t>
            </w:r>
          </w:p>
        </w:tc>
        <w:tc>
          <w:tcPr>
            <w:tcW w:type="dxa" w:w="5112"/>
          </w:tcPr>
          <w:p>
            <w:r>
              <w:t>ASOJU Territory</w:t>
            </w:r>
          </w:p>
        </w:tc>
      </w:tr>
      <w:tr>
        <w:tc>
          <w:tcPr>
            <w:tcW w:type="dxa" w:w="5112"/>
          </w:tcPr>
          <w:p>
            <w:r>
              <w:t>Geographic</w:t>
            </w:r>
          </w:p>
        </w:tc>
        <w:tc>
          <w:tcPr>
            <w:tcW w:type="dxa" w:w="5112"/>
          </w:tcPr>
          <w:p>
            <w:r>
              <w:t>Diaspora ↔ Nigeria.</w:t>
            </w:r>
          </w:p>
        </w:tc>
      </w:tr>
      <w:tr>
        <w:tc>
          <w:tcPr>
            <w:tcW w:type="dxa" w:w="5112"/>
          </w:tcPr>
          <w:p>
            <w:r>
              <w:t>Emotional</w:t>
            </w:r>
          </w:p>
        </w:tc>
        <w:tc>
          <w:tcPr>
            <w:tcW w:type="dxa" w:w="5112"/>
          </w:tcPr>
          <w:p>
            <w:r>
              <w:t>Peace of mind, trust, presence and care.</w:t>
            </w:r>
          </w:p>
        </w:tc>
      </w:tr>
      <w:tr>
        <w:tc>
          <w:tcPr>
            <w:tcW w:type="dxa" w:w="5112"/>
          </w:tcPr>
          <w:p>
            <w:r>
              <w:t>Functional</w:t>
            </w:r>
          </w:p>
        </w:tc>
        <w:tc>
          <w:tcPr>
            <w:tcW w:type="dxa" w:w="5112"/>
          </w:tcPr>
          <w:p>
            <w:r>
              <w:t>Representation, coordination, support, verification and execution.</w:t>
            </w:r>
          </w:p>
        </w:tc>
      </w:tr>
      <w:tr>
        <w:tc>
          <w:tcPr>
            <w:tcW w:type="dxa" w:w="5112"/>
          </w:tcPr>
          <w:p>
            <w:r>
              <w:t>Relationship</w:t>
            </w:r>
          </w:p>
        </w:tc>
        <w:tc>
          <w:tcPr>
            <w:tcW w:type="dxa" w:w="5112"/>
          </w:tcPr>
          <w:p>
            <w:r>
              <w:t>A trusted extension of the customer back home.</w:t>
            </w:r>
          </w:p>
        </w:tc>
      </w:tr>
      <w:tr>
        <w:tc>
          <w:tcPr>
            <w:tcW w:type="dxa" w:w="5112"/>
          </w:tcPr>
          <w:p>
            <w:r>
              <w:t>Category</w:t>
            </w:r>
          </w:p>
        </w:tc>
        <w:tc>
          <w:tcPr>
            <w:tcW w:type="dxa" w:w="5112"/>
          </w:tcPr>
          <w:p>
            <w:r>
              <w:t>Trusted representation platform.</w:t>
            </w:r>
          </w:p>
        </w:tc>
      </w:tr>
      <w:tr>
        <w:tc>
          <w:tcPr>
            <w:tcW w:type="dxa" w:w="5112"/>
          </w:tcPr>
          <w:p>
            <w:r>
              <w:t>Long-term ambition</w:t>
            </w:r>
          </w:p>
        </w:tc>
        <w:tc>
          <w:tcPr>
            <w:tcW w:type="dxa" w:w="5112"/>
          </w:tcPr>
          <w:p>
            <w:r>
              <w:t>Become the default trusted representation layer connecting diaspora customers to life, family and responsibilities in Nigeria.</w:t>
            </w:r>
          </w:p>
        </w:tc>
      </w:tr>
    </w:tbl>
    <w:p>
      <w:pPr>
        <w:pStyle w:val="Heading1"/>
      </w:pPr>
      <w:r>
        <w:t>4. Brand Purpose</w:t>
      </w:r>
    </w:p>
    <w:p>
      <w:r>
        <w:rPr>
          <w:b/>
        </w:rPr>
        <w:t>To make distance less of a barrier to caring for, supporting and managing what matters back home.</w:t>
      </w:r>
    </w:p>
    <w:p>
      <w:pPr>
        <w:pStyle w:val="Heading1"/>
      </w:pPr>
      <w:r>
        <w:t>5. Mission</w:t>
      </w:r>
    </w:p>
    <w:p>
      <w:r>
        <w:rPr>
          <w:b/>
        </w:rPr>
        <w:t>To help people living abroad confidently support their families and manage important responsibilities in Nigeria through trusted representation, coordinated services, transparent execution and evidence-backed outcomes.</w:t>
      </w:r>
    </w:p>
    <w:p>
      <w:pPr>
        <w:pStyle w:val="Heading1"/>
      </w:pPr>
      <w:r>
        <w:t>6. Vision</w:t>
      </w:r>
    </w:p>
    <w:p>
      <w:r>
        <w:rPr>
          <w:b/>
        </w:rPr>
        <w:t>To become Africa's most trusted platform for diaspora representation—so that wherever people live, they can have reliable support for what matters back home.</w:t>
      </w:r>
    </w:p>
    <w:p>
      <w:pPr>
        <w:pStyle w:val="Heading1"/>
      </w:pPr>
      <w:r>
        <w:t>7. Brand Promise</w:t>
      </w:r>
    </w:p>
    <w:p>
      <w:r>
        <w:rPr>
          <w:b/>
        </w:rPr>
        <w:t>ASOJU helps you stay represented back home—with trusted people, clear expectations and visible proof of what was done.</w:t>
      </w:r>
    </w:p>
    <w:p>
      <w:pPr>
        <w:pStyle w:val="Heading1"/>
      </w:pPr>
      <w:r>
        <w:t>8. Primary Tagline</w:t>
      </w:r>
    </w:p>
    <w:p>
      <w:r>
        <w:rPr>
          <w:b/>
        </w:rPr>
        <w:t>YOUR TRUSTED REP BACK HOME.</w:t>
      </w:r>
    </w:p>
    <w:p>
      <w:r>
        <w:rPr>
          <w:b w:val="0"/>
        </w:rPr>
        <w:t>Strategic rationale:</w:t>
      </w:r>
    </w:p>
    <w:p>
      <w:pPr>
        <w:pStyle w:val="ListBullet"/>
      </w:pPr>
      <w:r>
        <w:t>“Your” makes the relationship personal.</w:t>
      </w:r>
    </w:p>
    <w:p>
      <w:pPr>
        <w:pStyle w:val="ListBullet"/>
      </w:pPr>
      <w:r>
        <w:t>“Trusted” addresses the primary barrier to remote delegation.</w:t>
      </w:r>
    </w:p>
    <w:p>
      <w:pPr>
        <w:pStyle w:val="ListBullet"/>
      </w:pPr>
      <w:r>
        <w:t>“Rep” creates a distinctive category association around representation rather than generic errands.</w:t>
      </w:r>
    </w:p>
    <w:p>
      <w:pPr>
        <w:pStyle w:val="ListBullet"/>
      </w:pPr>
      <w:r>
        <w:t>“Back Home” immediately establishes the diaspora-to-Nigeria context.</w:t>
      </w:r>
    </w:p>
    <w:p>
      <w:pPr>
        <w:pStyle w:val="ListBullet"/>
      </w:pPr>
      <w:r>
        <w:t>The line is short enough to work across the logo, website, social profiles, campaigns and customer communications.</w:t>
      </w:r>
    </w:p>
    <w:p>
      <w:pPr>
        <w:pStyle w:val="Heading1"/>
      </w:pPr>
      <w:r>
        <w:t>9. Supporting Brand Lines</w:t>
      </w:r>
    </w:p>
    <w:tbl>
      <w:tblPr>
        <w:tblStyle w:val="TableGrid"/>
        <w:tblW w:type="auto" w:w="0"/>
        <w:jc w:val="center"/>
        <w:tblLook w:firstColumn="1" w:firstRow="1" w:lastColumn="0" w:lastRow="0" w:noHBand="0" w:noVBand="1" w:val="04A0"/>
      </w:tblPr>
      <w:tblGrid>
        <w:gridCol w:w="5112"/>
        <w:gridCol w:w="5112"/>
      </w:tblGrid>
      <w:tr>
        <w:tc>
          <w:tcPr>
            <w:tcW w:type="dxa" w:w="5112"/>
          </w:tcPr>
          <w:p>
            <w:r>
              <w:t>Use</w:t>
            </w:r>
          </w:p>
        </w:tc>
        <w:tc>
          <w:tcPr>
            <w:tcW w:type="dxa" w:w="5112"/>
          </w:tcPr>
          <w:p>
            <w:r>
              <w:t>Line</w:t>
            </w:r>
          </w:p>
        </w:tc>
      </w:tr>
      <w:tr>
        <w:tc>
          <w:tcPr>
            <w:tcW w:type="dxa" w:w="5112"/>
          </w:tcPr>
          <w:p>
            <w:r>
              <w:t>Primary</w:t>
            </w:r>
          </w:p>
        </w:tc>
        <w:tc>
          <w:tcPr>
            <w:tcW w:type="dxa" w:w="5112"/>
          </w:tcPr>
          <w:p>
            <w:r>
              <w:t>Your Trusted Rep Back Home.</w:t>
            </w:r>
          </w:p>
        </w:tc>
      </w:tr>
      <w:tr>
        <w:tc>
          <w:tcPr>
            <w:tcW w:type="dxa" w:w="5112"/>
          </w:tcPr>
          <w:p>
            <w:r>
              <w:t>Emotional support line</w:t>
            </w:r>
          </w:p>
        </w:tc>
        <w:tc>
          <w:tcPr>
            <w:tcW w:type="dxa" w:w="5112"/>
          </w:tcPr>
          <w:p>
            <w:r>
              <w:t>Even when you can't be there, someone can be there for you.</w:t>
            </w:r>
          </w:p>
        </w:tc>
      </w:tr>
      <w:tr>
        <w:tc>
          <w:tcPr>
            <w:tcW w:type="dxa" w:w="5112"/>
          </w:tcPr>
          <w:p>
            <w:r>
              <w:t>Representation line</w:t>
            </w:r>
          </w:p>
        </w:tc>
        <w:tc>
          <w:tcPr>
            <w:tcW w:type="dxa" w:w="5112"/>
          </w:tcPr>
          <w:p>
            <w:r>
              <w:t>Stay represented back home.</w:t>
            </w:r>
          </w:p>
        </w:tc>
      </w:tr>
      <w:tr>
        <w:tc>
          <w:tcPr>
            <w:tcW w:type="dxa" w:w="5112"/>
          </w:tcPr>
          <w:p>
            <w:r>
              <w:t>Functional line</w:t>
            </w:r>
          </w:p>
        </w:tc>
        <w:tc>
          <w:tcPr>
            <w:tcW w:type="dxa" w:w="5112"/>
          </w:tcPr>
          <w:p>
            <w:r>
              <w:t>Trusted people. Clear execution. Peace of mind.</w:t>
            </w:r>
          </w:p>
        </w:tc>
      </w:tr>
      <w:tr>
        <w:tc>
          <w:tcPr>
            <w:tcW w:type="dxa" w:w="5112"/>
          </w:tcPr>
          <w:p>
            <w:r>
              <w:t>Campaign territory</w:t>
            </w:r>
          </w:p>
        </w:tc>
        <w:tc>
          <w:tcPr>
            <w:tcW w:type="dxa" w:w="5112"/>
          </w:tcPr>
          <w:p>
            <w:r>
              <w:t>Distance shouldn't stop you from showing up.</w:t>
            </w:r>
          </w:p>
        </w:tc>
      </w:tr>
      <w:tr>
        <w:tc>
          <w:tcPr>
            <w:tcW w:type="dxa" w:w="5112"/>
          </w:tcPr>
          <w:p>
            <w:r>
              <w:t>Service explanation</w:t>
            </w:r>
          </w:p>
        </w:tc>
        <w:tc>
          <w:tcPr>
            <w:tcW w:type="dxa" w:w="5112"/>
          </w:tcPr>
          <w:p>
            <w:r>
              <w:t>We help you get important things done, checked and supported back home.</w:t>
            </w:r>
          </w:p>
        </w:tc>
      </w:tr>
    </w:tbl>
    <w:p>
      <w:r>
        <w:rPr>
          <w:b w:val="0"/>
        </w:rPr>
        <w:t>The primary tagline should remain the strongest repeated memory cue. Supporting lines should not compete with it.</w:t>
      </w:r>
    </w:p>
    <w:p>
      <w:pPr>
        <w:pStyle w:val="Heading1"/>
      </w:pPr>
      <w:r>
        <w:t>10. The Customer Problem</w:t>
      </w:r>
    </w:p>
    <w:p>
      <w:r>
        <w:rPr>
          <w:b w:val="0"/>
        </w:rPr>
        <w:t>The problem ASOJU addresses is bigger than physical distance.</w:t>
      </w:r>
    </w:p>
    <w:p>
      <w:pPr>
        <w:pStyle w:val="ListBullet"/>
      </w:pPr>
      <w:r>
        <w:t>Customers abroad cannot always be physically present.</w:t>
      </w:r>
    </w:p>
    <w:p>
      <w:pPr>
        <w:pStyle w:val="ListBullet"/>
      </w:pPr>
      <w:r>
        <w:t>They still have responsibilities and people depending on them.</w:t>
      </w:r>
    </w:p>
    <w:p>
      <w:pPr>
        <w:pStyle w:val="ListBullet"/>
      </w:pPr>
      <w:r>
        <w:t>They often need someone trustworthy to act locally.</w:t>
      </w:r>
    </w:p>
    <w:p>
      <w:pPr>
        <w:pStyle w:val="ListBullet"/>
      </w:pPr>
      <w:r>
        <w:t>Finding a reliable person can be difficult.</w:t>
      </w:r>
    </w:p>
    <w:p>
      <w:pPr>
        <w:pStyle w:val="ListBullet"/>
      </w:pPr>
      <w:r>
        <w:t>Delegating without visibility creates anxiety.</w:t>
      </w:r>
    </w:p>
    <w:p>
      <w:pPr>
        <w:pStyle w:val="ListBullet"/>
      </w:pPr>
      <w:r>
        <w:t>Family relationships can become strained when responsibilities are unclear.</w:t>
      </w:r>
    </w:p>
    <w:p>
      <w:pPr>
        <w:pStyle w:val="ListBullet"/>
      </w:pPr>
      <w:r>
        <w:t>Customers may not know whether something was actually done correctly.</w:t>
      </w:r>
    </w:p>
    <w:p>
      <w:pPr>
        <w:pStyle w:val="ListBullet"/>
      </w:pPr>
      <w:r>
        <w:t>Existing alternatives can be informal, fragmented or difficult to verify.</w:t>
      </w:r>
    </w:p>
    <w:p>
      <w:pPr>
        <w:pStyle w:val="Heading1"/>
      </w:pPr>
      <w:r>
        <w:t>11. The Customer Emotional Job</w:t>
      </w:r>
    </w:p>
    <w:p>
      <w:r>
        <w:rPr>
          <w:b/>
        </w:rPr>
        <w:t>The customer is not simply hiring someone to complete a task.</w:t>
      </w:r>
    </w:p>
    <w:p>
      <w:r>
        <w:rPr>
          <w:b w:val="0"/>
        </w:rPr>
        <w:t>They are trying to achieve the feeling that:</w:t>
      </w:r>
    </w:p>
    <w:p>
      <w:pPr>
        <w:pStyle w:val="ListBullet"/>
      </w:pPr>
      <w:r>
        <w:t>I am still present even though I am far away.</w:t>
      </w:r>
    </w:p>
    <w:p>
      <w:pPr>
        <w:pStyle w:val="ListBullet"/>
      </w:pPr>
      <w:r>
        <w:t>My family is supported.</w:t>
      </w:r>
    </w:p>
    <w:p>
      <w:pPr>
        <w:pStyle w:val="ListBullet"/>
      </w:pPr>
      <w:r>
        <w:t>Someone competent is looking after this.</w:t>
      </w:r>
    </w:p>
    <w:p>
      <w:pPr>
        <w:pStyle w:val="ListBullet"/>
      </w:pPr>
      <w:r>
        <w:t>I know what happened.</w:t>
      </w:r>
    </w:p>
    <w:p>
      <w:pPr>
        <w:pStyle w:val="ListBullet"/>
      </w:pPr>
      <w:r>
        <w:t>I can trust the outcome.</w:t>
      </w:r>
    </w:p>
    <w:p>
      <w:pPr>
        <w:pStyle w:val="ListBullet"/>
      </w:pPr>
      <w:r>
        <w:t>I don't have to worry about every detail from thousands of miles away.</w:t>
      </w:r>
    </w:p>
    <w:p>
      <w:pPr>
        <w:pStyle w:val="Heading1"/>
      </w:pPr>
      <w:r>
        <w:t>12. Jobs-to-be-Done</w:t>
      </w:r>
    </w:p>
    <w:tbl>
      <w:tblPr>
        <w:tblStyle w:val="TableGrid"/>
        <w:tblW w:type="auto" w:w="0"/>
        <w:jc w:val="center"/>
        <w:tblLook w:firstColumn="1" w:firstRow="1" w:lastColumn="0" w:lastRow="0" w:noHBand="0" w:noVBand="1" w:val="04A0"/>
      </w:tblPr>
      <w:tblGrid>
        <w:gridCol w:w="5112"/>
        <w:gridCol w:w="5112"/>
      </w:tblGrid>
      <w:tr>
        <w:tc>
          <w:tcPr>
            <w:tcW w:type="dxa" w:w="5112"/>
          </w:tcPr>
          <w:p>
            <w:r>
              <w:t>Customer Job</w:t>
            </w:r>
          </w:p>
        </w:tc>
        <w:tc>
          <w:tcPr>
            <w:tcW w:type="dxa" w:w="5112"/>
          </w:tcPr>
          <w:p>
            <w:r>
              <w:t>ASOJU Role</w:t>
            </w:r>
          </w:p>
        </w:tc>
      </w:tr>
      <w:tr>
        <w:tc>
          <w:tcPr>
            <w:tcW w:type="dxa" w:w="5112"/>
          </w:tcPr>
          <w:p>
            <w:r>
              <w:t>“I need someone reliable to handle this in Nigeria.”</w:t>
            </w:r>
          </w:p>
        </w:tc>
        <w:tc>
          <w:tcPr>
            <w:tcW w:type="dxa" w:w="5112"/>
          </w:tcPr>
          <w:p>
            <w:r>
              <w:t>Represent and execute.</w:t>
            </w:r>
          </w:p>
        </w:tc>
      </w:tr>
      <w:tr>
        <w:tc>
          <w:tcPr>
            <w:tcW w:type="dxa" w:w="5112"/>
          </w:tcPr>
          <w:p>
            <w:r>
              <w:t>“I need to know whether this was actually done.”</w:t>
            </w:r>
          </w:p>
        </w:tc>
        <w:tc>
          <w:tcPr>
            <w:tcW w:type="dxa" w:w="5112"/>
          </w:tcPr>
          <w:p>
            <w:r>
              <w:t>Verify and provide evidence.</w:t>
            </w:r>
          </w:p>
        </w:tc>
      </w:tr>
      <w:tr>
        <w:tc>
          <w:tcPr>
            <w:tcW w:type="dxa" w:w="5112"/>
          </w:tcPr>
          <w:p>
            <w:r>
              <w:t>“I need to support my family even though I'm abroad.”</w:t>
            </w:r>
          </w:p>
        </w:tc>
        <w:tc>
          <w:tcPr>
            <w:tcW w:type="dxa" w:w="5112"/>
          </w:tcPr>
          <w:p>
            <w:r>
              <w:t>Coordinate trusted local support.</w:t>
            </w:r>
          </w:p>
        </w:tc>
      </w:tr>
      <w:tr>
        <w:tc>
          <w:tcPr>
            <w:tcW w:type="dxa" w:w="5112"/>
          </w:tcPr>
          <w:p>
            <w:r>
              <w:t>“I don't know who to trust.”</w:t>
            </w:r>
          </w:p>
        </w:tc>
        <w:tc>
          <w:tcPr>
            <w:tcW w:type="dxa" w:w="5112"/>
          </w:tcPr>
          <w:p>
            <w:r>
              <w:t>Provide a structured trust layer.</w:t>
            </w:r>
          </w:p>
        </w:tc>
      </w:tr>
      <w:tr>
        <w:tc>
          <w:tcPr>
            <w:tcW w:type="dxa" w:w="5112"/>
          </w:tcPr>
          <w:p>
            <w:r>
              <w:t>“I need someone to follow through.”</w:t>
            </w:r>
          </w:p>
        </w:tc>
        <w:tc>
          <w:tcPr>
            <w:tcW w:type="dxa" w:w="5112"/>
          </w:tcPr>
          <w:p>
            <w:r>
              <w:t>Own the operational process.</w:t>
            </w:r>
          </w:p>
        </w:tc>
      </w:tr>
      <w:tr>
        <w:tc>
          <w:tcPr>
            <w:tcW w:type="dxa" w:w="5112"/>
          </w:tcPr>
          <w:p>
            <w:r>
              <w:t>“I need visibility.”</w:t>
            </w:r>
          </w:p>
        </w:tc>
        <w:tc>
          <w:tcPr>
            <w:tcW w:type="dxa" w:w="5112"/>
          </w:tcPr>
          <w:p>
            <w:r>
              <w:t>Communicate status and outcomes.</w:t>
            </w:r>
          </w:p>
        </w:tc>
      </w:tr>
      <w:tr>
        <w:tc>
          <w:tcPr>
            <w:tcW w:type="dxa" w:w="5112"/>
          </w:tcPr>
          <w:p>
            <w:r>
              <w:t>“I need peace of mind.”</w:t>
            </w:r>
          </w:p>
        </w:tc>
        <w:tc>
          <w:tcPr>
            <w:tcW w:type="dxa" w:w="5112"/>
          </w:tcPr>
          <w:p>
            <w:r>
              <w:t>Reduce uncertainty through representation and proof.</w:t>
            </w:r>
          </w:p>
        </w:tc>
      </w:tr>
    </w:tbl>
    <w:p>
      <w:pPr>
        <w:pStyle w:val="Heading1"/>
      </w:pPr>
      <w:r>
        <w:t>13. Brand Differentiation</w:t>
      </w:r>
    </w:p>
    <w:p>
      <w:r>
        <w:rPr>
          <w:b w:val="0"/>
        </w:rPr>
        <w:t>ASOJU should compete less on “we can do tasks” and more on “you can trust us to represent you.”</w:t>
      </w:r>
    </w:p>
    <w:tbl>
      <w:tblPr>
        <w:tblStyle w:val="TableGrid"/>
        <w:tblW w:type="auto" w:w="0"/>
        <w:jc w:val="center"/>
        <w:tblLook w:firstColumn="1" w:firstRow="1" w:lastColumn="0" w:lastRow="0" w:noHBand="0" w:noVBand="1" w:val="04A0"/>
      </w:tblPr>
      <w:tblGrid>
        <w:gridCol w:w="5112"/>
        <w:gridCol w:w="5112"/>
      </w:tblGrid>
      <w:tr>
        <w:tc>
          <w:tcPr>
            <w:tcW w:type="dxa" w:w="5112"/>
          </w:tcPr>
          <w:p>
            <w:r>
              <w:t>Generic Alternative</w:t>
            </w:r>
          </w:p>
        </w:tc>
        <w:tc>
          <w:tcPr>
            <w:tcW w:type="dxa" w:w="5112"/>
          </w:tcPr>
          <w:p>
            <w:r>
              <w:t>ASOJU Difference</w:t>
            </w:r>
          </w:p>
        </w:tc>
      </w:tr>
      <w:tr>
        <w:tc>
          <w:tcPr>
            <w:tcW w:type="dxa" w:w="5112"/>
          </w:tcPr>
          <w:p>
            <w:r>
              <w:t>Friend/family member</w:t>
            </w:r>
          </w:p>
        </w:tc>
        <w:tc>
          <w:tcPr>
            <w:tcW w:type="dxa" w:w="5112"/>
          </w:tcPr>
          <w:p>
            <w:r>
              <w:t>Structured service, accountability and evidence.</w:t>
            </w:r>
          </w:p>
        </w:tc>
      </w:tr>
      <w:tr>
        <w:tc>
          <w:tcPr>
            <w:tcW w:type="dxa" w:w="5112"/>
          </w:tcPr>
          <w:p>
            <w:r>
              <w:t>Informal fixer/agent</w:t>
            </w:r>
          </w:p>
        </w:tc>
        <w:tc>
          <w:tcPr>
            <w:tcW w:type="dxa" w:w="5112"/>
          </w:tcPr>
          <w:p>
            <w:r>
              <w:t>Defined scope, controlled workflow and traceability.</w:t>
            </w:r>
          </w:p>
        </w:tc>
      </w:tr>
      <w:tr>
        <w:tc>
          <w:tcPr>
            <w:tcW w:type="dxa" w:w="5112"/>
          </w:tcPr>
          <w:p>
            <w:r>
              <w:t>Task marketplace</w:t>
            </w:r>
          </w:p>
        </w:tc>
        <w:tc>
          <w:tcPr>
            <w:tcW w:type="dxa" w:w="5112"/>
          </w:tcPr>
          <w:p>
            <w:r>
              <w:t>Relationship and responsibility around the customer's case.</w:t>
            </w:r>
          </w:p>
        </w:tc>
      </w:tr>
      <w:tr>
        <w:tc>
          <w:tcPr>
            <w:tcW w:type="dxa" w:w="5112"/>
          </w:tcPr>
          <w:p>
            <w:r>
              <w:t>Traditional service provider</w:t>
            </w:r>
          </w:p>
        </w:tc>
        <w:tc>
          <w:tcPr>
            <w:tcW w:type="dxa" w:w="5112"/>
          </w:tcPr>
          <w:p>
            <w:r>
              <w:t>Customer-centered representation across the workflow.</w:t>
            </w:r>
          </w:p>
        </w:tc>
      </w:tr>
      <w:tr>
        <w:tc>
          <w:tcPr>
            <w:tcW w:type="dxa" w:w="5112"/>
          </w:tcPr>
          <w:p>
            <w:r>
              <w:t>Doing it yourself</w:t>
            </w:r>
          </w:p>
        </w:tc>
        <w:tc>
          <w:tcPr>
            <w:tcW w:type="dxa" w:w="5112"/>
          </w:tcPr>
          <w:p>
            <w:r>
              <w:t>A reliable local extension when physical presence is impossible.</w:t>
            </w:r>
          </w:p>
        </w:tc>
      </w:tr>
    </w:tbl>
    <w:p>
      <w:pPr>
        <w:pStyle w:val="Heading1"/>
      </w:pPr>
      <w:r>
        <w:t>14. Category Definition</w:t>
      </w:r>
    </w:p>
    <w:p>
      <w:r>
        <w:rPr>
          <w:b/>
        </w:rPr>
        <w:t>Recommended category language:</w:t>
      </w:r>
    </w:p>
    <w:p>
      <w:r>
        <w:rPr>
          <w:b w:val="0"/>
        </w:rPr>
        <w:t>Trusted Diaspora Representation Platform.</w:t>
      </w:r>
    </w:p>
    <w:p>
      <w:r>
        <w:rPr>
          <w:b w:val="0"/>
        </w:rPr>
        <w:t>This category should sit above individual services. Services can change and expand; representation is the durable brand idea.</w:t>
      </w:r>
    </w:p>
    <w:p>
      <w:pPr>
        <w:pStyle w:val="Heading1"/>
      </w:pPr>
      <w:r>
        <w:t>15. Brand Positioning Statement</w:t>
      </w:r>
    </w:p>
    <w:p>
      <w:r>
        <w:rPr>
          <w:b/>
        </w:rPr>
        <w:t>For people living abroad who need dependable support for their families, property, responsibilities and important matters in Nigeria, ASOJU is the trusted diaspora representation platform that acts on their behalf through accountable local support, clear scope, coordinated execution and evidence-backed outcomes—so they can feel present even when they cannot be there.</w:t>
      </w:r>
    </w:p>
    <w:p>
      <w:pPr>
        <w:pStyle w:val="Heading1"/>
      </w:pPr>
      <w:r>
        <w:t>16. Positioning Pillars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Pillar</w:t>
            </w:r>
          </w:p>
        </w:tc>
        <w:tc>
          <w:tcPr>
            <w:tcW w:type="dxa" w:w="3408"/>
          </w:tcPr>
          <w:p>
            <w:r>
              <w:t>Meaning</w:t>
            </w:r>
          </w:p>
        </w:tc>
        <w:tc>
          <w:tcPr>
            <w:tcW w:type="dxa" w:w="3408"/>
          </w:tcPr>
          <w:p>
            <w:r>
              <w:t>Proof Mechanism</w:t>
            </w:r>
          </w:p>
        </w:tc>
      </w:tr>
      <w:tr>
        <w:tc>
          <w:tcPr>
            <w:tcW w:type="dxa" w:w="3408"/>
          </w:tcPr>
          <w:p>
            <w:r>
              <w:t>Trusted Representation</w:t>
            </w:r>
          </w:p>
        </w:tc>
        <w:tc>
          <w:tcPr>
            <w:tcW w:type="dxa" w:w="3408"/>
          </w:tcPr>
          <w:p>
            <w:r>
              <w:t>ASOJU acts as the customer's local extension.</w:t>
            </w:r>
          </w:p>
        </w:tc>
        <w:tc>
          <w:tcPr>
            <w:tcW w:type="dxa" w:w="3408"/>
          </w:tcPr>
          <w:p>
            <w:r>
              <w:t>Assigned accountable representative, defined scope.</w:t>
            </w:r>
          </w:p>
        </w:tc>
      </w:tr>
      <w:tr>
        <w:tc>
          <w:tcPr>
            <w:tcW w:type="dxa" w:w="3408"/>
          </w:tcPr>
          <w:p>
            <w:r>
              <w:t>Visibility</w:t>
            </w:r>
          </w:p>
        </w:tc>
        <w:tc>
          <w:tcPr>
            <w:tcW w:type="dxa" w:w="3408"/>
          </w:tcPr>
          <w:p>
            <w:r>
              <w:t>Customers know what is happening.</w:t>
            </w:r>
          </w:p>
        </w:tc>
        <w:tc>
          <w:tcPr>
            <w:tcW w:type="dxa" w:w="3408"/>
          </w:tcPr>
          <w:p>
            <w:r>
              <w:t>Status updates, timelines, evidence.</w:t>
            </w:r>
          </w:p>
        </w:tc>
      </w:tr>
      <w:tr>
        <w:tc>
          <w:tcPr>
            <w:tcW w:type="dxa" w:w="3408"/>
          </w:tcPr>
          <w:p>
            <w:r>
              <w:t>Accountability</w:t>
            </w:r>
          </w:p>
        </w:tc>
        <w:tc>
          <w:tcPr>
            <w:tcW w:type="dxa" w:w="3408"/>
          </w:tcPr>
          <w:p>
            <w:r>
              <w:t>Someone owns the outcome.</w:t>
            </w:r>
          </w:p>
        </w:tc>
        <w:tc>
          <w:tcPr>
            <w:tcW w:type="dxa" w:w="3408"/>
          </w:tcPr>
          <w:p>
            <w:r>
              <w:t>Case owner, audit trail, escalation.</w:t>
            </w:r>
          </w:p>
        </w:tc>
      </w:tr>
      <w:tr>
        <w:tc>
          <w:tcPr>
            <w:tcW w:type="dxa" w:w="3408"/>
          </w:tcPr>
          <w:p>
            <w:r>
              <w:t>Evidence</w:t>
            </w:r>
          </w:p>
        </w:tc>
        <w:tc>
          <w:tcPr>
            <w:tcW w:type="dxa" w:w="3408"/>
          </w:tcPr>
          <w:p>
            <w:r>
              <w:t>Customers can see what happened.</w:t>
            </w:r>
          </w:p>
        </w:tc>
        <w:tc>
          <w:tcPr>
            <w:tcW w:type="dxa" w:w="3408"/>
          </w:tcPr>
          <w:p>
            <w:r>
              <w:t>Evidence collection, QC and reports.</w:t>
            </w:r>
          </w:p>
        </w:tc>
      </w:tr>
      <w:tr>
        <w:tc>
          <w:tcPr>
            <w:tcW w:type="dxa" w:w="3408"/>
          </w:tcPr>
          <w:p>
            <w:r>
              <w:t>Care</w:t>
            </w:r>
          </w:p>
        </w:tc>
        <w:tc>
          <w:tcPr>
            <w:tcW w:type="dxa" w:w="3408"/>
          </w:tcPr>
          <w:p>
            <w:r>
              <w:t>The service recognizes the human responsibility behind the request.</w:t>
            </w:r>
          </w:p>
        </w:tc>
        <w:tc>
          <w:tcPr>
            <w:tcW w:type="dxa" w:w="3408"/>
          </w:tcPr>
          <w:p>
            <w:r>
              <w:t>Customer-centric communication and support.</w:t>
            </w:r>
          </w:p>
        </w:tc>
      </w:tr>
      <w:tr>
        <w:tc>
          <w:tcPr>
            <w:tcW w:type="dxa" w:w="3408"/>
          </w:tcPr>
          <w:p>
            <w:r>
              <w:t>Continuity</w:t>
            </w:r>
          </w:p>
        </w:tc>
        <w:tc>
          <w:tcPr>
            <w:tcW w:type="dxa" w:w="3408"/>
          </w:tcPr>
          <w:p>
            <w:r>
              <w:t>Support can extend beyond one task.</w:t>
            </w:r>
          </w:p>
        </w:tc>
        <w:tc>
          <w:tcPr>
            <w:tcW w:type="dxa" w:w="3408"/>
          </w:tcPr>
          <w:p>
            <w:r>
              <w:t>Monitoring, repeat service and referrals.</w:t>
            </w:r>
          </w:p>
        </w:tc>
      </w:tr>
    </w:tbl>
    <w:p>
      <w:pPr>
        <w:pStyle w:val="Heading1"/>
      </w:pPr>
      <w:r>
        <w:t>17. Brand Values</w:t>
      </w:r>
    </w:p>
    <w:tbl>
      <w:tblPr>
        <w:tblStyle w:val="TableGrid"/>
        <w:tblW w:type="auto" w:w="0"/>
        <w:jc w:val="center"/>
        <w:tblLook w:firstColumn="1" w:firstRow="1" w:lastColumn="0" w:lastRow="0" w:noHBand="0" w:noVBand="1" w:val="04A0"/>
      </w:tblPr>
      <w:tblGrid>
        <w:gridCol w:w="5112"/>
        <w:gridCol w:w="5112"/>
      </w:tblGrid>
      <w:tr>
        <w:tc>
          <w:tcPr>
            <w:tcW w:type="dxa" w:w="5112"/>
          </w:tcPr>
          <w:p>
            <w:r>
              <w:t>Value</w:t>
            </w:r>
          </w:p>
        </w:tc>
        <w:tc>
          <w:tcPr>
            <w:tcW w:type="dxa" w:w="5112"/>
          </w:tcPr>
          <w:p>
            <w:r>
              <w:t>ASOJU Behavior</w:t>
            </w:r>
          </w:p>
        </w:tc>
      </w:tr>
      <w:tr>
        <w:tc>
          <w:tcPr>
            <w:tcW w:type="dxa" w:w="5112"/>
          </w:tcPr>
          <w:p>
            <w:r>
              <w:t>Trust</w:t>
            </w:r>
          </w:p>
        </w:tc>
        <w:tc>
          <w:tcPr>
            <w:tcW w:type="dxa" w:w="5112"/>
          </w:tcPr>
          <w:p>
            <w:r>
              <w:t>Do what was agreed; never fabricate.</w:t>
            </w:r>
          </w:p>
        </w:tc>
      </w:tr>
      <w:tr>
        <w:tc>
          <w:tcPr>
            <w:tcW w:type="dxa" w:w="5112"/>
          </w:tcPr>
          <w:p>
            <w:r>
              <w:t>Accountability</w:t>
            </w:r>
          </w:p>
        </w:tc>
        <w:tc>
          <w:tcPr>
            <w:tcW w:type="dxa" w:w="5112"/>
          </w:tcPr>
          <w:p>
            <w:r>
              <w:t>Own the case and communicate when something changes.</w:t>
            </w:r>
          </w:p>
        </w:tc>
      </w:tr>
      <w:tr>
        <w:tc>
          <w:tcPr>
            <w:tcW w:type="dxa" w:w="5112"/>
          </w:tcPr>
          <w:p>
            <w:r>
              <w:t>Care</w:t>
            </w:r>
          </w:p>
        </w:tc>
        <w:tc>
          <w:tcPr>
            <w:tcW w:type="dxa" w:w="5112"/>
          </w:tcPr>
          <w:p>
            <w:r>
              <w:t>Treat family and personal responsibilities with seriousness.</w:t>
            </w:r>
          </w:p>
        </w:tc>
      </w:tr>
      <w:tr>
        <w:tc>
          <w:tcPr>
            <w:tcW w:type="dxa" w:w="5112"/>
          </w:tcPr>
          <w:p>
            <w:r>
              <w:t>Transparency</w:t>
            </w:r>
          </w:p>
        </w:tc>
        <w:tc>
          <w:tcPr>
            <w:tcW w:type="dxa" w:w="5112"/>
          </w:tcPr>
          <w:p>
            <w:r>
              <w:t>Make scope, cost, status and outcome understandable.</w:t>
            </w:r>
          </w:p>
        </w:tc>
      </w:tr>
      <w:tr>
        <w:tc>
          <w:tcPr>
            <w:tcW w:type="dxa" w:w="5112"/>
          </w:tcPr>
          <w:p>
            <w:r>
              <w:t>Integrity</w:t>
            </w:r>
          </w:p>
        </w:tc>
        <w:tc>
          <w:tcPr>
            <w:tcW w:type="dxa" w:w="5112"/>
          </w:tcPr>
          <w:p>
            <w:r>
              <w:t>Protect customer interests even when inconvenient.</w:t>
            </w:r>
          </w:p>
        </w:tc>
      </w:tr>
      <w:tr>
        <w:tc>
          <w:tcPr>
            <w:tcW w:type="dxa" w:w="5112"/>
          </w:tcPr>
          <w:p>
            <w:r>
              <w:t>Reliability</w:t>
            </w:r>
          </w:p>
        </w:tc>
        <w:tc>
          <w:tcPr>
            <w:tcW w:type="dxa" w:w="5112"/>
          </w:tcPr>
          <w:p>
            <w:r>
              <w:t>Follow through consistently.</w:t>
            </w:r>
          </w:p>
        </w:tc>
      </w:tr>
      <w:tr>
        <w:tc>
          <w:tcPr>
            <w:tcW w:type="dxa" w:w="5112"/>
          </w:tcPr>
          <w:p>
            <w:r>
              <w:t>Respect</w:t>
            </w:r>
          </w:p>
        </w:tc>
        <w:tc>
          <w:tcPr>
            <w:tcW w:type="dxa" w:w="5112"/>
          </w:tcPr>
          <w:p>
            <w:r>
              <w:t>Respect customers, families, representatives and communities.</w:t>
            </w:r>
          </w:p>
        </w:tc>
      </w:tr>
      <w:tr>
        <w:tc>
          <w:tcPr>
            <w:tcW w:type="dxa" w:w="5112"/>
          </w:tcPr>
          <w:p>
            <w:r>
              <w:t>Evidence</w:t>
            </w:r>
          </w:p>
        </w:tc>
        <w:tc>
          <w:tcPr>
            <w:tcW w:type="dxa" w:w="5112"/>
          </w:tcPr>
          <w:p>
            <w:r>
              <w:t>Back important claims with observable proof.</w:t>
            </w:r>
          </w:p>
        </w:tc>
      </w:tr>
    </w:tbl>
    <w:p>
      <w:pPr>
        <w:pStyle w:val="Heading1"/>
      </w:pPr>
      <w:r>
        <w:t>18. Brand Personality</w:t>
      </w:r>
    </w:p>
    <w:tbl>
      <w:tblPr>
        <w:tblStyle w:val="TableGrid"/>
        <w:tblW w:type="auto" w:w="0"/>
        <w:jc w:val="center"/>
        <w:tblLook w:firstColumn="1" w:firstRow="1" w:lastColumn="0" w:lastRow="0" w:noHBand="0" w:noVBand="1" w:val="04A0"/>
      </w:tblPr>
      <w:tblGrid>
        <w:gridCol w:w="5112"/>
        <w:gridCol w:w="5112"/>
      </w:tblGrid>
      <w:tr>
        <w:tc>
          <w:tcPr>
            <w:tcW w:type="dxa" w:w="5112"/>
          </w:tcPr>
          <w:p>
            <w:r>
              <w:t>Trait</w:t>
            </w:r>
          </w:p>
        </w:tc>
        <w:tc>
          <w:tcPr>
            <w:tcW w:type="dxa" w:w="5112"/>
          </w:tcPr>
          <w:p>
            <w:r>
              <w:t>How It Sounds/Behaves</w:t>
            </w:r>
          </w:p>
        </w:tc>
      </w:tr>
      <w:tr>
        <w:tc>
          <w:tcPr>
            <w:tcW w:type="dxa" w:w="5112"/>
          </w:tcPr>
          <w:p>
            <w:r>
              <w:t>Trustworthy</w:t>
            </w:r>
          </w:p>
        </w:tc>
        <w:tc>
          <w:tcPr>
            <w:tcW w:type="dxa" w:w="5112"/>
          </w:tcPr>
          <w:p>
            <w:r>
              <w:t>Confident without overpromising.</w:t>
            </w:r>
          </w:p>
        </w:tc>
      </w:tr>
      <w:tr>
        <w:tc>
          <w:tcPr>
            <w:tcW w:type="dxa" w:w="5112"/>
          </w:tcPr>
          <w:p>
            <w:r>
              <w:t>Warm</w:t>
            </w:r>
          </w:p>
        </w:tc>
        <w:tc>
          <w:tcPr>
            <w:tcW w:type="dxa" w:w="5112"/>
          </w:tcPr>
          <w:p>
            <w:r>
              <w:t>Human and caring without becoming sentimental.</w:t>
            </w:r>
          </w:p>
        </w:tc>
      </w:tr>
      <w:tr>
        <w:tc>
          <w:tcPr>
            <w:tcW w:type="dxa" w:w="5112"/>
          </w:tcPr>
          <w:p>
            <w:r>
              <w:t>Capable</w:t>
            </w:r>
          </w:p>
        </w:tc>
        <w:tc>
          <w:tcPr>
            <w:tcW w:type="dxa" w:w="5112"/>
          </w:tcPr>
          <w:p>
            <w:r>
              <w:t>Practical, organized and solution-oriented.</w:t>
            </w:r>
          </w:p>
        </w:tc>
      </w:tr>
      <w:tr>
        <w:tc>
          <w:tcPr>
            <w:tcW w:type="dxa" w:w="5112"/>
          </w:tcPr>
          <w:p>
            <w:r>
              <w:t>Calm</w:t>
            </w:r>
          </w:p>
        </w:tc>
        <w:tc>
          <w:tcPr>
            <w:tcW w:type="dxa" w:w="5112"/>
          </w:tcPr>
          <w:p>
            <w:r>
              <w:t>Reduces anxiety rather than creating urgency.</w:t>
            </w:r>
          </w:p>
        </w:tc>
      </w:tr>
      <w:tr>
        <w:tc>
          <w:tcPr>
            <w:tcW w:type="dxa" w:w="5112"/>
          </w:tcPr>
          <w:p>
            <w:r>
              <w:t>Transparent</w:t>
            </w:r>
          </w:p>
        </w:tc>
        <w:tc>
          <w:tcPr>
            <w:tcW w:type="dxa" w:w="5112"/>
          </w:tcPr>
          <w:p>
            <w:r>
              <w:t>Explains what is known, unknown and next.</w:t>
            </w:r>
          </w:p>
        </w:tc>
      </w:tr>
      <w:tr>
        <w:tc>
          <w:tcPr>
            <w:tcW w:type="dxa" w:w="5112"/>
          </w:tcPr>
          <w:p>
            <w:r>
              <w:t>Modern</w:t>
            </w:r>
          </w:p>
        </w:tc>
        <w:tc>
          <w:tcPr>
            <w:tcW w:type="dxa" w:w="5112"/>
          </w:tcPr>
          <w:p>
            <w:r>
              <w:t>Uses technology to improve trust and convenience.</w:t>
            </w:r>
          </w:p>
        </w:tc>
      </w:tr>
      <w:tr>
        <w:tc>
          <w:tcPr>
            <w:tcW w:type="dxa" w:w="5112"/>
          </w:tcPr>
          <w:p>
            <w:r>
              <w:t>Respectful</w:t>
            </w:r>
          </w:p>
        </w:tc>
        <w:tc>
          <w:tcPr>
            <w:tcW w:type="dxa" w:w="5112"/>
          </w:tcPr>
          <w:p>
            <w:r>
              <w:t>Never talks down to customers or families.</w:t>
            </w:r>
          </w:p>
        </w:tc>
      </w:tr>
    </w:tbl>
    <w:p>
      <w:pPr>
        <w:pStyle w:val="Heading1"/>
      </w:pPr>
      <w:r>
        <w:t>19. Voice Principles</w:t>
      </w:r>
    </w:p>
    <w:p>
      <w:pPr>
        <w:pStyle w:val="ListNumber"/>
      </w:pPr>
      <w:r>
        <w:t>Speak like a trusted person who has responsibility for the outcome.</w:t>
      </w:r>
    </w:p>
    <w:p>
      <w:pPr>
        <w:pStyle w:val="ListNumber"/>
      </w:pPr>
      <w:r>
        <w:t>Use plain language.</w:t>
      </w:r>
    </w:p>
    <w:p>
      <w:pPr>
        <w:pStyle w:val="ListNumber"/>
      </w:pPr>
      <w:r>
        <w:t>Be specific about what will happen next.</w:t>
      </w:r>
    </w:p>
    <w:p>
      <w:pPr>
        <w:pStyle w:val="ListNumber"/>
      </w:pPr>
      <w:r>
        <w:t>Never exaggerate certainty.</w:t>
      </w:r>
    </w:p>
    <w:p>
      <w:pPr>
        <w:pStyle w:val="ListNumber"/>
      </w:pPr>
      <w:r>
        <w:t>Use reassurance backed by process rather than empty promises.</w:t>
      </w:r>
    </w:p>
    <w:p>
      <w:pPr>
        <w:pStyle w:val="ListNumber"/>
      </w:pPr>
      <w:r>
        <w:t>Put the customer's concern before the company's features.</w:t>
      </w:r>
    </w:p>
    <w:p>
      <w:pPr>
        <w:pStyle w:val="ListNumber"/>
      </w:pPr>
      <w:r>
        <w:t>Use Nigerian context naturally without reducing the brand to stereotypes.</w:t>
      </w:r>
    </w:p>
    <w:p>
      <w:pPr>
        <w:pStyle w:val="ListNumber"/>
      </w:pPr>
      <w:r>
        <w:t>Sound premium through clarity, not corporate jargon.</w:t>
      </w:r>
    </w:p>
    <w:p>
      <w:pPr>
        <w:pStyle w:val="Heading1"/>
      </w:pPr>
      <w:r>
        <w:t>20. Words ASOJU Should Own</w:t>
      </w:r>
    </w:p>
    <w:p>
      <w:pPr>
        <w:pStyle w:val="ListBullet"/>
      </w:pPr>
      <w:r>
        <w:t>Trusted</w:t>
      </w:r>
    </w:p>
    <w:p>
      <w:pPr>
        <w:pStyle w:val="ListBullet"/>
      </w:pPr>
      <w:r>
        <w:t>Represent</w:t>
      </w:r>
    </w:p>
    <w:p>
      <w:pPr>
        <w:pStyle w:val="ListBullet"/>
      </w:pPr>
      <w:r>
        <w:t>Back home</w:t>
      </w:r>
    </w:p>
    <w:p>
      <w:pPr>
        <w:pStyle w:val="ListBullet"/>
      </w:pPr>
      <w:r>
        <w:t>Present</w:t>
      </w:r>
    </w:p>
    <w:p>
      <w:pPr>
        <w:pStyle w:val="ListBullet"/>
      </w:pPr>
      <w:r>
        <w:t>Support</w:t>
      </w:r>
    </w:p>
    <w:p>
      <w:pPr>
        <w:pStyle w:val="ListBullet"/>
      </w:pPr>
      <w:r>
        <w:t>Coordinate</w:t>
      </w:r>
    </w:p>
    <w:p>
      <w:pPr>
        <w:pStyle w:val="ListBullet"/>
      </w:pPr>
      <w:r>
        <w:t>Check</w:t>
      </w:r>
    </w:p>
    <w:p>
      <w:pPr>
        <w:pStyle w:val="ListBullet"/>
      </w:pPr>
      <w:r>
        <w:t>Verify</w:t>
      </w:r>
    </w:p>
    <w:p>
      <w:pPr>
        <w:pStyle w:val="ListBullet"/>
      </w:pPr>
      <w:r>
        <w:t>Handle</w:t>
      </w:r>
    </w:p>
    <w:p>
      <w:pPr>
        <w:pStyle w:val="ListBullet"/>
      </w:pPr>
      <w:r>
        <w:t>Accountable</w:t>
      </w:r>
    </w:p>
    <w:p>
      <w:pPr>
        <w:pStyle w:val="ListBullet"/>
      </w:pPr>
      <w:r>
        <w:t>Evidence</w:t>
      </w:r>
    </w:p>
    <w:p>
      <w:pPr>
        <w:pStyle w:val="ListBullet"/>
      </w:pPr>
      <w:r>
        <w:t>Peace of mind</w:t>
      </w:r>
    </w:p>
    <w:p>
      <w:pPr>
        <w:pStyle w:val="ListBullet"/>
      </w:pPr>
      <w:r>
        <w:t>Family</w:t>
      </w:r>
    </w:p>
    <w:p>
      <w:pPr>
        <w:pStyle w:val="ListBullet"/>
      </w:pPr>
      <w:r>
        <w:t>Home</w:t>
      </w:r>
    </w:p>
    <w:p>
      <w:pPr>
        <w:pStyle w:val="ListBullet"/>
      </w:pPr>
      <w:r>
        <w:t>Confidence</w:t>
      </w:r>
    </w:p>
    <w:p>
      <w:pPr>
        <w:pStyle w:val="Heading1"/>
      </w:pPr>
      <w:r>
        <w:t>21. Words to Use Carefully</w:t>
      </w:r>
    </w:p>
    <w:p>
      <w:pPr>
        <w:pStyle w:val="ListBullet"/>
      </w:pPr>
      <w:r>
        <w:t>Agent — useful operationally, but “rep” is stronger for brand positioning.</w:t>
      </w:r>
    </w:p>
    <w:p>
      <w:pPr>
        <w:pStyle w:val="ListBullet"/>
      </w:pPr>
      <w:r>
        <w:t>Errand — can make the business feel small or transactional.</w:t>
      </w:r>
    </w:p>
    <w:p>
      <w:pPr>
        <w:pStyle w:val="ListBullet"/>
      </w:pPr>
      <w:r>
        <w:t>Task — useful internally, but not the emotional category.</w:t>
      </w:r>
    </w:p>
    <w:p>
      <w:pPr>
        <w:pStyle w:val="ListBullet"/>
      </w:pPr>
      <w:r>
        <w:t>Marketplace — potentially commoditizes the relationship.</w:t>
      </w:r>
    </w:p>
    <w:p>
      <w:pPr>
        <w:pStyle w:val="ListBullet"/>
      </w:pPr>
      <w:r>
        <w:t>Fixer — avoid; it can imply informality and low accountability.</w:t>
      </w:r>
    </w:p>
    <w:p>
      <w:pPr>
        <w:pStyle w:val="ListBullet"/>
      </w:pPr>
      <w:r>
        <w:t>Guarantee — use only where an actual guarantee exists.</w:t>
      </w:r>
    </w:p>
    <w:p>
      <w:pPr>
        <w:pStyle w:val="ListBullet"/>
      </w:pPr>
      <w:r>
        <w:t>Always/never — avoid unless operationally defensible.</w:t>
      </w:r>
    </w:p>
    <w:p>
      <w:pPr>
        <w:pStyle w:val="Heading1"/>
      </w:pPr>
      <w:r>
        <w:t>22. Brand Story</w:t>
      </w:r>
    </w:p>
    <w:p>
      <w:r>
        <w:rPr>
          <w:b w:val="0"/>
        </w:rPr>
        <w:t>People move abroad for opportunity, education, work and a better future. But leaving Nigeria does not mean leaving behind the people and responsibilities that matter.</w:t>
      </w:r>
    </w:p>
    <w:p>
      <w:r>
        <w:rPr>
          <w:b w:val="0"/>
        </w:rPr>
        <w:t>A parent still needs support. A property still needs attention. A document still needs handling. A situation still needs someone physically present.</w:t>
      </w:r>
    </w:p>
    <w:p>
      <w:r>
        <w:rPr>
          <w:b w:val="0"/>
        </w:rPr>
        <w:t>The problem is that distance turns ordinary responsibilities into uncertainty. Who can you trust? Who will actually follow through? What happened? Was it done properly?</w:t>
      </w:r>
    </w:p>
    <w:p>
      <w:r>
        <w:rPr>
          <w:b w:val="0"/>
        </w:rPr>
        <w:t>ASOJU exists to close that gap.</w:t>
      </w:r>
    </w:p>
    <w:p>
      <w:r>
        <w:rPr>
          <w:b w:val="0"/>
        </w:rPr>
        <w:t>We give people abroad a trusted way to be represented back home—through accountable local support, clear expectations, coordinated execution and evidence of what was done.</w:t>
      </w:r>
    </w:p>
    <w:p>
      <w:r>
        <w:rPr>
          <w:b w:val="0"/>
        </w:rPr>
        <w:t>Because being far away should not mean being absent.</w:t>
      </w:r>
    </w:p>
    <w:p>
      <w:r>
        <w:rPr>
          <w:b/>
        </w:rPr>
        <w:t>ASOJU. Your Trusted Rep Back Home.</w:t>
      </w:r>
    </w:p>
    <w:p>
      <w:pPr>
        <w:pStyle w:val="Heading1"/>
      </w:pPr>
      <w:r>
        <w:t>23. Emotional Brand Promise</w:t>
      </w:r>
    </w:p>
    <w:p>
      <w:r>
        <w:rPr>
          <w:b/>
        </w:rPr>
        <w:t>“I may not be in Nigeria, but I can still show up.”</w:t>
      </w:r>
    </w:p>
    <w:p>
      <w:pPr>
        <w:pStyle w:val="Heading1"/>
      </w:pPr>
      <w:r>
        <w:t>24. Functional Brand Promise</w:t>
      </w:r>
    </w:p>
    <w:p>
      <w:r>
        <w:rPr>
          <w:b/>
        </w:rPr>
        <w:t>“ASOJU gives me a trusted, accountable way to have important things handled back home.”</w:t>
      </w:r>
    </w:p>
    <w:p>
      <w:pPr>
        <w:pStyle w:val="Heading1"/>
      </w:pPr>
      <w:r>
        <w:t>25. Trust Architecture as Brand</w:t>
      </w:r>
    </w:p>
    <w:p>
      <w:r>
        <w:rPr>
          <w:b w:val="0"/>
        </w:rPr>
        <w:t>The brand promise must be reflected in the product itself.</w:t>
      </w:r>
    </w:p>
    <w:tbl>
      <w:tblPr>
        <w:tblStyle w:val="TableGrid"/>
        <w:tblW w:type="auto" w:w="0"/>
        <w:jc w:val="center"/>
        <w:tblLook w:firstColumn="1" w:firstRow="1" w:lastColumn="0" w:lastRow="0" w:noHBand="0" w:noVBand="1" w:val="04A0"/>
      </w:tblPr>
      <w:tblGrid>
        <w:gridCol w:w="5112"/>
        <w:gridCol w:w="5112"/>
      </w:tblGrid>
      <w:tr>
        <w:tc>
          <w:tcPr>
            <w:tcW w:type="dxa" w:w="5112"/>
          </w:tcPr>
          <w:p>
            <w:r>
              <w:t>Brand Claim</w:t>
            </w:r>
          </w:p>
        </w:tc>
        <w:tc>
          <w:tcPr>
            <w:tcW w:type="dxa" w:w="5112"/>
          </w:tcPr>
          <w:p>
            <w:r>
              <w:t>Operational Proof</w:t>
            </w:r>
          </w:p>
        </w:tc>
      </w:tr>
      <w:tr>
        <w:tc>
          <w:tcPr>
            <w:tcW w:type="dxa" w:w="5112"/>
          </w:tcPr>
          <w:p>
            <w:r>
              <w:t>Trusted</w:t>
            </w:r>
          </w:p>
        </w:tc>
        <w:tc>
          <w:tcPr>
            <w:tcW w:type="dxa" w:w="5112"/>
          </w:tcPr>
          <w:p>
            <w:r>
              <w:t>Eligibility, representative controls, security and accountability.</w:t>
            </w:r>
          </w:p>
        </w:tc>
      </w:tr>
      <w:tr>
        <w:tc>
          <w:tcPr>
            <w:tcW w:type="dxa" w:w="5112"/>
          </w:tcPr>
          <w:p>
            <w:r>
              <w:t>Rep</w:t>
            </w:r>
          </w:p>
        </w:tc>
        <w:tc>
          <w:tcPr>
            <w:tcW w:type="dxa" w:w="5112"/>
          </w:tcPr>
          <w:p>
            <w:r>
              <w:t>Assigned person/team responsible for the case.</w:t>
            </w:r>
          </w:p>
        </w:tc>
      </w:tr>
      <w:tr>
        <w:tc>
          <w:tcPr>
            <w:tcW w:type="dxa" w:w="5112"/>
          </w:tcPr>
          <w:p>
            <w:r>
              <w:t>Back Home</w:t>
            </w:r>
          </w:p>
        </w:tc>
        <w:tc>
          <w:tcPr>
            <w:tcW w:type="dxa" w:w="5112"/>
          </w:tcPr>
          <w:p>
            <w:r>
              <w:t>Local execution in Nigeria.</w:t>
            </w:r>
          </w:p>
        </w:tc>
      </w:tr>
      <w:tr>
        <w:tc>
          <w:tcPr>
            <w:tcW w:type="dxa" w:w="5112"/>
          </w:tcPr>
          <w:p>
            <w:r>
              <w:t>Clear</w:t>
            </w:r>
          </w:p>
        </w:tc>
        <w:tc>
          <w:tcPr>
            <w:tcW w:type="dxa" w:w="5112"/>
          </w:tcPr>
          <w:p>
            <w:r>
              <w:t>Scope, quote and status visibility.</w:t>
            </w:r>
          </w:p>
        </w:tc>
      </w:tr>
      <w:tr>
        <w:tc>
          <w:tcPr>
            <w:tcW w:type="dxa" w:w="5112"/>
          </w:tcPr>
          <w:p>
            <w:r>
              <w:t>Evidence-backed</w:t>
            </w:r>
          </w:p>
        </w:tc>
        <w:tc>
          <w:tcPr>
            <w:tcW w:type="dxa" w:w="5112"/>
          </w:tcPr>
          <w:p>
            <w:r>
              <w:t>Evidence + QC + report.</w:t>
            </w:r>
          </w:p>
        </w:tc>
      </w:tr>
      <w:tr>
        <w:tc>
          <w:tcPr>
            <w:tcW w:type="dxa" w:w="5112"/>
          </w:tcPr>
          <w:p>
            <w:r>
              <w:t>Support</w:t>
            </w:r>
          </w:p>
        </w:tc>
        <w:tc>
          <w:tcPr>
            <w:tcW w:type="dxa" w:w="5112"/>
          </w:tcPr>
          <w:p>
            <w:r>
              <w:t>Escalation and customer service.</w:t>
            </w:r>
          </w:p>
        </w:tc>
      </w:tr>
      <w:tr>
        <w:tc>
          <w:tcPr>
            <w:tcW w:type="dxa" w:w="5112"/>
          </w:tcPr>
          <w:p>
            <w:r>
              <w:t>Peace of mind</w:t>
            </w:r>
          </w:p>
        </w:tc>
        <w:tc>
          <w:tcPr>
            <w:tcW w:type="dxa" w:w="5112"/>
          </w:tcPr>
          <w:p>
            <w:r>
              <w:t>Proactive updates and reliable closure.</w:t>
            </w:r>
          </w:p>
        </w:tc>
      </w:tr>
    </w:tbl>
    <w:p>
      <w:pPr>
        <w:pStyle w:val="Heading1"/>
      </w:pPr>
      <w:r>
        <w:t>26. Target Audience — Master Definition</w:t>
      </w:r>
    </w:p>
    <w:p>
      <w:r>
        <w:rPr>
          <w:b w:val="0"/>
        </w:rPr>
        <w:t>Primary audience: people living outside Nigeria who maintain meaningful family, financial, property or personal responsibilities in Nigeria and need dependable local representation.</w:t>
      </w:r>
    </w:p>
    <w:p>
      <w:r>
        <w:rPr>
          <w:b w:val="0"/>
        </w:rPr>
        <w:t>Secondary audiences:</w:t>
      </w:r>
    </w:p>
    <w:p>
      <w:pPr>
        <w:pStyle w:val="ListBullet"/>
      </w:pPr>
      <w:r>
        <w:t>Family members in Nigeria who need reliable support on behalf of relatives abroad.</w:t>
      </w:r>
    </w:p>
    <w:p>
      <w:pPr>
        <w:pStyle w:val="ListBullet"/>
      </w:pPr>
      <w:r>
        <w:t>Professionals and community leaders who can refer diaspora customers.</w:t>
      </w:r>
    </w:p>
    <w:p>
      <w:pPr>
        <w:pStyle w:val="ListBullet"/>
      </w:pPr>
      <w:r>
        <w:t>Organizations serving diaspora communities.</w:t>
      </w:r>
    </w:p>
    <w:p>
      <w:pPr>
        <w:pStyle w:val="ListBullet"/>
      </w:pPr>
      <w:r>
        <w:t>Trusted service providers and field representatives who can participate in ASOJU's operating network.</w:t>
      </w:r>
    </w:p>
    <w:p>
      <w:pPr>
        <w:pStyle w:val="Heading1"/>
      </w:pPr>
      <w:r>
        <w:t>27. Priority Diaspora Mindsets</w:t>
      </w:r>
    </w:p>
    <w:tbl>
      <w:tblPr>
        <w:tblStyle w:val="TableGrid"/>
        <w:tblW w:type="auto" w:w="0"/>
        <w:jc w:val="center"/>
        <w:tblLook w:firstColumn="1" w:firstRow="1" w:lastColumn="0" w:lastRow="0" w:noHBand="0" w:noVBand="1" w:val="04A0"/>
      </w:tblPr>
      <w:tblGrid>
        <w:gridCol w:w="5112"/>
        <w:gridCol w:w="5112"/>
      </w:tblGrid>
      <w:tr>
        <w:tc>
          <w:tcPr>
            <w:tcW w:type="dxa" w:w="5112"/>
          </w:tcPr>
          <w:p>
            <w:r>
              <w:t>Mindset</w:t>
            </w:r>
          </w:p>
        </w:tc>
        <w:tc>
          <w:tcPr>
            <w:tcW w:type="dxa" w:w="5112"/>
          </w:tcPr>
          <w:p>
            <w:r>
              <w:t>Underlying Need</w:t>
            </w:r>
          </w:p>
        </w:tc>
      </w:tr>
      <w:tr>
        <w:tc>
          <w:tcPr>
            <w:tcW w:type="dxa" w:w="5112"/>
          </w:tcPr>
          <w:p>
            <w:r>
              <w:t>The Responsible Child</w:t>
            </w:r>
          </w:p>
        </w:tc>
        <w:tc>
          <w:tcPr>
            <w:tcW w:type="dxa" w:w="5112"/>
          </w:tcPr>
          <w:p>
            <w:r>
              <w:t>“I need to take care of my family even from abroad.”</w:t>
            </w:r>
          </w:p>
        </w:tc>
      </w:tr>
      <w:tr>
        <w:tc>
          <w:tcPr>
            <w:tcW w:type="dxa" w:w="5112"/>
          </w:tcPr>
          <w:p>
            <w:r>
              <w:t>The Remote Property Owner</w:t>
            </w:r>
          </w:p>
        </w:tc>
        <w:tc>
          <w:tcPr>
            <w:tcW w:type="dxa" w:w="5112"/>
          </w:tcPr>
          <w:p>
            <w:r>
              <w:t>“I need someone to look after what I own.”</w:t>
            </w:r>
          </w:p>
        </w:tc>
      </w:tr>
      <w:tr>
        <w:tc>
          <w:tcPr>
            <w:tcW w:type="dxa" w:w="5112"/>
          </w:tcPr>
          <w:p>
            <w:r>
              <w:t>The Busy Professional</w:t>
            </w:r>
          </w:p>
        </w:tc>
        <w:tc>
          <w:tcPr>
            <w:tcW w:type="dxa" w:w="5112"/>
          </w:tcPr>
          <w:p>
            <w:r>
              <w:t>“I don't have time to coordinate this myself.”</w:t>
            </w:r>
          </w:p>
        </w:tc>
      </w:tr>
      <w:tr>
        <w:tc>
          <w:tcPr>
            <w:tcW w:type="dxa" w:w="5112"/>
          </w:tcPr>
          <w:p>
            <w:r>
              <w:t>The Cautious Delegator</w:t>
            </w:r>
          </w:p>
        </w:tc>
        <w:tc>
          <w:tcPr>
            <w:tcW w:type="dxa" w:w="5112"/>
          </w:tcPr>
          <w:p>
            <w:r>
              <w:t>“I want proof before I trust the outcome.”</w:t>
            </w:r>
          </w:p>
        </w:tc>
      </w:tr>
      <w:tr>
        <w:tc>
          <w:tcPr>
            <w:tcW w:type="dxa" w:w="5112"/>
          </w:tcPr>
          <w:p>
            <w:r>
              <w:t>The Family Connector</w:t>
            </w:r>
          </w:p>
        </w:tc>
        <w:tc>
          <w:tcPr>
            <w:tcW w:type="dxa" w:w="5112"/>
          </w:tcPr>
          <w:p>
            <w:r>
              <w:t>“I need reliable support for people back home.”</w:t>
            </w:r>
          </w:p>
        </w:tc>
      </w:tr>
      <w:tr>
        <w:tc>
          <w:tcPr>
            <w:tcW w:type="dxa" w:w="5112"/>
          </w:tcPr>
          <w:p>
            <w:r>
              <w:t>The High-Stakes Delegator</w:t>
            </w:r>
          </w:p>
        </w:tc>
        <w:tc>
          <w:tcPr>
            <w:tcW w:type="dxa" w:w="5112"/>
          </w:tcPr>
          <w:p>
            <w:r>
              <w:t>“This is important enough that I cannot afford uncertainty.”</w:t>
            </w:r>
          </w:p>
        </w:tc>
      </w:tr>
    </w:tbl>
    <w:p>
      <w:pPr>
        <w:pStyle w:val="Heading1"/>
      </w:pPr>
      <w:r>
        <w:t>28. Brand Ladder</w:t>
      </w:r>
    </w:p>
    <w:tbl>
      <w:tblPr>
        <w:tblStyle w:val="TableGrid"/>
        <w:tblW w:type="auto" w:w="0"/>
        <w:jc w:val="center"/>
        <w:tblLook w:firstColumn="1" w:firstRow="1" w:lastColumn="0" w:lastRow="0" w:noHBand="0" w:noVBand="1" w:val="04A0"/>
      </w:tblPr>
      <w:tblGrid>
        <w:gridCol w:w="5112"/>
        <w:gridCol w:w="5112"/>
      </w:tblGrid>
      <w:tr>
        <w:tc>
          <w:tcPr>
            <w:tcW w:type="dxa" w:w="5112"/>
          </w:tcPr>
          <w:p>
            <w:r>
              <w:t>Level</w:t>
            </w:r>
          </w:p>
        </w:tc>
        <w:tc>
          <w:tcPr>
            <w:tcW w:type="dxa" w:w="5112"/>
          </w:tcPr>
          <w:p>
            <w:r>
              <w:t>ASOJU Meaning</w:t>
            </w:r>
          </w:p>
        </w:tc>
      </w:tr>
      <w:tr>
        <w:tc>
          <w:tcPr>
            <w:tcW w:type="dxa" w:w="5112"/>
          </w:tcPr>
          <w:p>
            <w:r>
              <w:t>Feature</w:t>
            </w:r>
          </w:p>
        </w:tc>
        <w:tc>
          <w:tcPr>
            <w:tcW w:type="dxa" w:w="5112"/>
          </w:tcPr>
          <w:p>
            <w:r>
              <w:t>Local representatives, coordination, evidence, updates.</w:t>
            </w:r>
          </w:p>
        </w:tc>
      </w:tr>
      <w:tr>
        <w:tc>
          <w:tcPr>
            <w:tcW w:type="dxa" w:w="5112"/>
          </w:tcPr>
          <w:p>
            <w:r>
              <w:t>Functional benefit</w:t>
            </w:r>
          </w:p>
        </w:tc>
        <w:tc>
          <w:tcPr>
            <w:tcW w:type="dxa" w:w="5112"/>
          </w:tcPr>
          <w:p>
            <w:r>
              <w:t>Important matters get handled when the customer cannot be physically present.</w:t>
            </w:r>
          </w:p>
        </w:tc>
      </w:tr>
      <w:tr>
        <w:tc>
          <w:tcPr>
            <w:tcW w:type="dxa" w:w="5112"/>
          </w:tcPr>
          <w:p>
            <w:r>
              <w:t>Emotional benefit</w:t>
            </w:r>
          </w:p>
        </w:tc>
        <w:tc>
          <w:tcPr>
            <w:tcW w:type="dxa" w:w="5112"/>
          </w:tcPr>
          <w:p>
            <w:r>
              <w:t>Less worry; greater sense of presence.</w:t>
            </w:r>
          </w:p>
        </w:tc>
      </w:tr>
      <w:tr>
        <w:tc>
          <w:tcPr>
            <w:tcW w:type="dxa" w:w="5112"/>
          </w:tcPr>
          <w:p>
            <w:r>
              <w:t>Social meaning</w:t>
            </w:r>
          </w:p>
        </w:tc>
        <w:tc>
          <w:tcPr>
            <w:tcW w:type="dxa" w:w="5112"/>
          </w:tcPr>
          <w:p>
            <w:r>
              <w:t>Being a responsible family member even across distance.</w:t>
            </w:r>
          </w:p>
        </w:tc>
      </w:tr>
      <w:tr>
        <w:tc>
          <w:tcPr>
            <w:tcW w:type="dxa" w:w="5112"/>
          </w:tcPr>
          <w:p>
            <w:r>
              <w:t>Brand purpose</w:t>
            </w:r>
          </w:p>
        </w:tc>
        <w:tc>
          <w:tcPr>
            <w:tcW w:type="dxa" w:w="5112"/>
          </w:tcPr>
          <w:p>
            <w:r>
              <w:t>Make distance less of a barrier to showing up for what matters.</w:t>
            </w:r>
          </w:p>
        </w:tc>
      </w:tr>
    </w:tbl>
    <w:p>
      <w:pPr>
        <w:pStyle w:val="Heading1"/>
      </w:pPr>
      <w:r>
        <w:t>29. Competitive Mental Position</w:t>
      </w:r>
    </w:p>
    <w:p>
      <w:r>
        <w:rPr>
          <w:b w:val="0"/>
        </w:rPr>
        <w:t>The desired mental shortcut is:</w:t>
      </w:r>
    </w:p>
    <w:p>
      <w:r>
        <w:rPr>
          <w:b/>
        </w:rPr>
        <w:t>“Need someone trustworthy in Nigeria because I am abroad? Think ASOJU.”</w:t>
      </w:r>
    </w:p>
    <w:p>
      <w:r>
        <w:rPr>
          <w:b w:val="0"/>
        </w:rPr>
        <w:t>This is the association marketing should build repeatedly.</w:t>
      </w:r>
    </w:p>
    <w:p>
      <w:pPr>
        <w:pStyle w:val="Heading1"/>
      </w:pPr>
      <w:r>
        <w:t>30. Brand Growth Flywheel</w:t>
      </w:r>
    </w:p>
    <w:p>
      <w:r>
        <w:rPr>
          <w:b/>
        </w:rPr>
        <w:t>TRUST → FIRST SUCCESSFUL REPRESENTATION → EVIDENCE → CONFIDENCE → REPEAT USE → REFERRAL → MORE TRUST</w:t>
      </w:r>
    </w:p>
    <w:p>
      <w:r>
        <w:rPr>
          <w:b w:val="0"/>
        </w:rPr>
        <w:t>The brand should therefore treat every successfully completed case as both an operational outcome and a marketing asset—subject to customer consent and privacy.</w:t>
      </w:r>
    </w:p>
    <w:p>
      <w:pPr>
        <w:pStyle w:val="Heading1"/>
      </w:pPr>
      <w:r>
        <w:t>31. Marketing Implication</w:t>
      </w:r>
    </w:p>
    <w:p>
      <w:pPr>
        <w:pStyle w:val="ListBullet"/>
      </w:pPr>
      <w:r>
        <w:t>Lead with the customer problem, not the technology.</w:t>
      </w:r>
    </w:p>
    <w:p>
      <w:pPr>
        <w:pStyle w:val="ListBullet"/>
      </w:pPr>
      <w:r>
        <w:t>Show representation in action.</w:t>
      </w:r>
    </w:p>
    <w:p>
      <w:pPr>
        <w:pStyle w:val="ListBullet"/>
      </w:pPr>
      <w:r>
        <w:t>Demonstrate evidence and accountability.</w:t>
      </w:r>
    </w:p>
    <w:p>
      <w:pPr>
        <w:pStyle w:val="ListBullet"/>
      </w:pPr>
      <w:r>
        <w:t>Tell stories about distance and responsibility.</w:t>
      </w:r>
    </w:p>
    <w:p>
      <w:pPr>
        <w:pStyle w:val="ListBullet"/>
      </w:pPr>
      <w:r>
        <w:t>Make trust visible.</w:t>
      </w:r>
    </w:p>
    <w:p>
      <w:pPr>
        <w:pStyle w:val="ListBullet"/>
      </w:pPr>
      <w:r>
        <w:t>Use real customer outcomes once available.</w:t>
      </w:r>
    </w:p>
    <w:p>
      <w:pPr>
        <w:pStyle w:val="ListBullet"/>
      </w:pPr>
      <w:r>
        <w:t>Build community credibility before aggressively scaling paid acquisition.</w:t>
      </w:r>
    </w:p>
    <w:p>
      <w:pPr>
        <w:pStyle w:val="ListBullet"/>
      </w:pPr>
      <w:r>
        <w:t>Turn successful cases into repeat/referral opportunities.</w:t>
      </w:r>
    </w:p>
    <w:p>
      <w:pPr>
        <w:pStyle w:val="Heading1"/>
      </w:pPr>
      <w:r>
        <w:t>32. Brand Content Territories</w:t>
      </w:r>
    </w:p>
    <w:tbl>
      <w:tblPr>
        <w:tblStyle w:val="TableGrid"/>
        <w:tblW w:type="auto" w:w="0"/>
        <w:jc w:val="center"/>
        <w:tblLook w:firstColumn="1" w:firstRow="1" w:lastColumn="0" w:lastRow="0" w:noHBand="0" w:noVBand="1" w:val="04A0"/>
      </w:tblPr>
      <w:tblGrid>
        <w:gridCol w:w="5112"/>
        <w:gridCol w:w="5112"/>
      </w:tblGrid>
      <w:tr>
        <w:tc>
          <w:tcPr>
            <w:tcW w:type="dxa" w:w="5112"/>
          </w:tcPr>
          <w:p>
            <w:r>
              <w:t>Territory</w:t>
            </w:r>
          </w:p>
        </w:tc>
        <w:tc>
          <w:tcPr>
            <w:tcW w:type="dxa" w:w="5112"/>
          </w:tcPr>
          <w:p>
            <w:r>
              <w:t>Examples</w:t>
            </w:r>
          </w:p>
        </w:tc>
      </w:tr>
      <w:tr>
        <w:tc>
          <w:tcPr>
            <w:tcW w:type="dxa" w:w="5112"/>
          </w:tcPr>
          <w:p>
            <w:r>
              <w:t>Distance</w:t>
            </w:r>
          </w:p>
        </w:tc>
        <w:tc>
          <w:tcPr>
            <w:tcW w:type="dxa" w:w="5112"/>
          </w:tcPr>
          <w:p>
            <w:r>
              <w:t>What changes when you live abroad?</w:t>
            </w:r>
          </w:p>
        </w:tc>
      </w:tr>
      <w:tr>
        <w:tc>
          <w:tcPr>
            <w:tcW w:type="dxa" w:w="5112"/>
          </w:tcPr>
          <w:p>
            <w:r>
              <w:t>Family</w:t>
            </w:r>
          </w:p>
        </w:tc>
        <w:tc>
          <w:tcPr>
            <w:tcW w:type="dxa" w:w="5112"/>
          </w:tcPr>
          <w:p>
            <w:r>
              <w:t>Showing up for family from far away.</w:t>
            </w:r>
          </w:p>
        </w:tc>
      </w:tr>
      <w:tr>
        <w:tc>
          <w:tcPr>
            <w:tcW w:type="dxa" w:w="5112"/>
          </w:tcPr>
          <w:p>
            <w:r>
              <w:t>Trust</w:t>
            </w:r>
          </w:p>
        </w:tc>
        <w:tc>
          <w:tcPr>
            <w:tcW w:type="dxa" w:w="5112"/>
          </w:tcPr>
          <w:p>
            <w:r>
              <w:t>How to know who to trust back home.</w:t>
            </w:r>
          </w:p>
        </w:tc>
      </w:tr>
      <w:tr>
        <w:tc>
          <w:tcPr>
            <w:tcW w:type="dxa" w:w="5112"/>
          </w:tcPr>
          <w:p>
            <w:r>
              <w:t>Representation</w:t>
            </w:r>
          </w:p>
        </w:tc>
        <w:tc>
          <w:tcPr>
            <w:tcW w:type="dxa" w:w="5112"/>
          </w:tcPr>
          <w:p>
            <w:r>
              <w:t>Why having someone accountable matters.</w:t>
            </w:r>
          </w:p>
        </w:tc>
      </w:tr>
      <w:tr>
        <w:tc>
          <w:tcPr>
            <w:tcW w:type="dxa" w:w="5112"/>
          </w:tcPr>
          <w:p>
            <w:r>
              <w:t>Proof</w:t>
            </w:r>
          </w:p>
        </w:tc>
        <w:tc>
          <w:tcPr>
            <w:tcW w:type="dxa" w:w="5112"/>
          </w:tcPr>
          <w:p>
            <w:r>
              <w:t>What good evidence looks like.</w:t>
            </w:r>
          </w:p>
        </w:tc>
      </w:tr>
      <w:tr>
        <w:tc>
          <w:tcPr>
            <w:tcW w:type="dxa" w:w="5112"/>
          </w:tcPr>
          <w:p>
            <w:r>
              <w:t>Peace of mind</w:t>
            </w:r>
          </w:p>
        </w:tc>
        <w:tc>
          <w:tcPr>
            <w:tcW w:type="dxa" w:w="5112"/>
          </w:tcPr>
          <w:p>
            <w:r>
              <w:t>The relief of knowing someone is handling it.</w:t>
            </w:r>
          </w:p>
        </w:tc>
      </w:tr>
      <w:tr>
        <w:tc>
          <w:tcPr>
            <w:tcW w:type="dxa" w:w="5112"/>
          </w:tcPr>
          <w:p>
            <w:r>
              <w:t>Nigeria from abroad</w:t>
            </w:r>
          </w:p>
        </w:tc>
        <w:tc>
          <w:tcPr>
            <w:tcW w:type="dxa" w:w="5112"/>
          </w:tcPr>
          <w:p>
            <w:r>
              <w:t>Practical realities diaspora customers face.</w:t>
            </w:r>
          </w:p>
        </w:tc>
      </w:tr>
      <w:tr>
        <w:tc>
          <w:tcPr>
            <w:tcW w:type="dxa" w:w="5112"/>
          </w:tcPr>
          <w:p>
            <w:r>
              <w:t>Customer stories</w:t>
            </w:r>
          </w:p>
        </w:tc>
        <w:tc>
          <w:tcPr>
            <w:tcW w:type="dxa" w:w="5112"/>
          </w:tcPr>
          <w:p>
            <w:r>
              <w:t>Real outcomes and lessons.</w:t>
            </w:r>
          </w:p>
        </w:tc>
      </w:tr>
      <w:tr>
        <w:tc>
          <w:tcPr>
            <w:tcW w:type="dxa" w:w="5112"/>
          </w:tcPr>
          <w:p>
            <w:r>
              <w:t>Community</w:t>
            </w:r>
          </w:p>
        </w:tc>
        <w:tc>
          <w:tcPr>
            <w:tcW w:type="dxa" w:w="5112"/>
          </w:tcPr>
          <w:p>
            <w:r>
              <w:t>Diaspora connections and shared experiences.</w:t>
            </w:r>
          </w:p>
        </w:tc>
      </w:tr>
    </w:tbl>
    <w:p>
      <w:pPr>
        <w:pStyle w:val="Heading1"/>
      </w:pPr>
      <w:r>
        <w:t>33. Brand Experience Principles</w:t>
      </w:r>
    </w:p>
    <w:p>
      <w:pPr>
        <w:pStyle w:val="ListNumber"/>
      </w:pPr>
      <w:r>
        <w:t>Every interaction should reduce uncertainty.</w:t>
      </w:r>
    </w:p>
    <w:p>
      <w:pPr>
        <w:pStyle w:val="ListNumber"/>
      </w:pPr>
      <w:r>
        <w:t>Every important promise should have an operational mechanism behind it.</w:t>
      </w:r>
    </w:p>
    <w:p>
      <w:pPr>
        <w:pStyle w:val="ListNumber"/>
      </w:pPr>
      <w:r>
        <w:t>Every case should have an owner.</w:t>
      </w:r>
    </w:p>
    <w:p>
      <w:pPr>
        <w:pStyle w:val="ListNumber"/>
      </w:pPr>
      <w:r>
        <w:t>Every material outcome should be explainable.</w:t>
      </w:r>
    </w:p>
    <w:p>
      <w:pPr>
        <w:pStyle w:val="ListNumber"/>
      </w:pPr>
      <w:r>
        <w:t>Customers should never have to chase ASOJU for basic status visibility.</w:t>
      </w:r>
    </w:p>
    <w:p>
      <w:pPr>
        <w:pStyle w:val="ListNumber"/>
      </w:pPr>
      <w:r>
        <w:t>Problems should be surfaced early rather than hidden.</w:t>
      </w:r>
    </w:p>
    <w:p>
      <w:pPr>
        <w:pStyle w:val="ListNumber"/>
      </w:pPr>
      <w:r>
        <w:t>Technology should make trust easier, not colder.</w:t>
      </w:r>
    </w:p>
    <w:p>
      <w:pPr>
        <w:pStyle w:val="Heading1"/>
      </w:pPr>
      <w:r>
        <w:t>34. Brand Guardrails</w:t>
      </w:r>
    </w:p>
    <w:p>
      <w:pPr>
        <w:pStyle w:val="ListBullet"/>
      </w:pPr>
      <w:r>
        <w:t>Do not portray Nigeria as inherently chaotic or unsafe merely to create marketing drama.</w:t>
      </w:r>
    </w:p>
    <w:p>
      <w:pPr>
        <w:pStyle w:val="ListBullet"/>
      </w:pPr>
      <w:r>
        <w:t>Do not exploit family anxiety.</w:t>
      </w:r>
    </w:p>
    <w:p>
      <w:pPr>
        <w:pStyle w:val="ListBullet"/>
      </w:pPr>
      <w:r>
        <w:t>Do not use fear-based messaging as the primary acquisition tactic.</w:t>
      </w:r>
    </w:p>
    <w:p>
      <w:pPr>
        <w:pStyle w:val="ListBullet"/>
      </w:pPr>
      <w:r>
        <w:t>Do not promise perfect outcomes.</w:t>
      </w:r>
    </w:p>
    <w:p>
      <w:pPr>
        <w:pStyle w:val="ListBullet"/>
      </w:pPr>
      <w:r>
        <w:t>Do not present representatives as anonymous labor.</w:t>
      </w:r>
    </w:p>
    <w:p>
      <w:pPr>
        <w:pStyle w:val="ListBullet"/>
      </w:pPr>
      <w:r>
        <w:t>Do not overclaim scale, coverage or capabilities before they exist.</w:t>
      </w:r>
    </w:p>
    <w:p>
      <w:pPr>
        <w:pStyle w:val="ListBullet"/>
      </w:pPr>
      <w:r>
        <w:t>Do not make trust claims that the operating system cannot prove.</w:t>
      </w:r>
    </w:p>
    <w:p>
      <w:pPr>
        <w:pStyle w:val="Heading1"/>
      </w:pPr>
      <w:r>
        <w:t>35. Brand Success Metrics</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What It Indicates</w:t>
            </w:r>
          </w:p>
        </w:tc>
      </w:tr>
      <w:tr>
        <w:tc>
          <w:tcPr>
            <w:tcW w:type="dxa" w:w="5112"/>
          </w:tcPr>
          <w:p>
            <w:r>
              <w:t>Unaided brand association</w:t>
            </w:r>
          </w:p>
        </w:tc>
        <w:tc>
          <w:tcPr>
            <w:tcW w:type="dxa" w:w="5112"/>
          </w:tcPr>
          <w:p>
            <w:r>
              <w:t>Whether people connect ASOJU with trusted representation.</w:t>
            </w:r>
          </w:p>
        </w:tc>
      </w:tr>
      <w:tr>
        <w:tc>
          <w:tcPr>
            <w:tcW w:type="dxa" w:w="5112"/>
          </w:tcPr>
          <w:p>
            <w:r>
              <w:t>Branded search</w:t>
            </w:r>
          </w:p>
        </w:tc>
        <w:tc>
          <w:tcPr>
            <w:tcW w:type="dxa" w:w="5112"/>
          </w:tcPr>
          <w:p>
            <w:r>
              <w:t>Growing mental availability.</w:t>
            </w:r>
          </w:p>
        </w:tc>
      </w:tr>
      <w:tr>
        <w:tc>
          <w:tcPr>
            <w:tcW w:type="dxa" w:w="5112"/>
          </w:tcPr>
          <w:p>
            <w:r>
              <w:t>Direct/referral leads</w:t>
            </w:r>
          </w:p>
        </w:tc>
        <w:tc>
          <w:tcPr>
            <w:tcW w:type="dxa" w:w="5112"/>
          </w:tcPr>
          <w:p>
            <w:r>
              <w:t>Trust-driven acquisition.</w:t>
            </w:r>
          </w:p>
        </w:tc>
      </w:tr>
      <w:tr>
        <w:tc>
          <w:tcPr>
            <w:tcW w:type="dxa" w:w="5112"/>
          </w:tcPr>
          <w:p>
            <w:r>
              <w:t>Conversion rate</w:t>
            </w:r>
          </w:p>
        </w:tc>
        <w:tc>
          <w:tcPr>
            <w:tcW w:type="dxa" w:w="5112"/>
          </w:tcPr>
          <w:p>
            <w:r>
              <w:t>Positioning resonance.</w:t>
            </w:r>
          </w:p>
        </w:tc>
      </w:tr>
      <w:tr>
        <w:tc>
          <w:tcPr>
            <w:tcW w:type="dxa" w:w="5112"/>
          </w:tcPr>
          <w:p>
            <w:r>
              <w:t>Customer trust score</w:t>
            </w:r>
          </w:p>
        </w:tc>
        <w:tc>
          <w:tcPr>
            <w:tcW w:type="dxa" w:w="5112"/>
          </w:tcPr>
          <w:p>
            <w:r>
              <w:t>Experience validates promise.</w:t>
            </w:r>
          </w:p>
        </w:tc>
      </w:tr>
      <w:tr>
        <w:tc>
          <w:tcPr>
            <w:tcW w:type="dxa" w:w="5112"/>
          </w:tcPr>
          <w:p>
            <w:r>
              <w:t>Repeat use</w:t>
            </w:r>
          </w:p>
        </w:tc>
        <w:tc>
          <w:tcPr>
            <w:tcW w:type="dxa" w:w="5112"/>
          </w:tcPr>
          <w:p>
            <w:r>
              <w:t>Ongoing value.</w:t>
            </w:r>
          </w:p>
        </w:tc>
      </w:tr>
      <w:tr>
        <w:tc>
          <w:tcPr>
            <w:tcW w:type="dxa" w:w="5112"/>
          </w:tcPr>
          <w:p>
            <w:r>
              <w:t>Referral intent</w:t>
            </w:r>
          </w:p>
        </w:tc>
        <w:tc>
          <w:tcPr>
            <w:tcW w:type="dxa" w:w="5112"/>
          </w:tcPr>
          <w:p>
            <w:r>
              <w:t>Brand trust transfer.</w:t>
            </w:r>
          </w:p>
        </w:tc>
      </w:tr>
      <w:tr>
        <w:tc>
          <w:tcPr>
            <w:tcW w:type="dxa" w:w="5112"/>
          </w:tcPr>
          <w:p>
            <w:r>
              <w:t>Complaint themes</w:t>
            </w:r>
          </w:p>
        </w:tc>
        <w:tc>
          <w:tcPr>
            <w:tcW w:type="dxa" w:w="5112"/>
          </w:tcPr>
          <w:p>
            <w:r>
              <w:t>Brand promise gaps.</w:t>
            </w:r>
          </w:p>
        </w:tc>
      </w:tr>
      <w:tr>
        <w:tc>
          <w:tcPr>
            <w:tcW w:type="dxa" w:w="5112"/>
          </w:tcPr>
          <w:p>
            <w:r>
              <w:t>Share of diaspora conversations</w:t>
            </w:r>
          </w:p>
        </w:tc>
        <w:tc>
          <w:tcPr>
            <w:tcW w:type="dxa" w:w="5112"/>
          </w:tcPr>
          <w:p>
            <w:r>
              <w:t>Long-term category ownership.</w:t>
            </w:r>
          </w:p>
        </w:tc>
      </w:tr>
    </w:tbl>
    <w:p>
      <w:pPr>
        <w:pStyle w:val="Heading1"/>
      </w:pPr>
      <w:r>
        <w:t>36. Brand Architecture — Recommended</w:t>
      </w:r>
    </w:p>
    <w:p>
      <w:r>
        <w:rPr>
          <w:b w:val="0"/>
        </w:rPr>
        <w:t>Master brand: ASOJU</w:t>
      </w:r>
    </w:p>
    <w:p>
      <w:r>
        <w:rPr>
          <w:b w:val="0"/>
        </w:rPr>
        <w:t>Master promise: Your Trusted Rep Back Home.</w:t>
      </w:r>
    </w:p>
    <w:p>
      <w:r>
        <w:rPr>
          <w:b w:val="0"/>
        </w:rPr>
        <w:t>Service families should sit underneath the master brand rather than creating separate brands too early.</w:t>
      </w:r>
    </w:p>
    <w:p>
      <w:r>
        <w:rPr>
          <w:b w:val="0"/>
        </w:rPr>
        <w:t>Example structure:</w:t>
      </w:r>
    </w:p>
    <w:p>
      <w:pPr>
        <w:pStyle w:val="ListBullet"/>
      </w:pPr>
      <w:r>
        <w:t>ASOJU — Trusted Representation</w:t>
      </w:r>
    </w:p>
    <w:p>
      <w:pPr>
        <w:pStyle w:val="ListBullet"/>
      </w:pPr>
      <w:r>
        <w:t>ASOJU Family Support</w:t>
      </w:r>
    </w:p>
    <w:p>
      <w:pPr>
        <w:pStyle w:val="ListBullet"/>
      </w:pPr>
      <w:r>
        <w:t>ASOJU Property &amp; Asset Support</w:t>
      </w:r>
    </w:p>
    <w:p>
      <w:pPr>
        <w:pStyle w:val="ListBullet"/>
      </w:pPr>
      <w:r>
        <w:t>ASOJU Verification</w:t>
      </w:r>
    </w:p>
    <w:p>
      <w:pPr>
        <w:pStyle w:val="ListBullet"/>
      </w:pPr>
      <w:r>
        <w:t>ASOJU Documents &amp; Administration</w:t>
      </w:r>
    </w:p>
    <w:p>
      <w:pPr>
        <w:pStyle w:val="ListBullet"/>
      </w:pPr>
      <w:r>
        <w:t>ASOJU Business/Professional Support</w:t>
      </w:r>
    </w:p>
    <w:p>
      <w:r>
        <w:rPr>
          <w:b w:val="0"/>
        </w:rPr>
        <w:t>Exact service family names should follow the approved service catalogue and validated customer demand.</w:t>
      </w:r>
    </w:p>
    <w:p>
      <w:pPr>
        <w:pStyle w:val="Heading1"/>
      </w:pPr>
      <w:r>
        <w:t>37. Five-Year Brand Ambition</w:t>
      </w:r>
    </w:p>
    <w:p>
      <w:r>
        <w:rPr>
          <w:b w:val="0"/>
        </w:rPr>
        <w:t>ASOJU should aim to become synonymous with trusted representation for the African diaspora—not merely a collection of services.</w:t>
      </w:r>
    </w:p>
    <w:p>
      <w:r>
        <w:rPr>
          <w:b w:val="0"/>
        </w:rPr>
        <w:t>The long-term brand question is not “How many things can ASOJU do?”</w:t>
      </w:r>
    </w:p>
    <w:p>
      <w:r>
        <w:rPr>
          <w:b/>
        </w:rPr>
        <w:t>It is: “How many important things can people abroad confidently entrust to ASOJU?”</w:t>
      </w:r>
    </w:p>
    <w:p>
      <w:pPr>
        <w:pStyle w:val="Heading1"/>
      </w:pPr>
      <w:r>
        <w:t>38. Strategic Brand Statement</w:t>
      </w:r>
    </w:p>
    <w:p>
      <w:r>
        <w:rPr>
          <w:b/>
        </w:rPr>
        <w:t>ASOJU is building the trust layer between the diaspora and home.</w:t>
      </w:r>
    </w:p>
    <w:p>
      <w:r>
        <w:rPr>
          <w:b w:val="0"/>
        </w:rPr>
        <w:t>That statement can guide product, operations, marketing, partnerships and future category expansion.</w:t>
      </w:r>
    </w:p>
    <w:p>
      <w:pPr>
        <w:pStyle w:val="Heading1"/>
      </w:pPr>
      <w:r>
        <w:t>39. Immediate Brand Priorities</w:t>
      </w:r>
    </w:p>
    <w:p>
      <w:pPr>
        <w:pStyle w:val="ListNumber"/>
      </w:pPr>
      <w:r>
        <w:t>Lock the master brand positioning.</w:t>
      </w:r>
    </w:p>
    <w:p>
      <w:pPr>
        <w:pStyle w:val="ListNumber"/>
      </w:pPr>
      <w:r>
        <w:t>Lock “Your Trusted Rep Back Home” as the primary tagline unless strategic testing indicates otherwise.</w:t>
      </w:r>
    </w:p>
    <w:p>
      <w:pPr>
        <w:pStyle w:val="ListNumber"/>
      </w:pPr>
      <w:r>
        <w:t>Develop the visual identity around trusted representation, not generic service symbolism.</w:t>
      </w:r>
    </w:p>
    <w:p>
      <w:pPr>
        <w:pStyle w:val="ListNumber"/>
      </w:pPr>
      <w:r>
        <w:t>Create a consistent verbal identity.</w:t>
      </w:r>
    </w:p>
    <w:p>
      <w:pPr>
        <w:pStyle w:val="ListNumber"/>
      </w:pPr>
      <w:r>
        <w:t>Build the first brand campaign around the emotional reality of being responsible from a distance.</w:t>
      </w:r>
    </w:p>
    <w:p>
      <w:pPr>
        <w:pStyle w:val="ListNumber"/>
      </w:pPr>
      <w:r>
        <w:t>Collect customer stories and evidence of outcomes.</w:t>
      </w:r>
    </w:p>
    <w:p>
      <w:pPr>
        <w:pStyle w:val="ListNumber"/>
      </w:pPr>
      <w:r>
        <w:t>Build referral/community credibility before broad paid scale.</w:t>
      </w:r>
    </w:p>
    <w:p>
      <w:pPr>
        <w:pStyle w:val="ListNumber"/>
      </w:pPr>
      <w:r>
        <w:t>Measure whether customers spontaneously associate ASOJU with trusted representation.</w:t>
      </w:r>
    </w:p>
    <w:p>
      <w:pPr>
        <w:pStyle w:val="Heading1"/>
      </w:pPr>
      <w:r>
        <w:t>40. Next Brand Documents</w:t>
      </w:r>
    </w:p>
    <w:tbl>
      <w:tblPr>
        <w:tblStyle w:val="TableGrid"/>
        <w:tblW w:type="auto" w:w="0"/>
        <w:jc w:val="center"/>
        <w:tblLook w:firstColumn="1" w:firstRow="1" w:lastColumn="0" w:lastRow="0" w:noHBand="0" w:noVBand="1" w:val="04A0"/>
      </w:tblPr>
      <w:tblGrid>
        <w:gridCol w:w="5112"/>
        <w:gridCol w:w="5112"/>
      </w:tblGrid>
      <w:tr>
        <w:tc>
          <w:tcPr>
            <w:tcW w:type="dxa" w:w="5112"/>
          </w:tcPr>
          <w:p>
            <w:r>
              <w:t>Document</w:t>
            </w:r>
          </w:p>
        </w:tc>
        <w:tc>
          <w:tcPr>
            <w:tcW w:type="dxa" w:w="5112"/>
          </w:tcPr>
          <w:p>
            <w:r>
              <w:t>Purpose</w:t>
            </w:r>
          </w:p>
        </w:tc>
      </w:tr>
      <w:tr>
        <w:tc>
          <w:tcPr>
            <w:tcW w:type="dxa" w:w="5112"/>
          </w:tcPr>
          <w:p>
            <w:r>
              <w:t>Brand Identity Guidelines</w:t>
            </w:r>
          </w:p>
        </w:tc>
        <w:tc>
          <w:tcPr>
            <w:tcW w:type="dxa" w:w="5112"/>
          </w:tcPr>
          <w:p>
            <w:r>
              <w:t>Logo, colors, typography, visual system and usage.</w:t>
            </w:r>
          </w:p>
        </w:tc>
      </w:tr>
      <w:tr>
        <w:tc>
          <w:tcPr>
            <w:tcW w:type="dxa" w:w="5112"/>
          </w:tcPr>
          <w:p>
            <w:r>
              <w:t>Messaging &amp; Verbal Identity Guide</w:t>
            </w:r>
          </w:p>
        </w:tc>
        <w:tc>
          <w:tcPr>
            <w:tcW w:type="dxa" w:w="5112"/>
          </w:tcPr>
          <w:p>
            <w:r>
              <w:t>Taglines, pitches, voice, copy principles and message hierarchy.</w:t>
            </w:r>
          </w:p>
        </w:tc>
      </w:tr>
      <w:tr>
        <w:tc>
          <w:tcPr>
            <w:tcW w:type="dxa" w:w="5112"/>
          </w:tcPr>
          <w:p>
            <w:r>
              <w:t>Diaspora Marketing Strategy</w:t>
            </w:r>
          </w:p>
        </w:tc>
        <w:tc>
          <w:tcPr>
            <w:tcW w:type="dxa" w:w="5112"/>
          </w:tcPr>
          <w:p>
            <w:r>
              <w:t>Segments, channels, positioning and acquisition strategy.</w:t>
            </w:r>
          </w:p>
        </w:tc>
      </w:tr>
      <w:tr>
        <w:tc>
          <w:tcPr>
            <w:tcW w:type="dxa" w:w="5112"/>
          </w:tcPr>
          <w:p>
            <w:r>
              <w:t>Content &amp; Campaign Playbook</w:t>
            </w:r>
          </w:p>
        </w:tc>
        <w:tc>
          <w:tcPr>
            <w:tcW w:type="dxa" w:w="5112"/>
          </w:tcPr>
          <w:p>
            <w:r>
              <w:t>Content pillars, formats, campaign system and calendar.</w:t>
            </w:r>
          </w:p>
        </w:tc>
      </w:tr>
      <w:tr>
        <w:tc>
          <w:tcPr>
            <w:tcW w:type="dxa" w:w="5112"/>
          </w:tcPr>
          <w:p>
            <w:r>
              <w:t>Brand Launch Campaign</w:t>
            </w:r>
          </w:p>
        </w:tc>
        <w:tc>
          <w:tcPr>
            <w:tcW w:type="dxa" w:w="5112"/>
          </w:tcPr>
          <w:p>
            <w:r>
              <w:t>Launch narrative, creative platform and campaign execution.</w:t>
            </w:r>
          </w:p>
        </w:tc>
      </w:tr>
      <w:tr>
        <w:tc>
          <w:tcPr>
            <w:tcW w:type="dxa" w:w="5112"/>
          </w:tcPr>
          <w:p>
            <w:r>
              <w:t>Marketing KPI &amp; Measurement Framework</w:t>
            </w:r>
          </w:p>
        </w:tc>
        <w:tc>
          <w:tcPr>
            <w:tcW w:type="dxa" w:w="5112"/>
          </w:tcPr>
          <w:p>
            <w:r>
              <w:t>Funnel, CAC, conversion, referral, brand and retention metrics.</w:t>
            </w:r>
          </w:p>
        </w:tc>
      </w:tr>
      <w:tr>
        <w:tc>
          <w:tcPr>
            <w:tcW w:type="dxa" w:w="5112"/>
          </w:tcPr>
          <w:p>
            <w:r>
              <w:t>Brand Partnership &amp; Community Strategy</w:t>
            </w:r>
          </w:p>
        </w:tc>
        <w:tc>
          <w:tcPr>
            <w:tcW w:type="dxa" w:w="5112"/>
          </w:tcPr>
          <w:p>
            <w:r>
              <w:t>Diaspora organizations, communities and trusted referral networks.</w:t>
            </w:r>
          </w:p>
        </w:tc>
      </w:tr>
    </w:tbl>
    <w:p>
      <w:pPr>
        <w:pStyle w:val="Heading1"/>
      </w:pPr>
      <w:r>
        <w:t>41. Final Brand Principle</w:t>
      </w:r>
    </w:p>
    <w:p>
      <w:r>
        <w:rPr>
          <w:b/>
        </w:rPr>
        <w:t>ASOJU should make distance feel smaller.</w:t>
      </w:r>
    </w:p>
    <w:p>
      <w:r>
        <w:rPr>
          <w:b w:val="0"/>
        </w:rPr>
        <w:t>The customer may be thousands of kilometres away, but the brand should make them feel that someone trustworthy is there, accountable and acting on their behalf.</w:t>
      </w:r>
    </w:p>
    <w:p>
      <w:r>
        <w:rPr>
          <w:b w:val="0"/>
        </w:rPr>
        <w:t>That is the emotional territory ASOJU should own.</w:t>
      </w:r>
    </w:p>
    <w:p>
      <w:r>
        <w:rPr>
          <w:b/>
        </w:rPr>
        <w:t>ASOJU — Your Trusted Rep Back Home.</w:t>
      </w:r>
    </w:p>
    <w:p>
      <w:pPr>
        <w:pStyle w:val="Heading1"/>
      </w:pPr>
      <w:r>
        <w:t>42. Governance</w:t>
      </w:r>
    </w:p>
    <w:p>
      <w:r>
        <w:rPr>
          <w:b w:val="0"/>
        </w:rPr>
        <w:t>Document owner: ASOJU Brand / Product / Marketing.</w:t>
      </w:r>
    </w:p>
    <w:p>
      <w:r>
        <w:rPr>
          <w:b w:val="0"/>
        </w:rPr>
        <w:t>Version: 1.0 | Brand Foundation.</w:t>
      </w:r>
    </w:p>
    <w:p>
      <w:r>
        <w:rPr>
          <w:b w:val="0"/>
        </w:rPr>
        <w:t>This document should remain the strategic reference point for future visual identity, messaging, campaigns, partnerships and marketing execution.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