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ASOJU FIELD REPRESENTATIVE</w:t>
        <w:br/>
        <w:t>SOP &amp; TRAINING MANUAL</w:t>
      </w:r>
    </w:p>
    <w:p>
      <w:pPr>
        <w:jc w:val="center"/>
      </w:pPr>
      <w:r>
        <w:rPr>
          <w:b/>
        </w:rPr>
        <w:t>Version 1.0 | P0 Pilot Operations</w:t>
      </w:r>
    </w:p>
    <w:p>
      <w:r>
        <w:rPr>
          <w:b w:val="0"/>
        </w:rPr>
        <w:t>Brand: ASOJU — Your Trusted Rep Back Home.</w:t>
      </w:r>
    </w:p>
    <w:p>
      <w:r>
        <w:rPr>
          <w:b w:val="0"/>
        </w:rPr>
        <w:t>Operating model: Concierge-first, technology-enabled human execution.</w:t>
      </w:r>
    </w:p>
    <w:p>
      <w:r>
        <w:rPr>
          <w:b w:val="0"/>
        </w:rPr>
        <w:t>Purpose: establish a consistent standard for how ASOJU representatives represent customers physically, collect evidence, execute assignments, escalate issues and protect the ASOJU trust standard.</w:t>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Document</w:t>
            </w:r>
          </w:p>
        </w:tc>
        <w:tc>
          <w:tcPr>
            <w:tcW w:type="dxa" w:w="5112"/>
          </w:tcPr>
          <w:p>
            <w:r>
              <w:t>ASOJU Field Representative SOP &amp; Training Manual</w:t>
            </w:r>
          </w:p>
        </w:tc>
      </w:tr>
      <w:tr>
        <w:tc>
          <w:tcPr>
            <w:tcW w:type="dxa" w:w="5112"/>
          </w:tcPr>
          <w:p>
            <w:r>
              <w:t>Version</w:t>
            </w:r>
          </w:p>
        </w:tc>
        <w:tc>
          <w:tcPr>
            <w:tcW w:type="dxa" w:w="5112"/>
          </w:tcPr>
          <w:p>
            <w:r>
              <w:t>1.0</w:t>
            </w:r>
          </w:p>
        </w:tc>
      </w:tr>
      <w:tr>
        <w:tc>
          <w:tcPr>
            <w:tcW w:type="dxa" w:w="5112"/>
          </w:tcPr>
          <w:p>
            <w:r>
              <w:t>Phase</w:t>
            </w:r>
          </w:p>
        </w:tc>
        <w:tc>
          <w:tcPr>
            <w:tcW w:type="dxa" w:w="5112"/>
          </w:tcPr>
          <w:p>
            <w:r>
              <w:t>P0 Pilot</w:t>
            </w:r>
          </w:p>
        </w:tc>
      </w:tr>
      <w:tr>
        <w:tc>
          <w:tcPr>
            <w:tcW w:type="dxa" w:w="5112"/>
          </w:tcPr>
          <w:p>
            <w:r>
              <w:t>Owner</w:t>
            </w:r>
          </w:p>
        </w:tc>
        <w:tc>
          <w:tcPr>
            <w:tcW w:type="dxa" w:w="5112"/>
          </w:tcPr>
          <w:p>
            <w:r>
              <w:t>ASOJU Operations</w:t>
            </w:r>
          </w:p>
        </w:tc>
      </w:tr>
      <w:tr>
        <w:tc>
          <w:tcPr>
            <w:tcW w:type="dxa" w:w="5112"/>
          </w:tcPr>
          <w:p>
            <w:r>
              <w:t>Applies to</w:t>
            </w:r>
          </w:p>
        </w:tc>
        <w:tc>
          <w:tcPr>
            <w:tcW w:type="dxa" w:w="5112"/>
          </w:tcPr>
          <w:p>
            <w:r>
              <w:t>All ASOJU field representatives and contracted field personnel</w:t>
            </w:r>
          </w:p>
        </w:tc>
      </w:tr>
      <w:tr>
        <w:tc>
          <w:tcPr>
            <w:tcW w:type="dxa" w:w="5112"/>
          </w:tcPr>
          <w:p>
            <w:r>
              <w:t>Review cycle</w:t>
            </w:r>
          </w:p>
        </w:tc>
        <w:tc>
          <w:tcPr>
            <w:tcW w:type="dxa" w:w="5112"/>
          </w:tcPr>
          <w:p>
            <w:r>
              <w:t>After initial pilot cohort and whenever a material operating change occurs</w:t>
            </w:r>
          </w:p>
        </w:tc>
      </w:tr>
      <w:tr>
        <w:tc>
          <w:tcPr>
            <w:tcW w:type="dxa" w:w="5112"/>
          </w:tcPr>
          <w:p>
            <w:r>
              <w:t>Status</w:t>
            </w:r>
          </w:p>
        </w:tc>
        <w:tc>
          <w:tcPr>
            <w:tcW w:type="dxa" w:w="5112"/>
          </w:tcPr>
          <w:p>
            <w:r>
              <w:t>Working P0 operating standard</w:t>
            </w:r>
          </w:p>
        </w:tc>
      </w:tr>
    </w:tbl>
    <w:p>
      <w:pPr>
        <w:pStyle w:val="Heading1"/>
      </w:pPr>
      <w:r>
        <w:t>1. Purpose &amp; Operating Philosophy</w:t>
      </w:r>
    </w:p>
    <w:p>
      <w:r>
        <w:rPr>
          <w:b w:val="0"/>
        </w:rPr>
        <w:t>An ASOJU Field Representative is the physical embodiment of ASOJU's promise: Your Trusted Rep Back Home.</w:t>
      </w:r>
    </w:p>
    <w:p>
      <w:r>
        <w:rPr>
          <w:b w:val="0"/>
        </w:rPr>
        <w:t>The customer may be thousands of kilometres away. The representative's work is what allows the customer to trust that ASOJU was actually there.</w:t>
      </w:r>
    </w:p>
    <w:p>
      <w:r>
        <w:rPr>
          <w:b w:val="0"/>
        </w:rPr>
        <w:t>The representative is therefore part of ASOJU's trust infrastructure, not simply an errand runner.</w:t>
      </w:r>
    </w:p>
    <w:p>
      <w:r>
        <w:rPr>
          <w:b w:val="0"/>
        </w:rPr>
        <w:t>Core field principle:</w:t>
      </w:r>
    </w:p>
    <w:p>
      <w:r>
        <w:rPr>
          <w:b/>
        </w:rPr>
        <w:t>OBSERVE → DOCUMENT → VERIFY → REPORT</w:t>
      </w:r>
    </w:p>
    <w:p>
      <w:pPr>
        <w:pStyle w:val="Heading1"/>
      </w:pPr>
      <w:r>
        <w:t>2. Role Definition</w:t>
      </w:r>
    </w:p>
    <w:p>
      <w:r>
        <w:rPr>
          <w:b w:val="0"/>
        </w:rPr>
        <w:t>An ASOJU Field Representative may be asked to:</w:t>
      </w:r>
    </w:p>
    <w:p>
      <w:pPr>
        <w:pStyle w:val="ListBullet"/>
      </w:pPr>
      <w:r>
        <w:t>Inspect properties, projects, assets, sites or agreed business locations.</w:t>
      </w:r>
    </w:p>
    <w:p>
      <w:pPr>
        <w:pStyle w:val="ListBullet"/>
      </w:pPr>
      <w:r>
        <w:t>Verify observable facts and conditions within the approved scope.</w:t>
      </w:r>
    </w:p>
    <w:p>
      <w:pPr>
        <w:pStyle w:val="ListBullet"/>
      </w:pPr>
      <w:r>
        <w:t>Collect information and evidence.</w:t>
      </w:r>
    </w:p>
    <w:p>
      <w:pPr>
        <w:pStyle w:val="ListBullet"/>
      </w:pPr>
      <w:r>
        <w:t>Coordinate agreed field activities.</w:t>
      </w:r>
    </w:p>
    <w:p>
      <w:pPr>
        <w:pStyle w:val="ListBullet"/>
      </w:pPr>
      <w:r>
        <w:t>Monitor projects or assets according to an approved recurring plan.</w:t>
      </w:r>
    </w:p>
    <w:p>
      <w:pPr>
        <w:pStyle w:val="ListBullet"/>
      </w:pPr>
      <w:r>
        <w:t>Report factual findings and exceptions.</w:t>
      </w:r>
    </w:p>
    <w:p>
      <w:r>
        <w:rPr>
          <w:b w:val="0"/>
        </w:rPr>
        <w:t>A representative is not automatically a lawyer, surveyor, engineer, valuer, investigator, security officer, financial adviser or other regulated/specialist professional. Where specialist expertise is required, the matter must be escalated.</w:t>
      </w:r>
    </w:p>
    <w:p>
      <w:pPr>
        <w:pStyle w:val="Heading1"/>
      </w:pPr>
      <w:r>
        <w:t>3. ASOJU Trust Standard</w:t>
      </w:r>
    </w:p>
    <w:tbl>
      <w:tblPr>
        <w:tblStyle w:val="TableGrid"/>
        <w:tblW w:type="auto" w:w="0"/>
        <w:jc w:val="center"/>
        <w:tblLook w:firstColumn="1" w:firstRow="1" w:lastColumn="0" w:lastRow="0" w:noHBand="0" w:noVBand="1" w:val="04A0"/>
      </w:tblPr>
      <w:tblGrid>
        <w:gridCol w:w="5112"/>
        <w:gridCol w:w="5112"/>
      </w:tblGrid>
      <w:tr>
        <w:tc>
          <w:tcPr>
            <w:tcW w:type="dxa" w:w="5112"/>
          </w:tcPr>
          <w:p>
            <w:r>
              <w:t>Principle</w:t>
            </w:r>
          </w:p>
        </w:tc>
        <w:tc>
          <w:tcPr>
            <w:tcW w:type="dxa" w:w="5112"/>
          </w:tcPr>
          <w:p>
            <w:r>
              <w:t>Required Behaviour</w:t>
            </w:r>
          </w:p>
        </w:tc>
      </w:tr>
      <w:tr>
        <w:tc>
          <w:tcPr>
            <w:tcW w:type="dxa" w:w="5112"/>
          </w:tcPr>
          <w:p>
            <w:r>
              <w:t>Facts</w:t>
            </w:r>
          </w:p>
        </w:tc>
        <w:tc>
          <w:tcPr>
            <w:tcW w:type="dxa" w:w="5112"/>
          </w:tcPr>
          <w:p>
            <w:r>
              <w:t>Report what was actually observed; distinguish observation from third-party statements and assumptions.</w:t>
            </w:r>
          </w:p>
        </w:tc>
      </w:tr>
      <w:tr>
        <w:tc>
          <w:tcPr>
            <w:tcW w:type="dxa" w:w="5112"/>
          </w:tcPr>
          <w:p>
            <w:r>
              <w:t>Evidence</w:t>
            </w:r>
          </w:p>
        </w:tc>
        <w:tc>
          <w:tcPr>
            <w:tcW w:type="dxa" w:w="5112"/>
          </w:tcPr>
          <w:p>
            <w:r>
              <w:t>Support material findings with appropriate evidence.</w:t>
            </w:r>
          </w:p>
        </w:tc>
      </w:tr>
      <w:tr>
        <w:tc>
          <w:tcPr>
            <w:tcW w:type="dxa" w:w="5112"/>
          </w:tcPr>
          <w:p>
            <w:r>
              <w:t>Independence</w:t>
            </w:r>
          </w:p>
        </w:tc>
        <w:tc>
          <w:tcPr>
            <w:tcW w:type="dxa" w:w="5112"/>
          </w:tcPr>
          <w:p>
            <w:r>
              <w:t>Do not allow a contractor, seller, supplier or other third party to override the customer's approved assignment.</w:t>
            </w:r>
          </w:p>
        </w:tc>
      </w:tr>
      <w:tr>
        <w:tc>
          <w:tcPr>
            <w:tcW w:type="dxa" w:w="5112"/>
          </w:tcPr>
          <w:p>
            <w:r>
              <w:t>Transparency</w:t>
            </w:r>
          </w:p>
        </w:tc>
        <w:tc>
          <w:tcPr>
            <w:tcW w:type="dxa" w:w="5112"/>
          </w:tcPr>
          <w:p>
            <w:r>
              <w:t>Disclose relevant limitations, conflicts, unexpected costs and problems.</w:t>
            </w:r>
          </w:p>
        </w:tc>
      </w:tr>
      <w:tr>
        <w:tc>
          <w:tcPr>
            <w:tcW w:type="dxa" w:w="5112"/>
          </w:tcPr>
          <w:p>
            <w:r>
              <w:t>Accountability</w:t>
            </w:r>
          </w:p>
        </w:tc>
        <w:tc>
          <w:tcPr>
            <w:tcW w:type="dxa" w:w="5112"/>
          </w:tcPr>
          <w:p>
            <w:r>
              <w:t>Complete the approved scope correctly or escalate when it cannot be completed.</w:t>
            </w:r>
          </w:p>
        </w:tc>
      </w:tr>
    </w:tbl>
    <w:p>
      <w:r>
        <w:rPr>
          <w:b w:val="0"/>
        </w:rPr>
        <w:t>Golden rule: Never tell the customer something is true when ASOJU has not actually verified it.</w:t>
      </w:r>
    </w:p>
    <w:p>
      <w:pPr>
        <w:pStyle w:val="Heading1"/>
      </w:pPr>
      <w:r>
        <w:t>4. Code of Conduct</w:t>
      </w:r>
    </w:p>
    <w:p>
      <w:r>
        <w:rPr>
          <w:b w:val="0"/>
        </w:rPr>
        <w:t>Every representative must:</w:t>
      </w:r>
    </w:p>
    <w:p>
      <w:pPr>
        <w:pStyle w:val="ListBullet"/>
      </w:pPr>
      <w:r>
        <w:t>Act honestly and professionally.</w:t>
      </w:r>
    </w:p>
    <w:p>
      <w:pPr>
        <w:pStyle w:val="ListBullet"/>
      </w:pPr>
      <w:r>
        <w:t>Treat customers and third parties respectfully.</w:t>
      </w:r>
    </w:p>
    <w:p>
      <w:pPr>
        <w:pStyle w:val="ListBullet"/>
      </w:pPr>
      <w:r>
        <w:t>Protect customer information and case information.</w:t>
      </w:r>
    </w:p>
    <w:p>
      <w:pPr>
        <w:pStyle w:val="ListBullet"/>
      </w:pPr>
      <w:r>
        <w:t>Follow the approved assignment and field brief.</w:t>
      </w:r>
    </w:p>
    <w:p>
      <w:pPr>
        <w:pStyle w:val="ListBullet"/>
      </w:pPr>
      <w:r>
        <w:t>Accurately record observations.</w:t>
      </w:r>
    </w:p>
    <w:p>
      <w:pPr>
        <w:pStyle w:val="ListBullet"/>
      </w:pPr>
      <w:r>
        <w:t>Preserve evidence.</w:t>
      </w:r>
    </w:p>
    <w:p>
      <w:pPr>
        <w:pStyle w:val="ListBullet"/>
      </w:pPr>
      <w:r>
        <w:t>Disclose conflicts of interest.</w:t>
      </w:r>
    </w:p>
    <w:p>
      <w:pPr>
        <w:pStyle w:val="ListBullet"/>
      </w:pPr>
      <w:r>
        <w:t>Avoid unauthorized commitments.</w:t>
      </w:r>
    </w:p>
    <w:p>
      <w:pPr>
        <w:pStyle w:val="ListBullet"/>
      </w:pPr>
      <w:r>
        <w:t>Escalate material problems.</w:t>
      </w:r>
    </w:p>
    <w:p>
      <w:pPr>
        <w:pStyle w:val="ListBullet"/>
      </w:pPr>
      <w:r>
        <w:t>Protect ASOJU's reputation.</w:t>
      </w:r>
    </w:p>
    <w:p>
      <w:pPr>
        <w:pStyle w:val="Heading1"/>
      </w:pPr>
      <w:r>
        <w:t>5. Zero-Tolerance Conduct</w:t>
      </w:r>
    </w:p>
    <w:p>
      <w:r>
        <w:rPr>
          <w:b w:val="0"/>
        </w:rPr>
        <w:t>The following conduct may trigger immediate investigation, suspension or removal:</w:t>
      </w:r>
    </w:p>
    <w:p>
      <w:pPr>
        <w:pStyle w:val="ListBullet"/>
      </w:pPr>
      <w:r>
        <w:t>Fabricating photographs, documents or findings.</w:t>
      </w:r>
    </w:p>
    <w:p>
      <w:pPr>
        <w:pStyle w:val="ListBullet"/>
      </w:pPr>
      <w:r>
        <w:t>Manipulating or deleting evidence to change its meaning.</w:t>
      </w:r>
    </w:p>
    <w:p>
      <w:pPr>
        <w:pStyle w:val="ListBullet"/>
      </w:pPr>
      <w:r>
        <w:t>Falsely claiming to have visited a location.</w:t>
      </w:r>
    </w:p>
    <w:p>
      <w:pPr>
        <w:pStyle w:val="ListBullet"/>
      </w:pPr>
      <w:r>
        <w:t>Accepting undisclosed payments, kickbacks or benefits.</w:t>
      </w:r>
    </w:p>
    <w:p>
      <w:pPr>
        <w:pStyle w:val="ListBullet"/>
      </w:pPr>
      <w:r>
        <w:t>Stealing or misusing customer property.</w:t>
      </w:r>
    </w:p>
    <w:p>
      <w:pPr>
        <w:pStyle w:val="ListBullet"/>
      </w:pPr>
      <w:r>
        <w:t>Deliberately concealing a material problem.</w:t>
      </w:r>
    </w:p>
    <w:p>
      <w:pPr>
        <w:pStyle w:val="ListBullet"/>
      </w:pPr>
      <w:r>
        <w:t>Impersonating a qualified professional.</w:t>
      </w:r>
    </w:p>
    <w:p>
      <w:pPr>
        <w:pStyle w:val="ListBullet"/>
      </w:pPr>
      <w:r>
        <w:t>Disclosing confidential customer information without authorization.</w:t>
      </w:r>
    </w:p>
    <w:p>
      <w:pPr>
        <w:pStyle w:val="ListBullet"/>
      </w:pPr>
      <w:r>
        <w:t>Changing an assignment materially without authorization.</w:t>
      </w:r>
    </w:p>
    <w:p>
      <w:pPr>
        <w:pStyle w:val="ListBullet"/>
      </w:pPr>
      <w:r>
        <w:t>Pressuring a customer into an unrelated purchase.</w:t>
      </w:r>
    </w:p>
    <w:p>
      <w:pPr>
        <w:pStyle w:val="ListBullet"/>
      </w:pPr>
      <w:r>
        <w:t>Knowingly providing false information.</w:t>
      </w:r>
    </w:p>
    <w:p>
      <w:pPr>
        <w:pStyle w:val="Heading1"/>
      </w:pPr>
      <w:r>
        <w:t>6. Conflict of Interest</w:t>
      </w:r>
    </w:p>
    <w:p>
      <w:r>
        <w:rPr>
          <w:b w:val="0"/>
        </w:rPr>
        <w:t>Before accepting an assignment, the representative must disclose any relevant relationship with a property owner, contractor, supplier, agent, tenant, seller, buyer, employee, family member or other involved party.</w:t>
      </w:r>
    </w:p>
    <w:p>
      <w:r>
        <w:rPr>
          <w:b w:val="0"/>
        </w:rPr>
        <w:t>If the relationship could reasonably affect—or appear to affect—the representative's independence, disclose it. Operations decides whether reassignment is required.</w:t>
      </w:r>
    </w:p>
    <w:p>
      <w:pPr>
        <w:pStyle w:val="Heading1"/>
      </w:pPr>
      <w:r>
        <w:t>7. Money Handling</w:t>
      </w:r>
    </w:p>
    <w:p>
      <w:r>
        <w:rPr>
          <w:b w:val="0"/>
        </w:rPr>
        <w:t>Representatives should not routinely handle customer money.</w:t>
      </w:r>
    </w:p>
    <w:p>
      <w:r>
        <w:rPr>
          <w:b w:val="0"/>
        </w:rPr>
        <w:t>Where money handling is specifically authorized:</w:t>
      </w:r>
    </w:p>
    <w:p>
      <w:pPr>
        <w:pStyle w:val="ListBullet"/>
      </w:pPr>
      <w:r>
        <w:t>The amount and purpose must be documented.</w:t>
      </w:r>
    </w:p>
    <w:p>
      <w:pPr>
        <w:pStyle w:val="ListBullet"/>
      </w:pPr>
      <w:r>
        <w:t>The representative must follow the approved payment route.</w:t>
      </w:r>
    </w:p>
    <w:p>
      <w:pPr>
        <w:pStyle w:val="ListBullet"/>
      </w:pPr>
      <w:r>
        <w:t>Receipts/evidence must be obtained.</w:t>
      </w:r>
    </w:p>
    <w:p>
      <w:pPr>
        <w:pStyle w:val="ListBullet"/>
      </w:pPr>
      <w:r>
        <w:t>Unused funds must be reconciled.</w:t>
      </w:r>
    </w:p>
    <w:p>
      <w:pPr>
        <w:pStyle w:val="ListBullet"/>
      </w:pPr>
      <w:r>
        <w:t>No personal borrowing, substitution or unauthorized use is permitted.</w:t>
      </w:r>
    </w:p>
    <w:p>
      <w:pPr>
        <w:pStyle w:val="ListBullet"/>
      </w:pPr>
      <w:r>
        <w:t>No representative should direct a customer to a personal account unless ASOJU has expressly established and authorized that payment process.</w:t>
      </w:r>
    </w:p>
    <w:p>
      <w:pPr>
        <w:pStyle w:val="Heading1"/>
      </w:pPr>
      <w:r>
        <w:t>8. Scope Discipline</w:t>
      </w:r>
    </w:p>
    <w:p>
      <w:r>
        <w:rPr>
          <w:b w:val="0"/>
        </w:rPr>
        <w:t>Every assignment has a defined scope. A representative must not treat an inspection request as blanket authority to negotiate, approve payments, change specifications, provide professional certification or make commitments on the customer's behalf.</w:t>
      </w:r>
    </w:p>
    <w:p>
      <w:r>
        <w:rPr>
          <w:b w:val="0"/>
        </w:rPr>
        <w:t>If a customer or third party requests work outside the approved scope:</w:t>
      </w:r>
    </w:p>
    <w:p>
      <w:r>
        <w:rPr>
          <w:b/>
        </w:rPr>
        <w:t>STOP → RECORD → ESCALATE</w:t>
      </w:r>
    </w:p>
    <w:p>
      <w:pPr>
        <w:pStyle w:val="Heading1"/>
      </w:pPr>
      <w:r>
        <w:t>9. Field Safety</w:t>
      </w:r>
    </w:p>
    <w:p>
      <w:r>
        <w:rPr>
          <w:b w:val="0"/>
        </w:rPr>
        <w:t>No assignment is worth serious injury.</w:t>
      </w:r>
    </w:p>
    <w:p>
      <w:r>
        <w:rPr>
          <w:b w:val="0"/>
        </w:rPr>
        <w:t>Representatives must withdraw from unsafe conditions and contact Operations where there is significant danger, including active violence, fire, serious structural danger, exposed electrical hazards, threatening behaviour or other material safety risks.</w:t>
      </w:r>
    </w:p>
    <w:p>
      <w:r>
        <w:rPr>
          <w:b w:val="0"/>
        </w:rPr>
        <w:t>Representatives must not knowingly enter or remain in unsafe situations simply to complete a case.</w:t>
      </w:r>
    </w:p>
    <w:p>
      <w:pPr>
        <w:pStyle w:val="Heading1"/>
      </w:pPr>
      <w:r>
        <w:t>10. Assignment Lifecycle</w:t>
      </w:r>
    </w:p>
    <w:tbl>
      <w:tblPr>
        <w:tblStyle w:val="TableGrid"/>
        <w:tblW w:type="auto" w:w="0"/>
        <w:jc w:val="center"/>
        <w:tblLook w:firstColumn="1" w:firstRow="1" w:lastColumn="0" w:lastRow="0" w:noHBand="0" w:noVBand="1" w:val="04A0"/>
      </w:tblPr>
      <w:tblGrid>
        <w:gridCol w:w="5112"/>
        <w:gridCol w:w="5112"/>
      </w:tblGrid>
      <w:tr>
        <w:tc>
          <w:tcPr>
            <w:tcW w:type="dxa" w:w="5112"/>
          </w:tcPr>
          <w:p>
            <w:r>
              <w:t>Stage</w:t>
            </w:r>
          </w:p>
        </w:tc>
        <w:tc>
          <w:tcPr>
            <w:tcW w:type="dxa" w:w="5112"/>
          </w:tcPr>
          <w:p>
            <w:r>
              <w:t>Representative Standard</w:t>
            </w:r>
          </w:p>
        </w:tc>
      </w:tr>
      <w:tr>
        <w:tc>
          <w:tcPr>
            <w:tcW w:type="dxa" w:w="5112"/>
          </w:tcPr>
          <w:p>
            <w:r>
              <w:t>1. Receive</w:t>
            </w:r>
          </w:p>
        </w:tc>
        <w:tc>
          <w:tcPr>
            <w:tcW w:type="dxa" w:w="5112"/>
          </w:tcPr>
          <w:p>
            <w:r>
              <w:t>Review case brief, scope, SLA, location and evidence requirements.</w:t>
            </w:r>
          </w:p>
        </w:tc>
      </w:tr>
      <w:tr>
        <w:tc>
          <w:tcPr>
            <w:tcW w:type="dxa" w:w="5112"/>
          </w:tcPr>
          <w:p>
            <w:r>
              <w:t>2. Accept</w:t>
            </w:r>
          </w:p>
        </w:tc>
        <w:tc>
          <w:tcPr>
            <w:tcW w:type="dxa" w:w="5112"/>
          </w:tcPr>
          <w:p>
            <w:r>
              <w:t>Confirm availability, capability, conflict status and ability to meet the assignment.</w:t>
            </w:r>
          </w:p>
        </w:tc>
      </w:tr>
      <w:tr>
        <w:tc>
          <w:tcPr>
            <w:tcW w:type="dxa" w:w="5112"/>
          </w:tcPr>
          <w:p>
            <w:r>
              <w:t>3. Prepare</w:t>
            </w:r>
          </w:p>
        </w:tc>
        <w:tc>
          <w:tcPr>
            <w:tcW w:type="dxa" w:w="5112"/>
          </w:tcPr>
          <w:p>
            <w:r>
              <w:t>Review checklist, questions, tools, contact details and safety considerations.</w:t>
            </w:r>
          </w:p>
        </w:tc>
      </w:tr>
      <w:tr>
        <w:tc>
          <w:tcPr>
            <w:tcW w:type="dxa" w:w="5112"/>
          </w:tcPr>
          <w:p>
            <w:r>
              <w:t>4. Travel</w:t>
            </w:r>
          </w:p>
        </w:tc>
        <w:tc>
          <w:tcPr>
            <w:tcW w:type="dxa" w:w="5112"/>
          </w:tcPr>
          <w:p>
            <w:r>
              <w:t>Use approved travel/expense process and communicate material delays.</w:t>
            </w:r>
          </w:p>
        </w:tc>
      </w:tr>
      <w:tr>
        <w:tc>
          <w:tcPr>
            <w:tcW w:type="dxa" w:w="5112"/>
          </w:tcPr>
          <w:p>
            <w:r>
              <w:t>5. Arrive</w:t>
            </w:r>
          </w:p>
        </w:tc>
        <w:tc>
          <w:tcPr>
            <w:tcW w:type="dxa" w:w="5112"/>
          </w:tcPr>
          <w:p>
            <w:r>
              <w:t>Confirm location and relevant person/site where appropriate.</w:t>
            </w:r>
          </w:p>
        </w:tc>
      </w:tr>
      <w:tr>
        <w:tc>
          <w:tcPr>
            <w:tcW w:type="dxa" w:w="5112"/>
          </w:tcPr>
          <w:p>
            <w:r>
              <w:t>6. Execute</w:t>
            </w:r>
          </w:p>
        </w:tc>
        <w:tc>
          <w:tcPr>
            <w:tcW w:type="dxa" w:w="5112"/>
          </w:tcPr>
          <w:p>
            <w:r>
              <w:t>Follow the approved checklist and stay within scope.</w:t>
            </w:r>
          </w:p>
        </w:tc>
      </w:tr>
      <w:tr>
        <w:tc>
          <w:tcPr>
            <w:tcW w:type="dxa" w:w="5112"/>
          </w:tcPr>
          <w:p>
            <w:r>
              <w:t>7. Document</w:t>
            </w:r>
          </w:p>
        </w:tc>
        <w:tc>
          <w:tcPr>
            <w:tcW w:type="dxa" w:w="5112"/>
          </w:tcPr>
          <w:p>
            <w:r>
              <w:t>Capture clear, relevant evidence and factual observations.</w:t>
            </w:r>
          </w:p>
        </w:tc>
      </w:tr>
      <w:tr>
        <w:tc>
          <w:tcPr>
            <w:tcW w:type="dxa" w:w="5112"/>
          </w:tcPr>
          <w:p>
            <w:r>
              <w:t>8. Flag</w:t>
            </w:r>
          </w:p>
        </w:tc>
        <w:tc>
          <w:tcPr>
            <w:tcW w:type="dxa" w:w="5112"/>
          </w:tcPr>
          <w:p>
            <w:r>
              <w:t>Identify exceptions, limitations, risks or scope changes.</w:t>
            </w:r>
          </w:p>
        </w:tc>
      </w:tr>
      <w:tr>
        <w:tc>
          <w:tcPr>
            <w:tcW w:type="dxa" w:w="5112"/>
          </w:tcPr>
          <w:p>
            <w:r>
              <w:t>9. Submit</w:t>
            </w:r>
          </w:p>
        </w:tc>
        <w:tc>
          <w:tcPr>
            <w:tcW w:type="dxa" w:w="5112"/>
          </w:tcPr>
          <w:p>
            <w:r>
              <w:t>Send evidence and field report through the approved channel.</w:t>
            </w:r>
          </w:p>
        </w:tc>
      </w:tr>
      <w:tr>
        <w:tc>
          <w:tcPr>
            <w:tcW w:type="dxa" w:w="5112"/>
          </w:tcPr>
          <w:p>
            <w:r>
              <w:t>10. Handoff</w:t>
            </w:r>
          </w:p>
        </w:tc>
        <w:tc>
          <w:tcPr>
            <w:tcW w:type="dxa" w:w="5112"/>
          </w:tcPr>
          <w:p>
            <w:r>
              <w:t>Provide a complete package for Operations/QC review.</w:t>
            </w:r>
          </w:p>
        </w:tc>
      </w:tr>
    </w:tbl>
    <w:p>
      <w:pPr>
        <w:pStyle w:val="Heading1"/>
      </w:pPr>
      <w:r>
        <w:t>11. Assignment Acceptance SOP</w:t>
      </w:r>
    </w:p>
    <w:p>
      <w:pPr>
        <w:pStyle w:val="ListNumber"/>
      </w:pPr>
      <w:r>
        <w:t>Open the case and confirm the Case ID.</w:t>
      </w:r>
    </w:p>
    <w:p>
      <w:pPr>
        <w:pStyle w:val="ListNumber"/>
      </w:pPr>
      <w:r>
        <w:t>Read the customer objective and exact scope.</w:t>
      </w:r>
    </w:p>
    <w:p>
      <w:pPr>
        <w:pStyle w:val="ListNumber"/>
      </w:pPr>
      <w:r>
        <w:t>Confirm the location and expected travel requirement.</w:t>
      </w:r>
    </w:p>
    <w:p>
      <w:pPr>
        <w:pStyle w:val="ListNumber"/>
      </w:pPr>
      <w:r>
        <w:t>Check the required completion window.</w:t>
      </w:r>
    </w:p>
    <w:p>
      <w:pPr>
        <w:pStyle w:val="ListNumber"/>
      </w:pPr>
      <w:r>
        <w:t>Confirm that you have the capability and tools required.</w:t>
      </w:r>
    </w:p>
    <w:p>
      <w:pPr>
        <w:pStyle w:val="ListNumber"/>
      </w:pPr>
      <w:r>
        <w:t>Disclose any conflict of interest.</w:t>
      </w:r>
    </w:p>
    <w:p>
      <w:pPr>
        <w:pStyle w:val="ListNumber"/>
      </w:pPr>
      <w:r>
        <w:t>Accept the assignment only if you can meet the requirements.</w:t>
      </w:r>
    </w:p>
    <w:p>
      <w:pPr>
        <w:pStyle w:val="ListNumber"/>
      </w:pPr>
      <w:r>
        <w:t>Escalate any ambiguity before travel.</w:t>
      </w:r>
    </w:p>
    <w:p>
      <w:pPr>
        <w:pStyle w:val="Heading1"/>
      </w:pPr>
      <w:r>
        <w:t>12. Pre-Visit Checklist</w:t>
      </w:r>
    </w:p>
    <w:p>
      <w:pPr>
        <w:pStyle w:val="ListBullet"/>
      </w:pPr>
      <w:r>
        <w:t>Case ID confirmed.</w:t>
      </w:r>
    </w:p>
    <w:p>
      <w:pPr>
        <w:pStyle w:val="ListBullet"/>
      </w:pPr>
      <w:r>
        <w:t>Customer objective understood.</w:t>
      </w:r>
    </w:p>
    <w:p>
      <w:pPr>
        <w:pStyle w:val="ListBullet"/>
      </w:pPr>
      <w:r>
        <w:t>Scope and exclusions understood.</w:t>
      </w:r>
    </w:p>
    <w:p>
      <w:pPr>
        <w:pStyle w:val="ListBullet"/>
      </w:pPr>
      <w:r>
        <w:t>Location confirmed.</w:t>
      </w:r>
    </w:p>
    <w:p>
      <w:pPr>
        <w:pStyle w:val="ListBullet"/>
      </w:pPr>
      <w:r>
        <w:t>Contact person confirmed where applicable.</w:t>
      </w:r>
    </w:p>
    <w:p>
      <w:pPr>
        <w:pStyle w:val="ListBullet"/>
      </w:pPr>
      <w:r>
        <w:t>Date/time confirmed.</w:t>
      </w:r>
    </w:p>
    <w:p>
      <w:pPr>
        <w:pStyle w:val="ListBullet"/>
      </w:pPr>
      <w:r>
        <w:t>Checklist reviewed.</w:t>
      </w:r>
    </w:p>
    <w:p>
      <w:pPr>
        <w:pStyle w:val="ListBullet"/>
      </w:pPr>
      <w:r>
        <w:t>Required evidence identified.</w:t>
      </w:r>
    </w:p>
    <w:p>
      <w:pPr>
        <w:pStyle w:val="ListBullet"/>
      </w:pPr>
      <w:r>
        <w:t>Phone/camera and required tools ready.</w:t>
      </w:r>
    </w:p>
    <w:p>
      <w:pPr>
        <w:pStyle w:val="ListBullet"/>
      </w:pPr>
      <w:r>
        <w:t>Safety risks considered.</w:t>
      </w:r>
    </w:p>
    <w:p>
      <w:pPr>
        <w:pStyle w:val="ListBullet"/>
      </w:pPr>
      <w:r>
        <w:t>Escalation contact known.</w:t>
      </w:r>
    </w:p>
    <w:p>
      <w:pPr>
        <w:pStyle w:val="ListBullet"/>
      </w:pPr>
      <w:r>
        <w:t>No unresolved conflict of interest.</w:t>
      </w:r>
    </w:p>
    <w:p>
      <w:pPr>
        <w:pStyle w:val="Heading1"/>
      </w:pPr>
      <w:r>
        <w:t>13. Arrival Procedure</w:t>
      </w:r>
    </w:p>
    <w:p>
      <w:pPr>
        <w:pStyle w:val="ListNumber"/>
      </w:pPr>
      <w:r>
        <w:t>Arrive at the correct location.</w:t>
      </w:r>
    </w:p>
    <w:p>
      <w:pPr>
        <w:pStyle w:val="ListNumber"/>
      </w:pPr>
      <w:r>
        <w:t>Confirm arrival through the approved case channel.</w:t>
      </w:r>
    </w:p>
    <w:p>
      <w:pPr>
        <w:pStyle w:val="ListNumber"/>
      </w:pPr>
      <w:r>
        <w:t>Confirm the correct property/site/person where appropriate.</w:t>
      </w:r>
    </w:p>
    <w:p>
      <w:pPr>
        <w:pStyle w:val="ListNumber"/>
      </w:pPr>
      <w:r>
        <w:t>Introduce yourself accurately as an ASOJU representative.</w:t>
      </w:r>
    </w:p>
    <w:p>
      <w:pPr>
        <w:pStyle w:val="ListNumber"/>
      </w:pPr>
      <w:r>
        <w:t>Do not misrepresent your authority or professional qualifications.</w:t>
      </w:r>
    </w:p>
    <w:p>
      <w:pPr>
        <w:pStyle w:val="ListNumber"/>
      </w:pPr>
      <w:r>
        <w:t>If access is denied or the site is materially different from the brief, document the issue and contact Operations.</w:t>
      </w:r>
    </w:p>
    <w:p>
      <w:pPr>
        <w:pStyle w:val="Heading1"/>
      </w:pPr>
      <w:r>
        <w:t>14. Field Execution Procedure</w:t>
      </w:r>
    </w:p>
    <w:p>
      <w:r>
        <w:rPr>
          <w:b w:val="0"/>
        </w:rPr>
        <w:t>Follow the assignment checklist in order. Do not substitute memory for the approved case scope.</w:t>
      </w:r>
    </w:p>
    <w:p>
      <w:pPr>
        <w:pStyle w:val="ListBullet"/>
      </w:pPr>
      <w:r>
        <w:t>Observe the condition or activity relevant to the assignment.</w:t>
      </w:r>
    </w:p>
    <w:p>
      <w:pPr>
        <w:pStyle w:val="ListBullet"/>
      </w:pPr>
      <w:r>
        <w:t>Ask only questions relevant to the approved scope.</w:t>
      </w:r>
    </w:p>
    <w:p>
      <w:pPr>
        <w:pStyle w:val="ListBullet"/>
      </w:pPr>
      <w:r>
        <w:t>Capture evidence while the relevant condition is observable.</w:t>
      </w:r>
    </w:p>
    <w:p>
      <w:pPr>
        <w:pStyle w:val="ListBullet"/>
      </w:pPr>
      <w:r>
        <w:t>Record factual observations contemporaneously where practical.</w:t>
      </w:r>
    </w:p>
    <w:p>
      <w:pPr>
        <w:pStyle w:val="ListBullet"/>
      </w:pPr>
      <w:r>
        <w:t>Separate what you observed from what someone told you.</w:t>
      </w:r>
    </w:p>
    <w:p>
      <w:pPr>
        <w:pStyle w:val="ListBullet"/>
      </w:pPr>
      <w:r>
        <w:t>Identify anything that could not be verified.</w:t>
      </w:r>
    </w:p>
    <w:p>
      <w:pPr>
        <w:pStyle w:val="ListBullet"/>
      </w:pPr>
      <w:r>
        <w:t>Flag material exceptions before leaving where possible.</w:t>
      </w:r>
    </w:p>
    <w:p>
      <w:pPr>
        <w:pStyle w:val="ListBullet"/>
      </w:pPr>
      <w:r>
        <w:t>Confirm that all required checklist items are addressed.</w:t>
      </w:r>
    </w:p>
    <w:p>
      <w:pPr>
        <w:pStyle w:val="Heading1"/>
      </w:pPr>
      <w:r>
        <w:t>15. Evidence &amp; Photography Standard</w:t>
      </w:r>
    </w:p>
    <w:p>
      <w:r>
        <w:rPr>
          <w:b w:val="0"/>
        </w:rPr>
        <w:t>Evidence should be relevant, clear, accurate, attributable, untampered and connected to the assignment.</w:t>
      </w:r>
    </w:p>
    <w:p>
      <w:r>
        <w:rPr>
          <w:b w:val="0"/>
        </w:rPr>
        <w:t>Capture enough evidence for an independent reviewer to understand what was observed.</w:t>
      </w:r>
    </w:p>
    <w:p>
      <w:pPr>
        <w:pStyle w:val="ListBullet"/>
      </w:pPr>
      <w:r>
        <w:t>Use wide/context images where location matters.</w:t>
      </w:r>
    </w:p>
    <w:p>
      <w:pPr>
        <w:pStyle w:val="ListBullet"/>
      </w:pPr>
      <w:r>
        <w:t>Use closer images where a specific condition matters.</w:t>
      </w:r>
    </w:p>
    <w:p>
      <w:pPr>
        <w:pStyle w:val="ListBullet"/>
      </w:pPr>
      <w:r>
        <w:t>Avoid obstructed or unnecessarily ambiguous images.</w:t>
      </w:r>
    </w:p>
    <w:p>
      <w:pPr>
        <w:pStyle w:val="ListBullet"/>
      </w:pPr>
      <w:r>
        <w:t>Do not edit evidence in a way that changes its meaning.</w:t>
      </w:r>
    </w:p>
    <w:p>
      <w:pPr>
        <w:pStyle w:val="ListBullet"/>
      </w:pPr>
      <w:r>
        <w:t>Preserve original files where the workflow supports this.</w:t>
      </w:r>
    </w:p>
    <w:p>
      <w:pPr>
        <w:pStyle w:val="ListBullet"/>
      </w:pPr>
      <w:r>
        <w:t>Follow any case-specific evidence checklist.</w:t>
      </w:r>
    </w:p>
    <w:p>
      <w:r>
        <w:rPr>
          <w:b w:val="0"/>
        </w:rPr>
        <w:t>Example naming convention:</w:t>
      </w:r>
    </w:p>
    <w:p>
      <w:r>
        <w:rPr>
          <w:b w:val="0"/>
        </w:rPr>
        <w:t>ASJ-2026-000127_01_front-exterior.jpg</w:t>
      </w:r>
    </w:p>
    <w:p>
      <w:r>
        <w:rPr>
          <w:b w:val="0"/>
        </w:rPr>
        <w:t>ASJ-2026-000127_02_roofing.jpg</w:t>
      </w:r>
    </w:p>
    <w:p>
      <w:r>
        <w:rPr>
          <w:b w:val="0"/>
        </w:rPr>
        <w:t>ASJ-2026-000127_03_materials.jpg</w:t>
      </w:r>
    </w:p>
    <w:p>
      <w:pPr>
        <w:pStyle w:val="Heading1"/>
      </w:pPr>
      <w:r>
        <w:t>16. Reporting Language</w:t>
      </w:r>
    </w:p>
    <w:p>
      <w:r>
        <w:rPr>
          <w:b w:val="0"/>
        </w:rPr>
        <w:t>Use factual language such as:</w:t>
      </w:r>
    </w:p>
    <w:p>
      <w:pPr>
        <w:pStyle w:val="ListBullet"/>
      </w:pPr>
      <w:r>
        <w:t>Observed.</w:t>
      </w:r>
    </w:p>
    <w:p>
      <w:pPr>
        <w:pStyle w:val="ListBullet"/>
      </w:pPr>
      <w:r>
        <w:t>Photographed.</w:t>
      </w:r>
    </w:p>
    <w:p>
      <w:pPr>
        <w:pStyle w:val="ListBullet"/>
      </w:pPr>
      <w:r>
        <w:t>Document provided by…</w:t>
      </w:r>
    </w:p>
    <w:p>
      <w:pPr>
        <w:pStyle w:val="ListBullet"/>
      </w:pPr>
      <w:r>
        <w:t>Could not verify.</w:t>
      </w:r>
    </w:p>
    <w:p>
      <w:pPr>
        <w:pStyle w:val="ListBullet"/>
      </w:pPr>
      <w:r>
        <w:t>Not accessible at time of visit.</w:t>
      </w:r>
    </w:p>
    <w:p>
      <w:pPr>
        <w:pStyle w:val="ListBullet"/>
      </w:pPr>
      <w:r>
        <w:t>Representative was informed that…</w:t>
      </w:r>
    </w:p>
    <w:p>
      <w:r>
        <w:rPr>
          <w:b w:val="0"/>
        </w:rPr>
        <w:t>Avoid unsupported conclusions such as “definitely fraudulent,” “structurally unsafe” or “the seller owns the property” unless that conclusion has actually been established by an appropriately qualified or authorized process.</w:t>
      </w:r>
    </w:p>
    <w:p>
      <w:pPr>
        <w:pStyle w:val="Heading1"/>
      </w:pPr>
      <w:r>
        <w:t>17. Exceptions &amp; Escalation</w:t>
      </w:r>
    </w:p>
    <w:p>
      <w:r>
        <w:rPr>
          <w:b w:val="0"/>
        </w:rPr>
        <w:t>When uncertain: do not guess.</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Action</w:t>
            </w:r>
          </w:p>
        </w:tc>
      </w:tr>
      <w:tr>
        <w:tc>
          <w:tcPr>
            <w:tcW w:type="dxa" w:w="5112"/>
          </w:tcPr>
          <w:p>
            <w:r>
              <w:t>Is it within my scope?</w:t>
            </w:r>
          </w:p>
        </w:tc>
        <w:tc>
          <w:tcPr>
            <w:tcW w:type="dxa" w:w="5112"/>
          </w:tcPr>
          <w:p>
            <w:r>
              <w:t>If yes, proceed. If no, escalate.</w:t>
            </w:r>
          </w:p>
        </w:tc>
      </w:tr>
      <w:tr>
        <w:tc>
          <w:tcPr>
            <w:tcW w:type="dxa" w:w="5112"/>
          </w:tcPr>
          <w:p>
            <w:r>
              <w:t>Can I verify it?</w:t>
            </w:r>
          </w:p>
        </w:tc>
        <w:tc>
          <w:tcPr>
            <w:tcW w:type="dxa" w:w="5112"/>
          </w:tcPr>
          <w:p>
            <w:r>
              <w:t>If yes, document. If no, state that it could not be verified.</w:t>
            </w:r>
          </w:p>
        </w:tc>
      </w:tr>
      <w:tr>
        <w:tc>
          <w:tcPr>
            <w:tcW w:type="dxa" w:w="5112"/>
          </w:tcPr>
          <w:p>
            <w:r>
              <w:t>Is there material risk?</w:t>
            </w:r>
          </w:p>
        </w:tc>
        <w:tc>
          <w:tcPr>
            <w:tcW w:type="dxa" w:w="5112"/>
          </w:tcPr>
          <w:p>
            <w:r>
              <w:t>Stop where necessary, protect safety and escalate.</w:t>
            </w:r>
          </w:p>
        </w:tc>
      </w:tr>
      <w:tr>
        <w:tc>
          <w:tcPr>
            <w:tcW w:type="dxa" w:w="5112"/>
          </w:tcPr>
          <w:p>
            <w:r>
              <w:t>Has the customer requested additional work?</w:t>
            </w:r>
          </w:p>
        </w:tc>
        <w:tc>
          <w:tcPr>
            <w:tcW w:type="dxa" w:w="5112"/>
          </w:tcPr>
          <w:p>
            <w:r>
              <w:t>Do not commit; escalate for scope/quote approval.</w:t>
            </w:r>
          </w:p>
        </w:tc>
      </w:tr>
      <w:tr>
        <w:tc>
          <w:tcPr>
            <w:tcW w:type="dxa" w:w="5112"/>
          </w:tcPr>
          <w:p>
            <w:r>
              <w:t>Is evidence contradictory?</w:t>
            </w:r>
          </w:p>
        </w:tc>
        <w:tc>
          <w:tcPr>
            <w:tcW w:type="dxa" w:w="5112"/>
          </w:tcPr>
          <w:p>
            <w:r>
              <w:t>Preserve the evidence and escalate rather than choosing a convenient conclusion.</w:t>
            </w:r>
          </w:p>
        </w:tc>
      </w:tr>
    </w:tbl>
    <w:p>
      <w:pPr>
        <w:pStyle w:val="Heading1"/>
      </w:pPr>
      <w:r>
        <w:t>18. Field Exception 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Representative Action</w:t>
            </w:r>
          </w:p>
        </w:tc>
      </w:tr>
      <w:tr>
        <w:tc>
          <w:tcPr>
            <w:tcW w:type="dxa" w:w="5112"/>
          </w:tcPr>
          <w:p>
            <w:r>
              <w:t>Contractor says work is complete but inspection suggests otherwise</w:t>
            </w:r>
          </w:p>
        </w:tc>
        <w:tc>
          <w:tcPr>
            <w:tcW w:type="dxa" w:w="5112"/>
          </w:tcPr>
          <w:p>
            <w:r>
              <w:t>Document observable condition, capture evidence and escalate the discrepancy.</w:t>
            </w:r>
          </w:p>
        </w:tc>
      </w:tr>
      <w:tr>
        <w:tc>
          <w:tcPr>
            <w:tcW w:type="dxa" w:w="5112"/>
          </w:tcPr>
          <w:p>
            <w:r>
              <w:t>Customer asks representative to approve extra payment</w:t>
            </w:r>
          </w:p>
        </w:tc>
        <w:tc>
          <w:tcPr>
            <w:tcW w:type="dxa" w:w="5112"/>
          </w:tcPr>
          <w:p>
            <w:r>
              <w:t>Do not approve unless expressly authorized; escalate to Operations.</w:t>
            </w:r>
          </w:p>
        </w:tc>
      </w:tr>
      <w:tr>
        <w:tc>
          <w:tcPr>
            <w:tcW w:type="dxa" w:w="5112"/>
          </w:tcPr>
          <w:p>
            <w:r>
              <w:t>Site is unsafe</w:t>
            </w:r>
          </w:p>
        </w:tc>
        <w:tc>
          <w:tcPr>
            <w:tcW w:type="dxa" w:w="5112"/>
          </w:tcPr>
          <w:p>
            <w:r>
              <w:t>Withdraw to safety and escalate.</w:t>
            </w:r>
          </w:p>
        </w:tc>
      </w:tr>
      <w:tr>
        <w:tc>
          <w:tcPr>
            <w:tcW w:type="dxa" w:w="5112"/>
          </w:tcPr>
          <w:p>
            <w:r>
              <w:t>Access is denied</w:t>
            </w:r>
          </w:p>
        </w:tc>
        <w:tc>
          <w:tcPr>
            <w:tcW w:type="dxa" w:w="5112"/>
          </w:tcPr>
          <w:p>
            <w:r>
              <w:t>Record the attempt, identify reason if available and escalate.</w:t>
            </w:r>
          </w:p>
        </w:tc>
      </w:tr>
      <w:tr>
        <w:tc>
          <w:tcPr>
            <w:tcW w:type="dxa" w:w="5112"/>
          </w:tcPr>
          <w:p>
            <w:r>
              <w:t>Required person is absent</w:t>
            </w:r>
          </w:p>
        </w:tc>
        <w:tc>
          <w:tcPr>
            <w:tcW w:type="dxa" w:w="5112"/>
          </w:tcPr>
          <w:p>
            <w:r>
              <w:t>Do not invent completion; record what could and could not be verified.</w:t>
            </w:r>
          </w:p>
        </w:tc>
      </w:tr>
      <w:tr>
        <w:tc>
          <w:tcPr>
            <w:tcW w:type="dxa" w:w="5112"/>
          </w:tcPr>
          <w:p>
            <w:r>
              <w:t>Third party offers an incentive</w:t>
            </w:r>
          </w:p>
        </w:tc>
        <w:tc>
          <w:tcPr>
            <w:tcW w:type="dxa" w:w="5112"/>
          </w:tcPr>
          <w:p>
            <w:r>
              <w:t>Decline and disclose the interaction to Operations.</w:t>
            </w:r>
          </w:p>
        </w:tc>
      </w:tr>
      <w:tr>
        <w:tc>
          <w:tcPr>
            <w:tcW w:type="dxa" w:w="5112"/>
          </w:tcPr>
          <w:p>
            <w:r>
              <w:t>Assignment requires specialist certification</w:t>
            </w:r>
          </w:p>
        </w:tc>
        <w:tc>
          <w:tcPr>
            <w:tcW w:type="dxa" w:w="5112"/>
          </w:tcPr>
          <w:p>
            <w:r>
              <w:t>Do not provide it; escalate to qualified specialist pathway.</w:t>
            </w:r>
          </w:p>
        </w:tc>
      </w:tr>
    </w:tbl>
    <w:p>
      <w:pPr>
        <w:pStyle w:val="Heading1"/>
      </w:pPr>
      <w:r>
        <w:t>19. Field Submission Standard</w:t>
      </w:r>
    </w:p>
    <w:p>
      <w:r>
        <w:rPr>
          <w:b w:val="0"/>
        </w:rPr>
        <w:t>At completion, the representative submits:</w:t>
      </w:r>
    </w:p>
    <w:p>
      <w:pPr>
        <w:pStyle w:val="ListBullet"/>
      </w:pPr>
      <w:r>
        <w:t>Case ID.</w:t>
      </w:r>
    </w:p>
    <w:p>
      <w:pPr>
        <w:pStyle w:val="ListBullet"/>
      </w:pPr>
      <w:r>
        <w:t>Date/time of visit.</w:t>
      </w:r>
    </w:p>
    <w:p>
      <w:pPr>
        <w:pStyle w:val="ListBullet"/>
      </w:pPr>
      <w:r>
        <w:t>Location confirmation where applicable.</w:t>
      </w:r>
    </w:p>
    <w:p>
      <w:pPr>
        <w:pStyle w:val="ListBullet"/>
      </w:pPr>
      <w:r>
        <w:t>Completed checklist.</w:t>
      </w:r>
    </w:p>
    <w:p>
      <w:pPr>
        <w:pStyle w:val="ListBullet"/>
      </w:pPr>
      <w:r>
        <w:t>Evidence package.</w:t>
      </w:r>
    </w:p>
    <w:p>
      <w:pPr>
        <w:pStyle w:val="ListBullet"/>
      </w:pPr>
      <w:r>
        <w:t>Factual field notes.</w:t>
      </w:r>
    </w:p>
    <w:p>
      <w:pPr>
        <w:pStyle w:val="ListBullet"/>
      </w:pPr>
      <w:r>
        <w:t>Exceptions and limitations.</w:t>
      </w:r>
    </w:p>
    <w:p>
      <w:pPr>
        <w:pStyle w:val="ListBullet"/>
      </w:pPr>
      <w:r>
        <w:t>Third-party statements clearly identified as such.</w:t>
      </w:r>
    </w:p>
    <w:p>
      <w:pPr>
        <w:pStyle w:val="ListBullet"/>
      </w:pPr>
      <w:r>
        <w:t>Any expenses with required receipts.</w:t>
      </w:r>
    </w:p>
    <w:p>
      <w:pPr>
        <w:pStyle w:val="ListBullet"/>
      </w:pPr>
      <w:r>
        <w:t>Confirmation that the approved scope was completed—or a clear explanation of what could not be completed.</w:t>
      </w:r>
    </w:p>
    <w:p>
      <w:pPr>
        <w:pStyle w:val="Heading1"/>
      </w:pPr>
      <w:r>
        <w:t>20. QC Handoff</w:t>
      </w:r>
    </w:p>
    <w:p>
      <w:r>
        <w:rPr>
          <w:b w:val="0"/>
        </w:rPr>
        <w:t>The representative's submission is not automatically the customer report. Operations/QC reviews it before delivery where the service requires QC.</w:t>
      </w:r>
    </w:p>
    <w:p>
      <w:r>
        <w:rPr>
          <w:b w:val="0"/>
        </w:rPr>
        <w:t>QC checks:</w:t>
      </w:r>
    </w:p>
    <w:p>
      <w:pPr>
        <w:pStyle w:val="ListBullet"/>
      </w:pPr>
      <w:r>
        <w:t>Completeness.</w:t>
      </w:r>
    </w:p>
    <w:p>
      <w:pPr>
        <w:pStyle w:val="ListBullet"/>
      </w:pPr>
      <w:r>
        <w:t>Evidence quality.</w:t>
      </w:r>
    </w:p>
    <w:p>
      <w:pPr>
        <w:pStyle w:val="ListBullet"/>
      </w:pPr>
      <w:r>
        <w:t>Consistency between evidence and written findings.</w:t>
      </w:r>
    </w:p>
    <w:p>
      <w:pPr>
        <w:pStyle w:val="ListBullet"/>
      </w:pPr>
      <w:r>
        <w:t>Scope compliance.</w:t>
      </w:r>
    </w:p>
    <w:p>
      <w:pPr>
        <w:pStyle w:val="ListBullet"/>
      </w:pPr>
      <w:r>
        <w:t>Exceptions.</w:t>
      </w:r>
    </w:p>
    <w:p>
      <w:pPr>
        <w:pStyle w:val="ListBullet"/>
      </w:pPr>
      <w:r>
        <w:t>Report support.</w:t>
      </w:r>
    </w:p>
    <w:p>
      <w:r>
        <w:rPr>
          <w:b w:val="0"/>
        </w:rPr>
        <w:t>QC outcomes: PASS / PASS WITH NOTE / REWORK / ESCALATE / FAIL.</w:t>
      </w:r>
    </w:p>
    <w:p>
      <w:pPr>
        <w:pStyle w:val="Heading1"/>
      </w:pPr>
      <w:r>
        <w:t>21. Customer Interaction Standard</w:t>
      </w:r>
    </w:p>
    <w:p>
      <w:r>
        <w:rPr>
          <w:b w:val="0"/>
        </w:rPr>
        <w:t>Representatives should be respectful, calm, factual and professional.</w:t>
      </w:r>
    </w:p>
    <w:p>
      <w:r>
        <w:rPr>
          <w:b w:val="0"/>
        </w:rPr>
        <w:t>The representative should not argue with a customer, contractor, seller or other party. Where disagreement arises, document the relevant facts and escalate.</w:t>
      </w:r>
    </w:p>
    <w:p>
      <w:r>
        <w:rPr>
          <w:b w:val="0"/>
        </w:rPr>
        <w:t>The representative must never disclose unnecessary customer information to third parties.</w:t>
      </w:r>
    </w:p>
    <w:p>
      <w:pPr>
        <w:pStyle w:val="Heading1"/>
      </w:pPr>
      <w:r>
        <w:t>22. Confidentiality</w:t>
      </w:r>
    </w:p>
    <w:p>
      <w:pPr>
        <w:pStyle w:val="ListBullet"/>
      </w:pPr>
      <w:r>
        <w:t>Only access customer information required for the assignment.</w:t>
      </w:r>
    </w:p>
    <w:p>
      <w:pPr>
        <w:pStyle w:val="ListBullet"/>
      </w:pPr>
      <w:r>
        <w:t>Do not share customer names, phone numbers, addresses, financial information or case details unnecessarily.</w:t>
      </w:r>
    </w:p>
    <w:p>
      <w:pPr>
        <w:pStyle w:val="ListBullet"/>
      </w:pPr>
      <w:r>
        <w:t>Do not post case photographs or information to personal social media.</w:t>
      </w:r>
    </w:p>
    <w:p>
      <w:pPr>
        <w:pStyle w:val="ListBullet"/>
      </w:pPr>
      <w:r>
        <w:t>Do not use customer information for personal solicitation.</w:t>
      </w:r>
    </w:p>
    <w:p>
      <w:pPr>
        <w:pStyle w:val="ListBullet"/>
      </w:pPr>
      <w:r>
        <w:t>Report suspected privacy incidents immediately.</w:t>
      </w:r>
    </w:p>
    <w:p>
      <w:pPr>
        <w:pStyle w:val="Heading1"/>
      </w:pPr>
      <w:r>
        <w:t>23. Training &amp; Certification</w:t>
      </w:r>
    </w:p>
    <w:p>
      <w:r>
        <w:rPr>
          <w:b w:val="0"/>
        </w:rPr>
        <w:t>P0 onboarding should include:</w:t>
      </w:r>
    </w:p>
    <w:p>
      <w:pPr>
        <w:pStyle w:val="ListNumber"/>
      </w:pPr>
      <w:r>
        <w:t>ASOJU mission, positioning and trust model.</w:t>
      </w:r>
    </w:p>
    <w:p>
      <w:pPr>
        <w:pStyle w:val="ListNumber"/>
      </w:pPr>
      <w:r>
        <w:t>Role boundaries and scope discipline.</w:t>
      </w:r>
    </w:p>
    <w:p>
      <w:pPr>
        <w:pStyle w:val="ListNumber"/>
      </w:pPr>
      <w:r>
        <w:t>Code of conduct.</w:t>
      </w:r>
    </w:p>
    <w:p>
      <w:pPr>
        <w:pStyle w:val="ListNumber"/>
      </w:pPr>
      <w:r>
        <w:t>Evidence standards.</w:t>
      </w:r>
    </w:p>
    <w:p>
      <w:pPr>
        <w:pStyle w:val="ListNumber"/>
      </w:pPr>
      <w:r>
        <w:t>Field checklist training.</w:t>
      </w:r>
    </w:p>
    <w:p>
      <w:pPr>
        <w:pStyle w:val="ListNumber"/>
      </w:pPr>
      <w:r>
        <w:t>Customer interaction training.</w:t>
      </w:r>
    </w:p>
    <w:p>
      <w:pPr>
        <w:pStyle w:val="ListNumber"/>
      </w:pPr>
      <w:r>
        <w:t>Safety and escalation training.</w:t>
      </w:r>
    </w:p>
    <w:p>
      <w:pPr>
        <w:pStyle w:val="ListNumber"/>
      </w:pPr>
      <w:r>
        <w:t>Case/report submission practice.</w:t>
      </w:r>
    </w:p>
    <w:p>
      <w:pPr>
        <w:pStyle w:val="ListNumber"/>
      </w:pPr>
      <w:r>
        <w:t>Practical scenario assessment.</w:t>
      </w:r>
    </w:p>
    <w:p>
      <w:pPr>
        <w:pStyle w:val="ListNumber"/>
      </w:pPr>
      <w:r>
        <w:t>Final Operations approval.</w:t>
      </w:r>
    </w:p>
    <w:p>
      <w:r>
        <w:rPr>
          <w:b w:val="0"/>
        </w:rPr>
        <w:t>A representative should not receive unsupervised high-trust assignments until the required onboarding and assessment are completed.</w:t>
      </w:r>
    </w:p>
    <w:p>
      <w:pPr>
        <w:pStyle w:val="Heading1"/>
      </w:pPr>
      <w:r>
        <w:t>24. Practical Training Scenarios</w:t>
      </w:r>
    </w:p>
    <w:tbl>
      <w:tblPr>
        <w:tblStyle w:val="TableGrid"/>
        <w:tblW w:type="auto" w:w="0"/>
        <w:jc w:val="center"/>
        <w:tblLook w:firstColumn="1" w:firstRow="1" w:lastColumn="0" w:lastRow="0" w:noHBand="0" w:noVBand="1" w:val="04A0"/>
      </w:tblPr>
      <w:tblGrid>
        <w:gridCol w:w="5112"/>
        <w:gridCol w:w="5112"/>
      </w:tblGrid>
      <w:tr>
        <w:tc>
          <w:tcPr>
            <w:tcW w:type="dxa" w:w="5112"/>
          </w:tcPr>
          <w:p>
            <w:r>
              <w:t>Scenario</w:t>
            </w:r>
          </w:p>
        </w:tc>
        <w:tc>
          <w:tcPr>
            <w:tcW w:type="dxa" w:w="5112"/>
          </w:tcPr>
          <w:p>
            <w:r>
              <w:t>Expected Response</w:t>
            </w:r>
          </w:p>
        </w:tc>
      </w:tr>
      <w:tr>
        <w:tc>
          <w:tcPr>
            <w:tcW w:type="dxa" w:w="5112"/>
          </w:tcPr>
          <w:p>
            <w:r>
              <w:t>Customer asks representative to verify a legal title</w:t>
            </w:r>
          </w:p>
        </w:tc>
        <w:tc>
          <w:tcPr>
            <w:tcW w:type="dxa" w:w="5112"/>
          </w:tcPr>
          <w:p>
            <w:r>
              <w:t>Explain the field scope, document observable information and escalate to qualified legal/title process.</w:t>
            </w:r>
          </w:p>
        </w:tc>
      </w:tr>
      <w:tr>
        <w:tc>
          <w:tcPr>
            <w:tcW w:type="dxa" w:w="5112"/>
          </w:tcPr>
          <w:p>
            <w:r>
              <w:t>Contractor insists the representative omit a defect from the report</w:t>
            </w:r>
          </w:p>
        </w:tc>
        <w:tc>
          <w:tcPr>
            <w:tcW w:type="dxa" w:w="5112"/>
          </w:tcPr>
          <w:p>
            <w:r>
              <w:t>Decline, document the relevant condition and escalate.</w:t>
            </w:r>
          </w:p>
        </w:tc>
      </w:tr>
      <w:tr>
        <w:tc>
          <w:tcPr>
            <w:tcW w:type="dxa" w:w="5112"/>
          </w:tcPr>
          <w:p>
            <w:r>
              <w:t>Representative discovers a safety hazard</w:t>
            </w:r>
          </w:p>
        </w:tc>
        <w:tc>
          <w:tcPr>
            <w:tcW w:type="dxa" w:w="5112"/>
          </w:tcPr>
          <w:p>
            <w:r>
              <w:t>Protect personal safety, stop unsafe activity and escalate.</w:t>
            </w:r>
          </w:p>
        </w:tc>
      </w:tr>
      <w:tr>
        <w:tc>
          <w:tcPr>
            <w:tcW w:type="dxa" w:w="5112"/>
          </w:tcPr>
          <w:p>
            <w:r>
              <w:t>Customer asks for an extra task during the visit</w:t>
            </w:r>
          </w:p>
        </w:tc>
        <w:tc>
          <w:tcPr>
            <w:tcW w:type="dxa" w:w="5112"/>
          </w:tcPr>
          <w:p>
            <w:r>
              <w:t>Record the request and seek scope authorization before committing.</w:t>
            </w:r>
          </w:p>
        </w:tc>
      </w:tr>
      <w:tr>
        <w:tc>
          <w:tcPr>
            <w:tcW w:type="dxa" w:w="5112"/>
          </w:tcPr>
          <w:p>
            <w:r>
              <w:t>Evidence is incomplete because access was denied</w:t>
            </w:r>
          </w:p>
        </w:tc>
        <w:tc>
          <w:tcPr>
            <w:tcW w:type="dxa" w:w="5112"/>
          </w:tcPr>
          <w:p>
            <w:r>
              <w:t>Report the limitation honestly; do not imply full verification.</w:t>
            </w:r>
          </w:p>
        </w:tc>
      </w:tr>
      <w:tr>
        <w:tc>
          <w:tcPr>
            <w:tcW w:type="dxa" w:w="5112"/>
          </w:tcPr>
          <w:p>
            <w:r>
              <w:t>A supplier offers cash for a favourable report</w:t>
            </w:r>
          </w:p>
        </w:tc>
        <w:tc>
          <w:tcPr>
            <w:tcW w:type="dxa" w:w="5112"/>
          </w:tcPr>
          <w:p>
            <w:r>
              <w:t>Decline and report the attempted influence.</w:t>
            </w:r>
          </w:p>
        </w:tc>
      </w:tr>
    </w:tbl>
    <w:p>
      <w:pPr>
        <w:pStyle w:val="Heading1"/>
      </w:pPr>
      <w:r>
        <w:t>25. Representative Performance Scorecard</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What It Measures</w:t>
            </w:r>
          </w:p>
        </w:tc>
      </w:tr>
      <w:tr>
        <w:tc>
          <w:tcPr>
            <w:tcW w:type="dxa" w:w="5112"/>
          </w:tcPr>
          <w:p>
            <w:r>
              <w:t>Assignment acceptance reliability</w:t>
            </w:r>
          </w:p>
        </w:tc>
        <w:tc>
          <w:tcPr>
            <w:tcW w:type="dxa" w:w="5112"/>
          </w:tcPr>
          <w:p>
            <w:r>
              <w:t>Whether the representative accepts only work they can execute.</w:t>
            </w:r>
          </w:p>
        </w:tc>
      </w:tr>
      <w:tr>
        <w:tc>
          <w:tcPr>
            <w:tcW w:type="dxa" w:w="5112"/>
          </w:tcPr>
          <w:p>
            <w:r>
              <w:t>On-time performance</w:t>
            </w:r>
          </w:p>
        </w:tc>
        <w:tc>
          <w:tcPr>
            <w:tcW w:type="dxa" w:w="5112"/>
          </w:tcPr>
          <w:p>
            <w:r>
              <w:t>Arrival and completion reliability.</w:t>
            </w:r>
          </w:p>
        </w:tc>
      </w:tr>
      <w:tr>
        <w:tc>
          <w:tcPr>
            <w:tcW w:type="dxa" w:w="5112"/>
          </w:tcPr>
          <w:p>
            <w:r>
              <w:t>Evidence quality</w:t>
            </w:r>
          </w:p>
        </w:tc>
        <w:tc>
          <w:tcPr>
            <w:tcW w:type="dxa" w:w="5112"/>
          </w:tcPr>
          <w:p>
            <w:r>
              <w:t>Whether evidence is clear and sufficient.</w:t>
            </w:r>
          </w:p>
        </w:tc>
      </w:tr>
      <w:tr>
        <w:tc>
          <w:tcPr>
            <w:tcW w:type="dxa" w:w="5112"/>
          </w:tcPr>
          <w:p>
            <w:r>
              <w:t>QC first-pass rate</w:t>
            </w:r>
          </w:p>
        </w:tc>
        <w:tc>
          <w:tcPr>
            <w:tcW w:type="dxa" w:w="5112"/>
          </w:tcPr>
          <w:p>
            <w:r>
              <w:t>Quality of submissions without rework.</w:t>
            </w:r>
          </w:p>
        </w:tc>
      </w:tr>
      <w:tr>
        <w:tc>
          <w:tcPr>
            <w:tcW w:type="dxa" w:w="5112"/>
          </w:tcPr>
          <w:p>
            <w:r>
              <w:t>Scope compliance</w:t>
            </w:r>
          </w:p>
        </w:tc>
        <w:tc>
          <w:tcPr>
            <w:tcW w:type="dxa" w:w="5112"/>
          </w:tcPr>
          <w:p>
            <w:r>
              <w:t>Whether the representative stays within authorization.</w:t>
            </w:r>
          </w:p>
        </w:tc>
      </w:tr>
      <w:tr>
        <w:tc>
          <w:tcPr>
            <w:tcW w:type="dxa" w:w="5112"/>
          </w:tcPr>
          <w:p>
            <w:r>
              <w:t>Customer feedback</w:t>
            </w:r>
          </w:p>
        </w:tc>
        <w:tc>
          <w:tcPr>
            <w:tcW w:type="dxa" w:w="5112"/>
          </w:tcPr>
          <w:p>
            <w:r>
              <w:t>Professionalism and experience.</w:t>
            </w:r>
          </w:p>
        </w:tc>
      </w:tr>
      <w:tr>
        <w:tc>
          <w:tcPr>
            <w:tcW w:type="dxa" w:w="5112"/>
          </w:tcPr>
          <w:p>
            <w:r>
              <w:t>Communication</w:t>
            </w:r>
          </w:p>
        </w:tc>
        <w:tc>
          <w:tcPr>
            <w:tcW w:type="dxa" w:w="5112"/>
          </w:tcPr>
          <w:p>
            <w:r>
              <w:t>Timely updates and escalation.</w:t>
            </w:r>
          </w:p>
        </w:tc>
      </w:tr>
      <w:tr>
        <w:tc>
          <w:tcPr>
            <w:tcW w:type="dxa" w:w="5112"/>
          </w:tcPr>
          <w:p>
            <w:r>
              <w:t>Incident history</w:t>
            </w:r>
          </w:p>
        </w:tc>
        <w:tc>
          <w:tcPr>
            <w:tcW w:type="dxa" w:w="5112"/>
          </w:tcPr>
          <w:p>
            <w:r>
              <w:t>Safety, conduct or integrity concerns.</w:t>
            </w:r>
          </w:p>
        </w:tc>
      </w:tr>
      <w:tr>
        <w:tc>
          <w:tcPr>
            <w:tcW w:type="dxa" w:w="5112"/>
          </w:tcPr>
          <w:p>
            <w:r>
              <w:t>Repeat assignment rate</w:t>
            </w:r>
          </w:p>
        </w:tc>
        <w:tc>
          <w:tcPr>
            <w:tcW w:type="dxa" w:w="5112"/>
          </w:tcPr>
          <w:p>
            <w:r>
              <w:t>Operational trust and reliability.</w:t>
            </w:r>
          </w:p>
        </w:tc>
      </w:tr>
    </w:tbl>
    <w:p>
      <w:pPr>
        <w:pStyle w:val="Heading1"/>
      </w:pPr>
      <w:r>
        <w:t>26. Representative Status</w:t>
      </w:r>
    </w:p>
    <w:tbl>
      <w:tblPr>
        <w:tblStyle w:val="TableGrid"/>
        <w:tblW w:type="auto" w:w="0"/>
        <w:jc w:val="center"/>
        <w:tblLook w:firstColumn="1" w:firstRow="1" w:lastColumn="0" w:lastRow="0" w:noHBand="0" w:noVBand="1" w:val="04A0"/>
      </w:tblPr>
      <w:tblGrid>
        <w:gridCol w:w="5112"/>
        <w:gridCol w:w="5112"/>
      </w:tblGrid>
      <w:tr>
        <w:tc>
          <w:tcPr>
            <w:tcW w:type="dxa" w:w="5112"/>
          </w:tcPr>
          <w:p>
            <w:r>
              <w:t>Status</w:t>
            </w:r>
          </w:p>
        </w:tc>
        <w:tc>
          <w:tcPr>
            <w:tcW w:type="dxa" w:w="5112"/>
          </w:tcPr>
          <w:p>
            <w:r>
              <w:t>Meaning</w:t>
            </w:r>
          </w:p>
        </w:tc>
      </w:tr>
      <w:tr>
        <w:tc>
          <w:tcPr>
            <w:tcW w:type="dxa" w:w="5112"/>
          </w:tcPr>
          <w:p>
            <w:r>
              <w:t>Verified</w:t>
            </w:r>
          </w:p>
        </w:tc>
        <w:tc>
          <w:tcPr>
            <w:tcW w:type="dxa" w:w="5112"/>
          </w:tcPr>
          <w:p>
            <w:r>
              <w:t>Completed onboarding and approved for P0 assignments.</w:t>
            </w:r>
          </w:p>
        </w:tc>
      </w:tr>
      <w:tr>
        <w:tc>
          <w:tcPr>
            <w:tcW w:type="dxa" w:w="5112"/>
          </w:tcPr>
          <w:p>
            <w:r>
              <w:t>Trusted</w:t>
            </w:r>
          </w:p>
        </w:tc>
        <w:tc>
          <w:tcPr>
            <w:tcW w:type="dxa" w:w="5112"/>
          </w:tcPr>
          <w:p>
            <w:r>
              <w:t>Demonstrated reliable execution over multiple assignments.</w:t>
            </w:r>
          </w:p>
        </w:tc>
      </w:tr>
      <w:tr>
        <w:tc>
          <w:tcPr>
            <w:tcW w:type="dxa" w:w="5112"/>
          </w:tcPr>
          <w:p>
            <w:r>
              <w:t>Preferred</w:t>
            </w:r>
          </w:p>
        </w:tc>
        <w:tc>
          <w:tcPr>
            <w:tcW w:type="dxa" w:w="5112"/>
          </w:tcPr>
          <w:p>
            <w:r>
              <w:t>Consistently high-quality performance and strong reliability.</w:t>
            </w:r>
          </w:p>
        </w:tc>
      </w:tr>
      <w:tr>
        <w:tc>
          <w:tcPr>
            <w:tcW w:type="dxa" w:w="5112"/>
          </w:tcPr>
          <w:p>
            <w:r>
              <w:t>Specialist</w:t>
            </w:r>
          </w:p>
        </w:tc>
        <w:tc>
          <w:tcPr>
            <w:tcW w:type="dxa" w:w="5112"/>
          </w:tcPr>
          <w:p>
            <w:r>
              <w:t>Has an additional validated specialist capability where applicable.</w:t>
            </w:r>
          </w:p>
        </w:tc>
      </w:tr>
      <w:tr>
        <w:tc>
          <w:tcPr>
            <w:tcW w:type="dxa" w:w="5112"/>
          </w:tcPr>
          <w:p>
            <w:r>
              <w:t>Suspended</w:t>
            </w:r>
          </w:p>
        </w:tc>
        <w:tc>
          <w:tcPr>
            <w:tcW w:type="dxa" w:w="5112"/>
          </w:tcPr>
          <w:p>
            <w:r>
              <w:t>Temporarily removed from assignments pending review.</w:t>
            </w:r>
          </w:p>
        </w:tc>
      </w:tr>
      <w:tr>
        <w:tc>
          <w:tcPr>
            <w:tcW w:type="dxa" w:w="5112"/>
          </w:tcPr>
          <w:p>
            <w:r>
              <w:t>Removed</w:t>
            </w:r>
          </w:p>
        </w:tc>
        <w:tc>
          <w:tcPr>
            <w:tcW w:type="dxa" w:w="5112"/>
          </w:tcPr>
          <w:p>
            <w:r>
              <w:t>No longer authorized to represent ASOJU.</w:t>
            </w:r>
          </w:p>
        </w:tc>
      </w:tr>
    </w:tbl>
    <w:p>
      <w:pPr>
        <w:pStyle w:val="Heading1"/>
      </w:pPr>
      <w:r>
        <w:t>27. Suspension / Removal Triggers</w:t>
      </w:r>
    </w:p>
    <w:p>
      <w:pPr>
        <w:pStyle w:val="ListBullet"/>
      </w:pPr>
      <w:r>
        <w:t>Fraud or fabricated evidence.</w:t>
      </w:r>
    </w:p>
    <w:p>
      <w:pPr>
        <w:pStyle w:val="ListBullet"/>
      </w:pPr>
      <w:r>
        <w:t>Material dishonesty.</w:t>
      </w:r>
    </w:p>
    <w:p>
      <w:pPr>
        <w:pStyle w:val="ListBullet"/>
      </w:pPr>
      <w:r>
        <w:t>Unauthorized disclosure of customer information.</w:t>
      </w:r>
    </w:p>
    <w:p>
      <w:pPr>
        <w:pStyle w:val="ListBullet"/>
      </w:pPr>
      <w:r>
        <w:t>Serious conflict-of-interest concealment.</w:t>
      </w:r>
    </w:p>
    <w:p>
      <w:pPr>
        <w:pStyle w:val="ListBullet"/>
      </w:pPr>
      <w:r>
        <w:t>Theft or misuse of customer funds/property.</w:t>
      </w:r>
    </w:p>
    <w:p>
      <w:pPr>
        <w:pStyle w:val="ListBullet"/>
      </w:pPr>
      <w:r>
        <w:t>Repeated scope violations.</w:t>
      </w:r>
    </w:p>
    <w:p>
      <w:pPr>
        <w:pStyle w:val="ListBullet"/>
      </w:pPr>
      <w:r>
        <w:t>Repeated poor-quality submissions after remediation.</w:t>
      </w:r>
    </w:p>
    <w:p>
      <w:pPr>
        <w:pStyle w:val="ListBullet"/>
      </w:pPr>
      <w:r>
        <w:t>Serious misconduct or safety violations.</w:t>
      </w:r>
    </w:p>
    <w:p>
      <w:pPr>
        <w:pStyle w:val="ListBullet"/>
      </w:pPr>
      <w:r>
        <w:t>Conduct materially damaging ASOJU trust.</w:t>
      </w:r>
    </w:p>
    <w:p>
      <w:r>
        <w:rPr>
          <w:b w:val="0"/>
        </w:rPr>
        <w:t>Specific disciplinary procedures should be finalized by ASOJU management and applicable contractual/legal requirements.</w:t>
      </w:r>
    </w:p>
    <w:p>
      <w:pPr>
        <w:pStyle w:val="Heading1"/>
      </w:pPr>
      <w:r>
        <w:t>28. P0 Field Representative Daily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Before</w:t>
            </w:r>
          </w:p>
        </w:tc>
        <w:tc>
          <w:tcPr>
            <w:tcW w:type="dxa" w:w="3408"/>
          </w:tcPr>
          <w:p>
            <w:r>
              <w:t>During</w:t>
            </w:r>
          </w:p>
        </w:tc>
        <w:tc>
          <w:tcPr>
            <w:tcW w:type="dxa" w:w="3408"/>
          </w:tcPr>
          <w:p>
            <w:r>
              <w:t>After</w:t>
            </w:r>
          </w:p>
        </w:tc>
      </w:tr>
      <w:tr>
        <w:tc>
          <w:tcPr>
            <w:tcW w:type="dxa" w:w="3408"/>
          </w:tcPr>
          <w:p>
            <w:r>
              <w:t>Review case brief</w:t>
            </w:r>
          </w:p>
        </w:tc>
        <w:tc>
          <w:tcPr>
            <w:tcW w:type="dxa" w:w="3408"/>
          </w:tcPr>
          <w:p>
            <w:r>
              <w:t>Confirm location/scope</w:t>
            </w:r>
          </w:p>
        </w:tc>
        <w:tc>
          <w:tcPr>
            <w:tcW w:type="dxa" w:w="3408"/>
          </w:tcPr>
          <w:p>
            <w:r>
              <w:t>Submit evidence</w:t>
            </w:r>
          </w:p>
        </w:tc>
      </w:tr>
      <w:tr>
        <w:tc>
          <w:tcPr>
            <w:tcW w:type="dxa" w:w="3408"/>
          </w:tcPr>
          <w:p>
            <w:r>
              <w:t>Check equipment</w:t>
            </w:r>
          </w:p>
        </w:tc>
        <w:tc>
          <w:tcPr>
            <w:tcW w:type="dxa" w:w="3408"/>
          </w:tcPr>
          <w:p>
            <w:r>
              <w:t>Follow checklist</w:t>
            </w:r>
          </w:p>
        </w:tc>
        <w:tc>
          <w:tcPr>
            <w:tcW w:type="dxa" w:w="3408"/>
          </w:tcPr>
          <w:p>
            <w:r>
              <w:t>Submit field notes</w:t>
            </w:r>
          </w:p>
        </w:tc>
      </w:tr>
      <w:tr>
        <w:tc>
          <w:tcPr>
            <w:tcW w:type="dxa" w:w="3408"/>
          </w:tcPr>
          <w:p>
            <w:r>
              <w:t>Confirm travel</w:t>
            </w:r>
          </w:p>
        </w:tc>
        <w:tc>
          <w:tcPr>
            <w:tcW w:type="dxa" w:w="3408"/>
          </w:tcPr>
          <w:p>
            <w:r>
              <w:t>Capture evidence</w:t>
            </w:r>
          </w:p>
        </w:tc>
        <w:tc>
          <w:tcPr>
            <w:tcW w:type="dxa" w:w="3408"/>
          </w:tcPr>
          <w:p>
            <w:r>
              <w:t>Report exceptions</w:t>
            </w:r>
          </w:p>
        </w:tc>
      </w:tr>
      <w:tr>
        <w:tc>
          <w:tcPr>
            <w:tcW w:type="dxa" w:w="3408"/>
          </w:tcPr>
          <w:p>
            <w:r>
              <w:t>Check conflicts</w:t>
            </w:r>
          </w:p>
        </w:tc>
        <w:tc>
          <w:tcPr>
            <w:tcW w:type="dxa" w:w="3408"/>
          </w:tcPr>
          <w:p>
            <w:r>
              <w:t>Stay within scope</w:t>
            </w:r>
          </w:p>
        </w:tc>
        <w:tc>
          <w:tcPr>
            <w:tcW w:type="dxa" w:w="3408"/>
          </w:tcPr>
          <w:p>
            <w:r>
              <w:t>Reconcile authorized expenses</w:t>
            </w:r>
          </w:p>
        </w:tc>
      </w:tr>
      <w:tr>
        <w:tc>
          <w:tcPr>
            <w:tcW w:type="dxa" w:w="3408"/>
          </w:tcPr>
          <w:p>
            <w:r>
              <w:t>Confirm escalation contact</w:t>
            </w:r>
          </w:p>
        </w:tc>
        <w:tc>
          <w:tcPr>
            <w:tcW w:type="dxa" w:w="3408"/>
          </w:tcPr>
          <w:p>
            <w:r>
              <w:t>Escalate material issues</w:t>
            </w:r>
          </w:p>
        </w:tc>
        <w:tc>
          <w:tcPr>
            <w:tcW w:type="dxa" w:w="3408"/>
          </w:tcPr>
          <w:p>
            <w:r>
              <w:t>Confirm handoff to Operations</w:t>
            </w:r>
          </w:p>
        </w:tc>
      </w:tr>
    </w:tbl>
    <w:p>
      <w:pPr>
        <w:pStyle w:val="Heading1"/>
      </w:pPr>
      <w:r>
        <w:t>29. Representative Quick Reference Card</w:t>
      </w:r>
    </w:p>
    <w:p>
      <w:r>
        <w:rPr>
          <w:b w:val="0"/>
        </w:rPr>
        <w:t>BEFORE: Know the case. Know the scope. Know the evidence. Know the escalation path.</w:t>
      </w:r>
    </w:p>
    <w:p>
      <w:r>
        <w:rPr>
          <w:b w:val="0"/>
        </w:rPr>
        <w:t>DURING: Be factual. Be professional. Stay within scope. Document what you observe.</w:t>
      </w:r>
    </w:p>
    <w:p>
      <w:r>
        <w:rPr>
          <w:b w:val="0"/>
        </w:rPr>
        <w:t>IF SOMETHING CHANGES: Stop → Record → Escalate.</w:t>
      </w:r>
    </w:p>
    <w:p>
      <w:r>
        <w:rPr>
          <w:b w:val="0"/>
        </w:rPr>
        <w:t>AFTER: Submit complete evidence. Report limitations. Do not overstate conclusions.</w:t>
      </w:r>
    </w:p>
    <w:p>
      <w:r>
        <w:rPr>
          <w:b w:val="0"/>
        </w:rPr>
        <w:t>GOLDEN RULE: If ASOJU did not verify it, do not present it as verified.</w:t>
      </w:r>
    </w:p>
    <w:p>
      <w:pPr>
        <w:pStyle w:val="Heading1"/>
      </w:pPr>
      <w:r>
        <w:t>30. P0 Operating Principle</w:t>
      </w:r>
    </w:p>
    <w:p>
      <w:r>
        <w:rPr>
          <w:b w:val="0"/>
        </w:rPr>
        <w:t>Never let speed destroy trust.</w:t>
      </w:r>
    </w:p>
    <w:p>
      <w:r>
        <w:rPr>
          <w:b w:val="0"/>
        </w:rPr>
        <w:t>A delayed case can be recovered. A pricing mistake can be corrected. A missing photograph can sometimes be recovered. But presenting unverified information as fact damages ASOJU at its foundation.</w:t>
      </w:r>
    </w:p>
    <w:p>
      <w:r>
        <w:rPr>
          <w:b w:val="0"/>
        </w:rPr>
        <w:t>Therefore:</w:t>
      </w:r>
    </w:p>
    <w:p>
      <w:r>
        <w:rPr>
          <w:b/>
        </w:rPr>
        <w:t>EVIDENCE BEFORE ASSERTION.</w:t>
        <w:br/>
        <w:t>ESCALATION BEFORE IMPROVISATION.</w:t>
        <w:br/>
        <w:t>CLARITY BEFORE EXECUTION.</w:t>
        <w:br/>
        <w:t>TRUST BEFORE SCALE.</w:t>
      </w:r>
    </w:p>
    <w:p>
      <w:pPr>
        <w:pStyle w:val="Heading1"/>
      </w:pPr>
      <w:r>
        <w:t>31. Training Sign-Off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Item</w:t>
            </w:r>
          </w:p>
        </w:tc>
        <w:tc>
          <w:tcPr>
            <w:tcW w:type="dxa" w:w="2556"/>
          </w:tcPr>
          <w:p>
            <w:r>
              <w:t>Representative Initials</w:t>
            </w:r>
          </w:p>
        </w:tc>
        <w:tc>
          <w:tcPr>
            <w:tcW w:type="dxa" w:w="2556"/>
          </w:tcPr>
          <w:p>
            <w:r>
              <w:t>Trainer / Operations</w:t>
            </w:r>
          </w:p>
        </w:tc>
        <w:tc>
          <w:tcPr>
            <w:tcW w:type="dxa" w:w="2556"/>
          </w:tcPr>
          <w:p>
            <w:r>
              <w:t>Date</w:t>
            </w:r>
          </w:p>
        </w:tc>
      </w:tr>
      <w:tr>
        <w:tc>
          <w:tcPr>
            <w:tcW w:type="dxa" w:w="2556"/>
          </w:tcPr>
          <w:p>
            <w:r>
              <w:t>Mission &amp; role understood</w:t>
            </w:r>
          </w:p>
        </w:tc>
        <w:tc>
          <w:tcPr>
            <w:tcW w:type="dxa" w:w="2556"/>
          </w:tcPr>
          <w:p>
            <w:r/>
          </w:p>
        </w:tc>
        <w:tc>
          <w:tcPr>
            <w:tcW w:type="dxa" w:w="2556"/>
          </w:tcPr>
          <w:p>
            <w:r/>
          </w:p>
        </w:tc>
        <w:tc>
          <w:tcPr>
            <w:tcW w:type="dxa" w:w="2556"/>
          </w:tcPr>
          <w:p>
            <w:r/>
          </w:p>
        </w:tc>
      </w:tr>
      <w:tr>
        <w:tc>
          <w:tcPr>
            <w:tcW w:type="dxa" w:w="2556"/>
          </w:tcPr>
          <w:p>
            <w:r>
              <w:t>Code of conduct completed</w:t>
            </w:r>
          </w:p>
        </w:tc>
        <w:tc>
          <w:tcPr>
            <w:tcW w:type="dxa" w:w="2556"/>
          </w:tcPr>
          <w:p>
            <w:r/>
          </w:p>
        </w:tc>
        <w:tc>
          <w:tcPr>
            <w:tcW w:type="dxa" w:w="2556"/>
          </w:tcPr>
          <w:p>
            <w:r/>
          </w:p>
        </w:tc>
        <w:tc>
          <w:tcPr>
            <w:tcW w:type="dxa" w:w="2556"/>
          </w:tcPr>
          <w:p>
            <w:r/>
          </w:p>
        </w:tc>
      </w:tr>
      <w:tr>
        <w:tc>
          <w:tcPr>
            <w:tcW w:type="dxa" w:w="2556"/>
          </w:tcPr>
          <w:p>
            <w:r>
              <w:t>Scope discipline completed</w:t>
            </w:r>
          </w:p>
        </w:tc>
        <w:tc>
          <w:tcPr>
            <w:tcW w:type="dxa" w:w="2556"/>
          </w:tcPr>
          <w:p>
            <w:r/>
          </w:p>
        </w:tc>
        <w:tc>
          <w:tcPr>
            <w:tcW w:type="dxa" w:w="2556"/>
          </w:tcPr>
          <w:p>
            <w:r/>
          </w:p>
        </w:tc>
        <w:tc>
          <w:tcPr>
            <w:tcW w:type="dxa" w:w="2556"/>
          </w:tcPr>
          <w:p>
            <w:r/>
          </w:p>
        </w:tc>
      </w:tr>
      <w:tr>
        <w:tc>
          <w:tcPr>
            <w:tcW w:type="dxa" w:w="2556"/>
          </w:tcPr>
          <w:p>
            <w:r>
              <w:t>Evidence training completed</w:t>
            </w:r>
          </w:p>
        </w:tc>
        <w:tc>
          <w:tcPr>
            <w:tcW w:type="dxa" w:w="2556"/>
          </w:tcPr>
          <w:p>
            <w:r/>
          </w:p>
        </w:tc>
        <w:tc>
          <w:tcPr>
            <w:tcW w:type="dxa" w:w="2556"/>
          </w:tcPr>
          <w:p>
            <w:r/>
          </w:p>
        </w:tc>
        <w:tc>
          <w:tcPr>
            <w:tcW w:type="dxa" w:w="2556"/>
          </w:tcPr>
          <w:p>
            <w:r/>
          </w:p>
        </w:tc>
      </w:tr>
      <w:tr>
        <w:tc>
          <w:tcPr>
            <w:tcW w:type="dxa" w:w="2556"/>
          </w:tcPr>
          <w:p>
            <w:r>
              <w:t>Safety &amp; escalation completed</w:t>
            </w:r>
          </w:p>
        </w:tc>
        <w:tc>
          <w:tcPr>
            <w:tcW w:type="dxa" w:w="2556"/>
          </w:tcPr>
          <w:p>
            <w:r/>
          </w:p>
        </w:tc>
        <w:tc>
          <w:tcPr>
            <w:tcW w:type="dxa" w:w="2556"/>
          </w:tcPr>
          <w:p>
            <w:r/>
          </w:p>
        </w:tc>
        <w:tc>
          <w:tcPr>
            <w:tcW w:type="dxa" w:w="2556"/>
          </w:tcPr>
          <w:p>
            <w:r/>
          </w:p>
        </w:tc>
      </w:tr>
      <w:tr>
        <w:tc>
          <w:tcPr>
            <w:tcW w:type="dxa" w:w="2556"/>
          </w:tcPr>
          <w:p>
            <w:r>
              <w:t>Practical scenarios passed</w:t>
            </w:r>
          </w:p>
        </w:tc>
        <w:tc>
          <w:tcPr>
            <w:tcW w:type="dxa" w:w="2556"/>
          </w:tcPr>
          <w:p>
            <w:r/>
          </w:p>
        </w:tc>
        <w:tc>
          <w:tcPr>
            <w:tcW w:type="dxa" w:w="2556"/>
          </w:tcPr>
          <w:p>
            <w:r/>
          </w:p>
        </w:tc>
        <w:tc>
          <w:tcPr>
            <w:tcW w:type="dxa" w:w="2556"/>
          </w:tcPr>
          <w:p>
            <w:r/>
          </w:p>
        </w:tc>
      </w:tr>
      <w:tr>
        <w:tc>
          <w:tcPr>
            <w:tcW w:type="dxa" w:w="2556"/>
          </w:tcPr>
          <w:p>
            <w:r>
              <w:t>Field checklist demonstrated</w:t>
            </w:r>
          </w:p>
        </w:tc>
        <w:tc>
          <w:tcPr>
            <w:tcW w:type="dxa" w:w="2556"/>
          </w:tcPr>
          <w:p>
            <w:r/>
          </w:p>
        </w:tc>
        <w:tc>
          <w:tcPr>
            <w:tcW w:type="dxa" w:w="2556"/>
          </w:tcPr>
          <w:p>
            <w:r/>
          </w:p>
        </w:tc>
        <w:tc>
          <w:tcPr>
            <w:tcW w:type="dxa" w:w="2556"/>
          </w:tcPr>
          <w:p>
            <w:r/>
          </w:p>
        </w:tc>
      </w:tr>
      <w:tr>
        <w:tc>
          <w:tcPr>
            <w:tcW w:type="dxa" w:w="2556"/>
          </w:tcPr>
          <w:p>
            <w:r>
              <w:t>Approved for P0 assignments</w:t>
            </w:r>
          </w:p>
        </w:tc>
        <w:tc>
          <w:tcPr>
            <w:tcW w:type="dxa" w:w="2556"/>
          </w:tcPr>
          <w:p>
            <w:r/>
          </w:p>
        </w:tc>
        <w:tc>
          <w:tcPr>
            <w:tcW w:type="dxa" w:w="2556"/>
          </w:tcPr>
          <w:p>
            <w:r/>
          </w:p>
        </w:tc>
        <w:tc>
          <w:tcPr>
            <w:tcW w:type="dxa" w:w="2556"/>
          </w:tcPr>
          <w:p>
            <w:r/>
          </w:p>
        </w:tc>
      </w:tr>
    </w:tbl>
    <w:p>
      <w:pPr>
        <w:pStyle w:val="Heading1"/>
      </w:pPr>
      <w:r>
        <w:t>32. Document Governance</w:t>
      </w:r>
    </w:p>
    <w:p>
      <w:r>
        <w:rPr>
          <w:b w:val="0"/>
        </w:rPr>
        <w:t>This manual is the P0 working standard. It should be reviewed after the first representative cohort and after meaningful incidents, customer complaints, QC findings or material changes to ASOJU's service architecture.</w:t>
      </w:r>
    </w:p>
    <w:p>
      <w:r>
        <w:rPr>
          <w:b w:val="0"/>
        </w:rPr>
        <w:t>Document owner: ASOJU Operations.</w:t>
      </w:r>
    </w:p>
    <w:p>
      <w:r>
        <w:rPr>
          <w:b w:val="0"/>
        </w:rPr>
        <w:t>Version: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